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BE176" w14:textId="5F6A1FE0" w:rsidR="00682204" w:rsidRPr="0046166C" w:rsidRDefault="00682204" w:rsidP="007B7947">
      <w:pPr>
        <w:rPr>
          <w:b/>
          <w:bCs/>
          <w:sz w:val="24"/>
          <w:lang w:val="en-GB"/>
        </w:rPr>
      </w:pPr>
      <w:bookmarkStart w:id="0" w:name="_GoBack"/>
      <w:r w:rsidRPr="0046166C">
        <w:rPr>
          <w:b/>
          <w:bCs/>
          <w:sz w:val="24"/>
          <w:lang w:val="en-GB"/>
        </w:rPr>
        <w:t>Equality Diversity and Inclusion (ED&amp;I) Data</w:t>
      </w:r>
    </w:p>
    <w:bookmarkEnd w:id="0"/>
    <w:p w14:paraId="246512C2" w14:textId="77777777" w:rsidR="00682204" w:rsidRPr="00ED5E6C" w:rsidRDefault="00682204" w:rsidP="00682204">
      <w:pPr>
        <w:rPr>
          <w:lang w:val="en-GB"/>
        </w:rPr>
      </w:pPr>
    </w:p>
    <w:p w14:paraId="548D5A5E" w14:textId="5902E45F" w:rsidR="00682204" w:rsidRDefault="00682204" w:rsidP="00855680">
      <w:pPr>
        <w:spacing w:after="120"/>
        <w:rPr>
          <w:lang w:val="en-GB"/>
        </w:rPr>
      </w:pPr>
      <w:r w:rsidRPr="001027A5">
        <w:rPr>
          <w:lang w:val="en-GB"/>
        </w:rPr>
        <w:t>The University</w:t>
      </w:r>
      <w:r w:rsidR="00855680">
        <w:rPr>
          <w:lang w:val="en-GB"/>
        </w:rPr>
        <w:t xml:space="preserve"> of Southampton</w:t>
      </w:r>
      <w:r w:rsidRPr="001027A5">
        <w:rPr>
          <w:lang w:val="en-GB"/>
        </w:rPr>
        <w:t xml:space="preserve"> is committed to the promotion of equal opportunities and fair treatment for all students, workers, staff</w:t>
      </w:r>
      <w:r w:rsidR="00855680">
        <w:rPr>
          <w:lang w:val="en-GB"/>
        </w:rPr>
        <w:t>,</w:t>
      </w:r>
      <w:r w:rsidRPr="001027A5">
        <w:rPr>
          <w:lang w:val="en-GB"/>
        </w:rPr>
        <w:t xml:space="preserve"> and applicants</w:t>
      </w:r>
      <w:r w:rsidR="00855680">
        <w:rPr>
          <w:lang w:val="en-GB"/>
        </w:rPr>
        <w:t xml:space="preserve">, and so records </w:t>
      </w:r>
      <w:r w:rsidRPr="001027A5">
        <w:rPr>
          <w:lang w:val="en-GB"/>
        </w:rPr>
        <w:t>ED&amp;I data</w:t>
      </w:r>
      <w:r w:rsidR="00855680">
        <w:rPr>
          <w:lang w:val="en-GB"/>
        </w:rPr>
        <w:t>. W</w:t>
      </w:r>
      <w:r w:rsidRPr="001027A5">
        <w:rPr>
          <w:lang w:val="en-GB"/>
        </w:rPr>
        <w:t xml:space="preserve">e encourage you to complete the information below, as it is very useful for understanding </w:t>
      </w:r>
      <w:r w:rsidR="00855680">
        <w:rPr>
          <w:lang w:val="en-GB"/>
        </w:rPr>
        <w:t>ways to enable</w:t>
      </w:r>
      <w:r w:rsidRPr="001027A5">
        <w:rPr>
          <w:lang w:val="en-GB"/>
        </w:rPr>
        <w:t xml:space="preserve"> equal opportunities, and </w:t>
      </w:r>
      <w:r w:rsidR="00855680">
        <w:rPr>
          <w:lang w:val="en-GB"/>
        </w:rPr>
        <w:t>for identifying</w:t>
      </w:r>
      <w:r w:rsidRPr="001027A5">
        <w:rPr>
          <w:lang w:val="en-GB"/>
        </w:rPr>
        <w:t xml:space="preserve"> what further actions</w:t>
      </w:r>
      <w:r w:rsidR="00855680">
        <w:rPr>
          <w:lang w:val="en-GB"/>
        </w:rPr>
        <w:t xml:space="preserve"> we</w:t>
      </w:r>
      <w:r w:rsidRPr="001027A5">
        <w:rPr>
          <w:lang w:val="en-GB"/>
        </w:rPr>
        <w:t xml:space="preserve"> </w:t>
      </w:r>
      <w:r w:rsidR="00855680">
        <w:rPr>
          <w:lang w:val="en-GB"/>
        </w:rPr>
        <w:t>might</w:t>
      </w:r>
      <w:r w:rsidRPr="001027A5">
        <w:rPr>
          <w:lang w:val="en-GB"/>
        </w:rPr>
        <w:t xml:space="preserve"> take</w:t>
      </w:r>
      <w:r w:rsidR="00855680">
        <w:rPr>
          <w:lang w:val="en-GB"/>
        </w:rPr>
        <w:t xml:space="preserve"> </w:t>
      </w:r>
      <w:r w:rsidRPr="001027A5">
        <w:rPr>
          <w:lang w:val="en-GB"/>
        </w:rPr>
        <w:t>to improve this work.</w:t>
      </w:r>
    </w:p>
    <w:p w14:paraId="1378322E" w14:textId="0529D286" w:rsidR="00855680" w:rsidRDefault="00682204" w:rsidP="00855680">
      <w:pPr>
        <w:spacing w:after="120"/>
        <w:rPr>
          <w:lang w:val="en-GB"/>
        </w:rPr>
      </w:pPr>
      <w:r w:rsidRPr="001027A5">
        <w:rPr>
          <w:lang w:val="en-GB"/>
        </w:rPr>
        <w:t xml:space="preserve">There is no obligation to disclose any information you do not want to: a ‘not </w:t>
      </w:r>
      <w:r>
        <w:rPr>
          <w:lang w:val="en-GB"/>
        </w:rPr>
        <w:t>disclosed</w:t>
      </w:r>
      <w:r w:rsidRPr="001027A5">
        <w:rPr>
          <w:lang w:val="en-GB"/>
        </w:rPr>
        <w:t xml:space="preserve">’ option is provided, or you can </w:t>
      </w:r>
      <w:r w:rsidR="002952E3">
        <w:rPr>
          <w:lang w:val="en-GB"/>
        </w:rPr>
        <w:t>simply leave a section blank</w:t>
      </w:r>
      <w:r w:rsidRPr="001027A5">
        <w:rPr>
          <w:lang w:val="en-GB"/>
        </w:rPr>
        <w:t>.</w:t>
      </w:r>
      <w:r w:rsidR="002952E3">
        <w:rPr>
          <w:lang w:val="en-GB"/>
        </w:rPr>
        <w:t xml:space="preserve"> </w:t>
      </w:r>
      <w:r w:rsidR="002952E3" w:rsidRPr="00A2688E">
        <w:rPr>
          <w:b/>
          <w:lang w:val="en-GB"/>
        </w:rPr>
        <w:t>(Any section left blank will be recorded as "not disclosed".)</w:t>
      </w:r>
      <w:r>
        <w:rPr>
          <w:lang w:val="en-GB"/>
        </w:rPr>
        <w:t xml:space="preserve"> </w:t>
      </w:r>
      <w:r w:rsidRPr="001027A5">
        <w:rPr>
          <w:lang w:val="en-GB"/>
        </w:rPr>
        <w:t xml:space="preserve">Your information will be stored and used in accordance with the Data Protection Act, </w:t>
      </w:r>
      <w:r w:rsidR="00A83E6E">
        <w:rPr>
          <w:lang w:val="en-GB"/>
        </w:rPr>
        <w:t xml:space="preserve">only </w:t>
      </w:r>
      <w:r w:rsidRPr="001027A5">
        <w:rPr>
          <w:lang w:val="en-GB"/>
        </w:rPr>
        <w:t xml:space="preserve">for the purpose of </w:t>
      </w:r>
      <w:r w:rsidR="00550CB0">
        <w:rPr>
          <w:lang w:val="en-GB"/>
        </w:rPr>
        <w:t xml:space="preserve">the </w:t>
      </w:r>
      <w:r w:rsidR="002952E3">
        <w:rPr>
          <w:lang w:val="en-GB"/>
        </w:rPr>
        <w:t xml:space="preserve">Leverhulme Doctoral Scholarships Programme for Interdisciplinary Resilience Studies </w:t>
      </w:r>
      <w:r w:rsidR="00550CB0">
        <w:rPr>
          <w:lang w:val="en-GB"/>
        </w:rPr>
        <w:t>application process</w:t>
      </w:r>
      <w:r w:rsidR="002952E3">
        <w:rPr>
          <w:lang w:val="en-GB"/>
        </w:rPr>
        <w:t>.</w:t>
      </w:r>
    </w:p>
    <w:tbl>
      <w:tblPr>
        <w:tblW w:w="8771" w:type="dxa"/>
        <w:tblInd w:w="250" w:type="dxa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940"/>
        <w:gridCol w:w="2951"/>
        <w:gridCol w:w="2880"/>
      </w:tblGrid>
      <w:tr w:rsidR="00682204" w:rsidRPr="00042C1E" w14:paraId="231B2BC9" w14:textId="77777777" w:rsidTr="00855680">
        <w:trPr>
          <w:trHeight w:val="103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6C9F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  <w:r w:rsidRPr="00BB5B0F">
              <w:rPr>
                <w:b/>
                <w:bCs/>
                <w:lang w:val="en-GB"/>
              </w:rPr>
              <w:t>Gender identity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C9B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Female</w:t>
            </w:r>
          </w:p>
          <w:p w14:paraId="56EB1CAA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Male</w:t>
            </w:r>
          </w:p>
          <w:p w14:paraId="14B7951B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Other</w:t>
            </w:r>
          </w:p>
          <w:p w14:paraId="61DFDD23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79F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  <w:tr w:rsidR="00682204" w:rsidRPr="00042C1E" w14:paraId="199AAC69" w14:textId="77777777" w:rsidTr="00855680">
        <w:trPr>
          <w:trHeight w:val="174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7C82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  <w:r w:rsidRPr="00BB5B0F">
              <w:rPr>
                <w:b/>
                <w:bCs/>
                <w:lang w:val="en-GB"/>
              </w:rPr>
              <w:t>Age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3CD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0 - 24</w:t>
            </w:r>
          </w:p>
          <w:p w14:paraId="7C2B3A83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25 - 29</w:t>
            </w:r>
          </w:p>
          <w:p w14:paraId="2170B8E4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30 - 34</w:t>
            </w:r>
          </w:p>
          <w:p w14:paraId="7C71BBB2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35 - 39</w:t>
            </w:r>
          </w:p>
          <w:p w14:paraId="323A96B3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40 - 44</w:t>
            </w:r>
          </w:p>
          <w:p w14:paraId="0CB40E66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45 - 49</w:t>
            </w:r>
          </w:p>
          <w:p w14:paraId="72990976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50 - 54</w:t>
            </w:r>
          </w:p>
          <w:p w14:paraId="740CECB9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55 - 59</w:t>
            </w:r>
          </w:p>
          <w:p w14:paraId="2EE274F6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60 - 64</w:t>
            </w:r>
          </w:p>
          <w:p w14:paraId="40ADCFAB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65 +</w:t>
            </w:r>
          </w:p>
          <w:p w14:paraId="6704A5D7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753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  <w:tr w:rsidR="00682204" w:rsidRPr="00042C1E" w14:paraId="29936556" w14:textId="77777777" w:rsidTr="00855680">
        <w:trPr>
          <w:trHeight w:val="156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0924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  <w:r w:rsidRPr="00BB5B0F">
              <w:rPr>
                <w:b/>
                <w:bCs/>
                <w:lang w:val="en-GB"/>
              </w:rPr>
              <w:t>Ethnicity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17A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Asian British</w:t>
            </w:r>
          </w:p>
          <w:p w14:paraId="52F5E8A2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Asian other</w:t>
            </w:r>
          </w:p>
          <w:p w14:paraId="3EEA7D99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Black British</w:t>
            </w:r>
          </w:p>
          <w:p w14:paraId="44E11BE4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Black other</w:t>
            </w:r>
          </w:p>
          <w:p w14:paraId="0AF7D458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Mixed / multiple ethnic groups</w:t>
            </w:r>
          </w:p>
          <w:p w14:paraId="6099F7A1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Other</w:t>
            </w:r>
          </w:p>
          <w:p w14:paraId="0DBDB628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White British</w:t>
            </w:r>
          </w:p>
          <w:p w14:paraId="4201C7C4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White other</w:t>
            </w:r>
          </w:p>
          <w:p w14:paraId="59597C9F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878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  <w:tr w:rsidR="00713D7A" w:rsidRPr="00042C1E" w14:paraId="3EF342FB" w14:textId="77777777" w:rsidTr="00855680">
        <w:trPr>
          <w:trHeight w:val="44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63BE" w14:textId="77777777" w:rsidR="00713D7A" w:rsidRPr="00BB5B0F" w:rsidRDefault="00713D7A" w:rsidP="007B6EE0">
            <w:pPr>
              <w:ind w:left="-1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Nationality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F27" w14:textId="77777777" w:rsidR="00713D7A" w:rsidRDefault="00713D7A" w:rsidP="007B6EE0">
            <w:pPr>
              <w:ind w:left="-108"/>
              <w:jc w:val="center"/>
              <w:rPr>
                <w:lang w:val="en-GB"/>
              </w:rPr>
            </w:pPr>
            <w:r>
              <w:rPr>
                <w:lang w:val="en-GB"/>
              </w:rPr>
              <w:t>UK</w:t>
            </w:r>
          </w:p>
          <w:p w14:paraId="5D216773" w14:textId="77777777" w:rsidR="00713D7A" w:rsidRDefault="00713D7A" w:rsidP="007B6EE0">
            <w:pPr>
              <w:ind w:left="-108"/>
              <w:jc w:val="center"/>
              <w:rPr>
                <w:lang w:val="en-GB"/>
              </w:rPr>
            </w:pPr>
            <w:r>
              <w:rPr>
                <w:lang w:val="en-GB"/>
              </w:rPr>
              <w:t>EU (non-UK)</w:t>
            </w:r>
          </w:p>
          <w:p w14:paraId="658A8E07" w14:textId="77777777" w:rsidR="00713D7A" w:rsidRDefault="00713D7A" w:rsidP="00713D7A">
            <w:pPr>
              <w:ind w:left="-108"/>
              <w:jc w:val="center"/>
              <w:rPr>
                <w:lang w:val="en-GB"/>
              </w:rPr>
            </w:pPr>
            <w:r>
              <w:rPr>
                <w:lang w:val="en-GB"/>
              </w:rPr>
              <w:t>Non-EU</w:t>
            </w:r>
          </w:p>
          <w:p w14:paraId="0F7787ED" w14:textId="77777777" w:rsidR="00713D7A" w:rsidRPr="00525225" w:rsidRDefault="00713D7A" w:rsidP="00713D7A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95B" w14:textId="77777777" w:rsidR="00713D7A" w:rsidRPr="00BB5B0F" w:rsidRDefault="00713D7A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  <w:tr w:rsidR="00682204" w:rsidRPr="00042C1E" w14:paraId="057D2DD5" w14:textId="77777777" w:rsidTr="00855680">
        <w:trPr>
          <w:trHeight w:val="4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78D1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  <w:r w:rsidRPr="00BB5B0F">
              <w:rPr>
                <w:b/>
                <w:bCs/>
                <w:lang w:val="en-GB"/>
              </w:rPr>
              <w:t>Disability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767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Known Disability</w:t>
            </w:r>
          </w:p>
          <w:p w14:paraId="56B8BD36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 known disability</w:t>
            </w:r>
          </w:p>
          <w:p w14:paraId="083FB5CF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CFA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  <w:tr w:rsidR="00682204" w:rsidRPr="00042C1E" w14:paraId="3AFE6A51" w14:textId="77777777" w:rsidTr="00855680">
        <w:trPr>
          <w:trHeight w:val="4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8CE6" w14:textId="3EACB07B" w:rsidR="00682204" w:rsidRPr="00BB5B0F" w:rsidRDefault="00682204" w:rsidP="00A2688E">
            <w:pPr>
              <w:ind w:left="-1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Sexual orientation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42D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Bisexual</w:t>
            </w:r>
          </w:p>
          <w:p w14:paraId="1EE7260D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Gay man</w:t>
            </w:r>
          </w:p>
          <w:p w14:paraId="24AB80F0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Gay woman / lesbian</w:t>
            </w:r>
          </w:p>
          <w:p w14:paraId="627E4436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Heterosexual</w:t>
            </w:r>
          </w:p>
          <w:p w14:paraId="210BC155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Other</w:t>
            </w:r>
          </w:p>
          <w:p w14:paraId="5B049B11" w14:textId="77777777" w:rsidR="00682204" w:rsidRPr="00525225" w:rsidRDefault="00682204" w:rsidP="007B6EE0">
            <w:pPr>
              <w:ind w:left="-108"/>
              <w:jc w:val="center"/>
              <w:rPr>
                <w:lang w:val="en-GB"/>
              </w:rPr>
            </w:pPr>
            <w:r w:rsidRPr="00525225">
              <w:rPr>
                <w:lang w:val="en-GB"/>
              </w:rPr>
              <w:t>Not disclosed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610" w14:textId="77777777" w:rsidR="00682204" w:rsidRPr="00BB5B0F" w:rsidRDefault="00682204" w:rsidP="007B6EE0">
            <w:pPr>
              <w:ind w:left="-108"/>
              <w:rPr>
                <w:b/>
                <w:bCs/>
                <w:lang w:val="en-GB"/>
              </w:rPr>
            </w:pPr>
          </w:p>
        </w:tc>
      </w:tr>
    </w:tbl>
    <w:p w14:paraId="4D416B7C" w14:textId="77777777" w:rsidR="007D07C6" w:rsidRPr="00682204" w:rsidRDefault="00D661A1" w:rsidP="00682204"/>
    <w:sectPr w:rsidR="007D07C6" w:rsidRPr="0068220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F5559" w16cex:dateUtc="2024-02-08T13:27:00Z"/>
  <w16cex:commentExtensible w16cex:durableId="296F559A" w16cex:dateUtc="2024-02-08T1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CC8DA" w14:textId="77777777" w:rsidR="00D661A1" w:rsidRDefault="00D661A1" w:rsidP="00B71EA9">
      <w:r>
        <w:separator/>
      </w:r>
    </w:p>
  </w:endnote>
  <w:endnote w:type="continuationSeparator" w:id="0">
    <w:p w14:paraId="23F244B1" w14:textId="77777777" w:rsidR="00D661A1" w:rsidRDefault="00D661A1" w:rsidP="00B7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64629" w14:textId="0274112D" w:rsidR="00967AAC" w:rsidRPr="005C46CF" w:rsidRDefault="005C46CF" w:rsidP="005C46CF">
    <w:pPr>
      <w:pStyle w:val="Footer"/>
      <w:rPr>
        <w:lang w:val="en-GB"/>
      </w:rPr>
    </w:pPr>
    <w:r w:rsidRPr="005C46CF">
      <w:rPr>
        <w:b/>
        <w:lang w:val="en-GB"/>
      </w:rPr>
      <w:t>Leverhulme Doctoral Scholarships Programme for Interdisciplinary Resilience Studies</w:t>
    </w:r>
    <w:r w:rsidRPr="005C46CF">
      <w:rPr>
        <w:b/>
        <w:lang w:val="en-GB"/>
      </w:rPr>
      <w:tab/>
    </w:r>
    <w:r w:rsidRPr="005C46CF">
      <w:fldChar w:fldCharType="begin"/>
    </w:r>
    <w:r w:rsidRPr="005C46CF">
      <w:instrText xml:space="preserve"> PAGE </w:instrText>
    </w:r>
    <w:r w:rsidRPr="005C46CF">
      <w:fldChar w:fldCharType="separate"/>
    </w:r>
    <w:r w:rsidRPr="005C46CF">
      <w:rPr>
        <w:noProof/>
      </w:rPr>
      <w:t>1</w:t>
    </w:r>
    <w:r w:rsidRPr="005C46CF">
      <w:fldChar w:fldCharType="end"/>
    </w:r>
    <w:r w:rsidRPr="005C46CF">
      <w:t>/</w:t>
    </w:r>
    <w:r w:rsidRPr="005C46CF">
      <w:fldChar w:fldCharType="begin"/>
    </w:r>
    <w:r w:rsidRPr="005C46CF">
      <w:instrText xml:space="preserve"> NUMPAGES </w:instrText>
    </w:r>
    <w:r w:rsidRPr="005C46CF">
      <w:fldChar w:fldCharType="separate"/>
    </w:r>
    <w:r w:rsidRPr="005C46CF">
      <w:rPr>
        <w:noProof/>
      </w:rPr>
      <w:t>1</w:t>
    </w:r>
    <w:r w:rsidRPr="005C46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15ED" w14:textId="77777777" w:rsidR="00D661A1" w:rsidRDefault="00D661A1" w:rsidP="00B71EA9">
      <w:r>
        <w:separator/>
      </w:r>
    </w:p>
  </w:footnote>
  <w:footnote w:type="continuationSeparator" w:id="0">
    <w:p w14:paraId="00DC160D" w14:textId="77777777" w:rsidR="00D661A1" w:rsidRDefault="00D661A1" w:rsidP="00B7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FCB1E" w14:textId="7FEF255E" w:rsidR="00B71EA9" w:rsidRDefault="005660D1" w:rsidP="005660D1">
    <w:pPr>
      <w:pStyle w:val="Header"/>
      <w:jc w:val="center"/>
    </w:pPr>
    <w:r>
      <w:rPr>
        <w:noProof/>
      </w:rPr>
      <w:drawing>
        <wp:inline distT="0" distB="0" distL="0" distR="0" wp14:anchorId="147993A4" wp14:editId="46D473C5">
          <wp:extent cx="5367867" cy="4614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RS_docs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3200" cy="47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04"/>
    <w:rsid w:val="000762F6"/>
    <w:rsid w:val="001F5ED1"/>
    <w:rsid w:val="002952E3"/>
    <w:rsid w:val="0032222B"/>
    <w:rsid w:val="003A21A3"/>
    <w:rsid w:val="003C3996"/>
    <w:rsid w:val="0046166C"/>
    <w:rsid w:val="00550CB0"/>
    <w:rsid w:val="005660D1"/>
    <w:rsid w:val="005678E4"/>
    <w:rsid w:val="005C46CF"/>
    <w:rsid w:val="00682204"/>
    <w:rsid w:val="00713D7A"/>
    <w:rsid w:val="0075348A"/>
    <w:rsid w:val="007B7947"/>
    <w:rsid w:val="00855680"/>
    <w:rsid w:val="00967AAC"/>
    <w:rsid w:val="00A2688E"/>
    <w:rsid w:val="00A83E6E"/>
    <w:rsid w:val="00B64941"/>
    <w:rsid w:val="00B71EA9"/>
    <w:rsid w:val="00D349F0"/>
    <w:rsid w:val="00D661A1"/>
    <w:rsid w:val="00D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2833"/>
  <w15:chartTrackingRefBased/>
  <w15:docId w15:val="{F07D77D4-CA31-4500-B41D-9B4695B7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82204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94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94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8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E4"/>
    <w:rPr>
      <w:rFonts w:ascii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1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E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1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EA9"/>
    <w:rPr>
      <w:lang w:val="en-US"/>
    </w:rPr>
  </w:style>
  <w:style w:type="paragraph" w:styleId="Revision">
    <w:name w:val="Revision"/>
    <w:hidden/>
    <w:uiPriority w:val="99"/>
    <w:semiHidden/>
    <w:rsid w:val="000762F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49201-17a3-4711-b9db-36f87b3633aa" xsi:nil="true"/>
    <lcf76f155ced4ddcb4097134ff3c332f xmlns="a58779b2-6e96-4303-86a5-b4932c384b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960F52493204CB9488410A28C071F" ma:contentTypeVersion="11" ma:contentTypeDescription="Create a new document." ma:contentTypeScope="" ma:versionID="69e1baa5fbb4a7e686162e642da87cf6">
  <xsd:schema xmlns:xsd="http://www.w3.org/2001/XMLSchema" xmlns:xs="http://www.w3.org/2001/XMLSchema" xmlns:p="http://schemas.microsoft.com/office/2006/metadata/properties" xmlns:ns2="a58779b2-6e96-4303-86a5-b4932c384b6f" xmlns:ns3="db049201-17a3-4711-b9db-36f87b3633aa" targetNamespace="http://schemas.microsoft.com/office/2006/metadata/properties" ma:root="true" ma:fieldsID="d145d0ae2e5f10e6fffa40dc8dd4c54a" ns2:_="" ns3:_="">
    <xsd:import namespace="a58779b2-6e96-4303-86a5-b4932c384b6f"/>
    <xsd:import namespace="db049201-17a3-4711-b9db-36f87b363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79b2-6e96-4303-86a5-b4932c384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9201-17a3-4711-b9db-36f87b3633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51ca8e-c322-4416-9df7-6583546ba8b3}" ma:internalName="TaxCatchAll" ma:showField="CatchAllData" ma:web="db049201-17a3-4711-b9db-36f87b363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E79F8-5448-4225-9DD6-C7B88206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56740-3C79-4914-855B-1AC3F571A404}">
  <ds:schemaRefs>
    <ds:schemaRef ds:uri="http://schemas.microsoft.com/office/2006/metadata/properties"/>
    <ds:schemaRef ds:uri="http://schemas.microsoft.com/office/infopath/2007/PartnerControls"/>
    <ds:schemaRef ds:uri="db049201-17a3-4711-b9db-36f87b3633aa"/>
    <ds:schemaRef ds:uri="a58779b2-6e96-4303-86a5-b4932c384b6f"/>
  </ds:schemaRefs>
</ds:datastoreItem>
</file>

<file path=customXml/itemProps3.xml><?xml version="1.0" encoding="utf-8"?>
<ds:datastoreItem xmlns:ds="http://schemas.openxmlformats.org/officeDocument/2006/customXml" ds:itemID="{5A582798-AE5B-4EB6-8D47-60ADCB817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79b2-6e96-4303-86a5-b4932c384b6f"/>
    <ds:schemaRef ds:uri="db049201-17a3-4711-b9db-36f87b363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Microsoft Office User</cp:lastModifiedBy>
  <cp:revision>11</cp:revision>
  <dcterms:created xsi:type="dcterms:W3CDTF">2024-02-12T06:53:00Z</dcterms:created>
  <dcterms:modified xsi:type="dcterms:W3CDTF">2024-02-12T07:45:00Z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0x010100602960F52493204CB9488410A28C071F</vt:lpwstr>
  </property>
</Properties>
</file>