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0B7D4" w14:textId="77777777" w:rsidR="00F63315" w:rsidRDefault="00F63315" w:rsidP="00F63315"/>
    <w:p w14:paraId="7E993C65" w14:textId="77777777" w:rsidR="00F63315" w:rsidRDefault="00F63315" w:rsidP="00F63315"/>
    <w:tbl>
      <w:tblPr>
        <w:tblStyle w:val="TableGrid"/>
        <w:tblW w:w="101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7"/>
      </w:tblGrid>
      <w:tr w:rsidR="00F63315" w:rsidRPr="0041691B" w14:paraId="702A6BE7" w14:textId="77777777" w:rsidTr="00B04ABC">
        <w:trPr>
          <w:trHeight w:val="8222"/>
        </w:trPr>
        <w:tc>
          <w:tcPr>
            <w:tcW w:w="5018" w:type="dxa"/>
            <w:tcBorders>
              <w:right w:val="single" w:sz="12" w:space="0" w:color="44546A" w:themeColor="text2"/>
            </w:tcBorders>
            <w:vAlign w:val="center"/>
          </w:tcPr>
          <w:p w14:paraId="57AEDC9C" w14:textId="77777777" w:rsidR="00F63315" w:rsidRPr="0041691B" w:rsidRDefault="00F63315" w:rsidP="00B04ABC">
            <w:pPr>
              <w:ind w:right="1021"/>
              <w:jc w:val="right"/>
            </w:pPr>
            <w:r>
              <w:rPr>
                <w:noProof/>
                <w:lang w:eastAsia="en-GB"/>
              </w:rPr>
              <w:drawing>
                <wp:anchor distT="0" distB="0" distL="114300" distR="114300" simplePos="0" relativeHeight="251659264" behindDoc="0" locked="0" layoutInCell="1" allowOverlap="1" wp14:anchorId="5593C509" wp14:editId="20FACA41">
                  <wp:simplePos x="0" y="0"/>
                  <wp:positionH relativeFrom="column">
                    <wp:posOffset>492125</wp:posOffset>
                  </wp:positionH>
                  <wp:positionV relativeFrom="page">
                    <wp:posOffset>104775</wp:posOffset>
                  </wp:positionV>
                  <wp:extent cx="217678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m4veg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6780" cy="923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502DED3D" wp14:editId="0CF31DE5">
                  <wp:simplePos x="0" y="0"/>
                  <wp:positionH relativeFrom="column">
                    <wp:posOffset>-83820</wp:posOffset>
                  </wp:positionH>
                  <wp:positionV relativeFrom="page">
                    <wp:posOffset>5337810</wp:posOffset>
                  </wp:positionV>
                  <wp:extent cx="1760855" cy="389255"/>
                  <wp:effectExtent l="0" t="0" r="0" b="0"/>
                  <wp:wrapTight wrapText="bothSides">
                    <wp:wrapPolygon edited="0">
                      <wp:start x="7945" y="0"/>
                      <wp:lineTo x="0" y="2114"/>
                      <wp:lineTo x="0" y="16914"/>
                      <wp:lineTo x="234" y="17971"/>
                      <wp:lineTo x="13787" y="20085"/>
                      <wp:lineTo x="15189" y="20085"/>
                      <wp:lineTo x="21265" y="16914"/>
                      <wp:lineTo x="21265" y="7400"/>
                      <wp:lineTo x="19396" y="0"/>
                      <wp:lineTo x="79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_uni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0855" cy="389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65CEA0C6" wp14:editId="42FAA9D1">
                  <wp:simplePos x="0" y="0"/>
                  <wp:positionH relativeFrom="column">
                    <wp:posOffset>1890395</wp:posOffset>
                  </wp:positionH>
                  <wp:positionV relativeFrom="page">
                    <wp:posOffset>5116195</wp:posOffset>
                  </wp:positionV>
                  <wp:extent cx="1066800" cy="654685"/>
                  <wp:effectExtent l="0" t="0" r="0" b="0"/>
                  <wp:wrapTight wrapText="bothSides">
                    <wp:wrapPolygon edited="0">
                      <wp:start x="0" y="0"/>
                      <wp:lineTo x="0" y="20741"/>
                      <wp:lineTo x="21214" y="20741"/>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ablogo.jpg"/>
                          <pic:cNvPicPr/>
                        </pic:nvPicPr>
                        <pic:blipFill>
                          <a:blip r:embed="rId11">
                            <a:extLst>
                              <a:ext uri="{28A0092B-C50C-407E-A947-70E740481C1C}">
                                <a14:useLocalDpi xmlns:a14="http://schemas.microsoft.com/office/drawing/2010/main" val="0"/>
                              </a:ext>
                            </a:extLst>
                          </a:blip>
                          <a:stretch>
                            <a:fillRect/>
                          </a:stretch>
                        </pic:blipFill>
                        <pic:spPr>
                          <a:xfrm>
                            <a:off x="0" y="0"/>
                            <a:ext cx="1066800" cy="654685"/>
                          </a:xfrm>
                          <a:prstGeom prst="rect">
                            <a:avLst/>
                          </a:prstGeom>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44546A" w:themeColor="text2"/>
            </w:tcBorders>
            <w:vAlign w:val="center"/>
          </w:tcPr>
          <w:p w14:paraId="6A52387E" w14:textId="77777777" w:rsidR="00F63315" w:rsidRPr="0034335B" w:rsidRDefault="00F63315" w:rsidP="00B04ABC">
            <w:pPr>
              <w:pStyle w:val="NoSpacing"/>
              <w:rPr>
                <w:b/>
                <w:bCs/>
                <w:caps/>
                <w:color w:val="2F5496" w:themeColor="accent1" w:themeShade="BF"/>
                <w:sz w:val="36"/>
                <w:szCs w:val="36"/>
                <w:lang w:val="en-GB"/>
              </w:rPr>
            </w:pPr>
            <w:r w:rsidRPr="0034335B">
              <w:rPr>
                <w:b/>
                <w:bCs/>
                <w:color w:val="2F5496" w:themeColor="accent1" w:themeShade="BF"/>
                <w:sz w:val="36"/>
                <w:szCs w:val="36"/>
                <w:lang w:val="en-GB"/>
              </w:rPr>
              <w:t>FRM4Veg Overview and Metrological Principles</w:t>
            </w:r>
          </w:p>
          <w:p w14:paraId="6F4E2239" w14:textId="77777777" w:rsidR="00F63315" w:rsidRPr="00820324" w:rsidRDefault="00F63315" w:rsidP="00B04ABC">
            <w:pPr>
              <w:pStyle w:val="NoSpacing"/>
              <w:rPr>
                <w:caps/>
                <w:color w:val="4472C4" w:themeColor="accent1"/>
                <w:sz w:val="26"/>
                <w:szCs w:val="26"/>
                <w:lang w:val="en-GB"/>
              </w:rPr>
            </w:pPr>
          </w:p>
          <w:p w14:paraId="2383C67E" w14:textId="77777777" w:rsidR="00F63315" w:rsidRDefault="00F63315" w:rsidP="00B04ABC">
            <w:pPr>
              <w:pStyle w:val="NoSpacing"/>
              <w:rPr>
                <w:caps/>
                <w:color w:val="44546A" w:themeColor="text2"/>
                <w:sz w:val="26"/>
                <w:szCs w:val="26"/>
                <w:lang w:val="en-GB"/>
              </w:rPr>
            </w:pPr>
          </w:p>
          <w:p w14:paraId="116284E7" w14:textId="77777777" w:rsidR="00F63315" w:rsidRPr="0041691B" w:rsidRDefault="00F63315" w:rsidP="00B04ABC">
            <w:pPr>
              <w:pStyle w:val="NoSpacing"/>
              <w:rPr>
                <w:color w:val="44546A" w:themeColor="text2"/>
                <w:sz w:val="26"/>
                <w:szCs w:val="26"/>
                <w:lang w:val="en-GB"/>
              </w:rPr>
            </w:pPr>
          </w:p>
          <w:p w14:paraId="0B913D15" w14:textId="77777777" w:rsidR="00F63315" w:rsidRPr="0041691B" w:rsidRDefault="00F63315" w:rsidP="00B04ABC">
            <w:pPr>
              <w:pStyle w:val="NoSpacing"/>
              <w:rPr>
                <w:color w:val="44546A" w:themeColor="text2"/>
                <w:sz w:val="26"/>
                <w:szCs w:val="26"/>
                <w:lang w:val="en-GB"/>
              </w:rPr>
            </w:pPr>
          </w:p>
          <w:p w14:paraId="5DE0F3B8" w14:textId="77777777" w:rsidR="00F63315" w:rsidRPr="0041691B" w:rsidRDefault="00F63315" w:rsidP="00B04ABC">
            <w:pPr>
              <w:pStyle w:val="NoSpacing"/>
              <w:rPr>
                <w:color w:val="44546A" w:themeColor="text2"/>
                <w:sz w:val="26"/>
                <w:szCs w:val="26"/>
                <w:lang w:val="en-GB"/>
              </w:rPr>
            </w:pPr>
          </w:p>
          <w:p w14:paraId="19F2B050" w14:textId="77777777" w:rsidR="00F63315" w:rsidRPr="0041691B" w:rsidRDefault="00F63315" w:rsidP="00B04ABC">
            <w:pPr>
              <w:pStyle w:val="NoSpacing"/>
              <w:rPr>
                <w:color w:val="44546A" w:themeColor="text2"/>
                <w:sz w:val="26"/>
                <w:szCs w:val="26"/>
                <w:lang w:val="en-GB"/>
              </w:rPr>
            </w:pPr>
          </w:p>
          <w:p w14:paraId="0E62B812" w14:textId="77777777" w:rsidR="00F63315" w:rsidRPr="0041691B" w:rsidRDefault="00F63315" w:rsidP="00B04ABC">
            <w:pPr>
              <w:pStyle w:val="NoSpacing"/>
              <w:rPr>
                <w:lang w:val="en-GB"/>
              </w:rPr>
            </w:pPr>
          </w:p>
          <w:p w14:paraId="7C3C3731" w14:textId="77777777" w:rsidR="00F63315" w:rsidRPr="0041691B" w:rsidRDefault="00F63315" w:rsidP="00B04ABC">
            <w:pPr>
              <w:pStyle w:val="NoSpacing"/>
              <w:rPr>
                <w:lang w:val="en-GB"/>
              </w:rPr>
            </w:pPr>
          </w:p>
          <w:sdt>
            <w:sdtPr>
              <w:rPr>
                <w:lang w:val="en-GB"/>
              </w:rPr>
              <w:alias w:val="Organisation"/>
              <w:tag w:val="Author organisation"/>
              <w:id w:val="-598638019"/>
            </w:sdtPr>
            <w:sdtEndPr/>
            <w:sdtContent>
              <w:p w14:paraId="2D1E5CE5" w14:textId="77777777" w:rsidR="00F63315" w:rsidRDefault="00F63315" w:rsidP="00B04ABC">
                <w:pPr>
                  <w:pStyle w:val="NoSpacing"/>
                  <w:rPr>
                    <w:lang w:val="en-GB"/>
                  </w:rPr>
                </w:pPr>
                <w:r>
                  <w:rPr>
                    <w:lang w:val="en-GB"/>
                  </w:rPr>
                  <w:t>National Physical Laboratory</w:t>
                </w:r>
              </w:p>
              <w:p w14:paraId="00DE8E0B" w14:textId="77777777" w:rsidR="00F63315" w:rsidRDefault="00F63315" w:rsidP="00B04ABC">
                <w:pPr>
                  <w:pStyle w:val="NoSpacing"/>
                  <w:rPr>
                    <w:lang w:val="en-GB"/>
                  </w:rPr>
                </w:pPr>
                <w:r>
                  <w:rPr>
                    <w:lang w:val="en-GB"/>
                  </w:rPr>
                  <w:t>University of Southampton</w:t>
                </w:r>
              </w:p>
              <w:p w14:paraId="74FBEF18" w14:textId="77777777" w:rsidR="00F63315" w:rsidRPr="0041691B" w:rsidRDefault="00F63315" w:rsidP="00B04ABC">
                <w:pPr>
                  <w:pStyle w:val="NoSpacing"/>
                  <w:rPr>
                    <w:lang w:val="en-GB"/>
                  </w:rPr>
                </w:pPr>
                <w:r>
                  <w:rPr>
                    <w:lang w:val="en-GB"/>
                  </w:rPr>
                  <w:t>EOLab</w:t>
                </w:r>
              </w:p>
            </w:sdtContent>
          </w:sdt>
          <w:p w14:paraId="00106748" w14:textId="77777777" w:rsidR="00F63315" w:rsidRPr="0041691B" w:rsidRDefault="00F63315" w:rsidP="00B04ABC">
            <w:pPr>
              <w:pStyle w:val="NoSpacing"/>
              <w:rPr>
                <w:lang w:val="en-GB"/>
              </w:rPr>
            </w:pPr>
          </w:p>
          <w:sdt>
            <w:sdtPr>
              <w:alias w:val="Date"/>
              <w:tag w:val="Pick from calendar"/>
              <w:id w:val="512657460"/>
              <w:date w:fullDate="2020-06-05T00:00:00Z">
                <w:dateFormat w:val="dd MMMM yyyy"/>
                <w:lid w:val="en-GB"/>
                <w:storeMappedDataAs w:val="dateTime"/>
                <w:calendar w:val="gregorian"/>
              </w:date>
            </w:sdtPr>
            <w:sdtEndPr/>
            <w:sdtContent>
              <w:p w14:paraId="1056E20B" w14:textId="04BE4567" w:rsidR="00F63315" w:rsidRPr="0041691B" w:rsidRDefault="000671D8" w:rsidP="00B04ABC">
                <w:r>
                  <w:t>0</w:t>
                </w:r>
                <w:r w:rsidR="000A0608">
                  <w:t>5</w:t>
                </w:r>
                <w:r>
                  <w:t xml:space="preserve"> June 2020</w:t>
                </w:r>
              </w:p>
            </w:sdtContent>
          </w:sdt>
        </w:tc>
      </w:tr>
      <w:tr w:rsidR="00F63315" w:rsidRPr="0041691B" w14:paraId="0EDE6A0F" w14:textId="77777777" w:rsidTr="00B04ABC">
        <w:trPr>
          <w:trHeight w:val="2017"/>
        </w:trPr>
        <w:tc>
          <w:tcPr>
            <w:tcW w:w="5018" w:type="dxa"/>
            <w:tcBorders>
              <w:right w:val="single" w:sz="12" w:space="0" w:color="44546A" w:themeColor="text2"/>
            </w:tcBorders>
          </w:tcPr>
          <w:p w14:paraId="267A7559" w14:textId="77777777" w:rsidR="00F63315" w:rsidRPr="0041691B" w:rsidRDefault="00F63315" w:rsidP="00B04ABC">
            <w:r w:rsidRPr="0041691B">
              <w:rPr>
                <w:noProof/>
                <w:lang w:eastAsia="en-GB"/>
              </w:rPr>
              <w:drawing>
                <wp:anchor distT="0" distB="0" distL="114300" distR="114300" simplePos="0" relativeHeight="251663360" behindDoc="1" locked="0" layoutInCell="1" allowOverlap="1" wp14:anchorId="25518142" wp14:editId="42D87BA5">
                  <wp:simplePos x="0" y="0"/>
                  <wp:positionH relativeFrom="column">
                    <wp:posOffset>1756410</wp:posOffset>
                  </wp:positionH>
                  <wp:positionV relativeFrom="page">
                    <wp:posOffset>214630</wp:posOffset>
                  </wp:positionV>
                  <wp:extent cx="1247140" cy="619125"/>
                  <wp:effectExtent l="0" t="0" r="0" b="9525"/>
                  <wp:wrapTight wrapText="bothSides">
                    <wp:wrapPolygon edited="0">
                      <wp:start x="0" y="0"/>
                      <wp:lineTo x="0" y="21268"/>
                      <wp:lineTo x="21116" y="21268"/>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logo_dark_blue.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margin">
                    <wp14:pctWidth>0</wp14:pctWidth>
                  </wp14:sizeRelH>
                  <wp14:sizeRelV relativeFrom="margin">
                    <wp14:pctHeight>0</wp14:pctHeight>
                  </wp14:sizeRelV>
                </wp:anchor>
              </w:drawing>
            </w:r>
            <w:r w:rsidRPr="0041691B">
              <w:rPr>
                <w:noProof/>
                <w:color w:val="0000FF"/>
                <w:lang w:eastAsia="en-GB"/>
              </w:rPr>
              <w:drawing>
                <wp:anchor distT="0" distB="0" distL="114300" distR="114300" simplePos="0" relativeHeight="251661312" behindDoc="1" locked="0" layoutInCell="1" allowOverlap="1" wp14:anchorId="060C4B67" wp14:editId="20B55575">
                  <wp:simplePos x="0" y="0"/>
                  <wp:positionH relativeFrom="column">
                    <wp:posOffset>184150</wp:posOffset>
                  </wp:positionH>
                  <wp:positionV relativeFrom="page">
                    <wp:posOffset>294005</wp:posOffset>
                  </wp:positionV>
                  <wp:extent cx="1235075" cy="533400"/>
                  <wp:effectExtent l="0" t="0" r="3175" b="0"/>
                  <wp:wrapTight wrapText="bothSides">
                    <wp:wrapPolygon edited="0">
                      <wp:start x="0" y="0"/>
                      <wp:lineTo x="0" y="20829"/>
                      <wp:lineTo x="21322" y="20829"/>
                      <wp:lineTo x="21322" y="0"/>
                      <wp:lineTo x="0" y="0"/>
                    </wp:wrapPolygon>
                  </wp:wrapTight>
                  <wp:docPr id="10" name="Picture 10"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50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44546A" w:themeColor="text2"/>
            </w:tcBorders>
          </w:tcPr>
          <w:p w14:paraId="42F4A57B" w14:textId="77777777" w:rsidR="00F63315" w:rsidRDefault="00F63315" w:rsidP="00B04ABC"/>
          <w:p w14:paraId="3E7D4AD5" w14:textId="77777777" w:rsidR="00F63315" w:rsidRDefault="00F63315" w:rsidP="00B04ABC"/>
          <w:p w14:paraId="67AC9D7A" w14:textId="77777777" w:rsidR="00F63315" w:rsidRDefault="00F63315" w:rsidP="00B04ABC"/>
          <w:p w14:paraId="642231D3" w14:textId="77777777" w:rsidR="00F63315" w:rsidRPr="0041691B" w:rsidRDefault="00F63315" w:rsidP="00B04ABC">
            <w:r w:rsidRPr="0068439A">
              <w:t xml:space="preserve">This document was produced as part of the ESA-funded project “Fiducial Reference Measurements for Vegetation </w:t>
            </w:r>
            <w:r>
              <w:t xml:space="preserve">Phase 2 </w:t>
            </w:r>
            <w:r w:rsidRPr="0068439A">
              <w:t>(FRM4VEG</w:t>
            </w:r>
            <w:r>
              <w:t xml:space="preserve"> 2</w:t>
            </w:r>
            <w:r w:rsidRPr="0068439A">
              <w:t xml:space="preserve">)” under ESA contract number: </w:t>
            </w:r>
            <w:r>
              <w:t>4000129823/20/I-NS</w:t>
            </w:r>
          </w:p>
        </w:tc>
      </w:tr>
    </w:tbl>
    <w:p w14:paraId="05978557" w14:textId="77777777" w:rsidR="00797D05" w:rsidRDefault="00797D05"/>
    <w:p w14:paraId="20E2FD73" w14:textId="77777777" w:rsidR="00F63315" w:rsidRDefault="00F63315"/>
    <w:p w14:paraId="3F21EA03" w14:textId="77777777" w:rsidR="00F63315" w:rsidRDefault="00F63315"/>
    <w:p w14:paraId="131B48A3" w14:textId="77777777" w:rsidR="00F63315" w:rsidRDefault="00F63315"/>
    <w:p w14:paraId="18BE5D00" w14:textId="77777777" w:rsidR="00F63315" w:rsidRPr="00D30CE5" w:rsidRDefault="00F63315" w:rsidP="00D30CE5">
      <w:pPr>
        <w:pStyle w:val="Heading1"/>
        <w:numPr>
          <w:ilvl w:val="0"/>
          <w:numId w:val="0"/>
        </w:numPr>
        <w:ind w:left="432" w:hanging="432"/>
        <w:rPr>
          <w:color w:val="4472C4" w:themeColor="accent1"/>
        </w:rPr>
      </w:pPr>
      <w:bookmarkStart w:id="0" w:name="_Toc42182352"/>
      <w:r w:rsidRPr="00D30CE5">
        <w:rPr>
          <w:color w:val="4472C4" w:themeColor="accent1"/>
        </w:rPr>
        <w:lastRenderedPageBreak/>
        <w:t>Signatures</w:t>
      </w:r>
      <w:bookmarkEnd w:id="0"/>
    </w:p>
    <w:p w14:paraId="5A027CED" w14:textId="77777777" w:rsidR="00F63315" w:rsidRDefault="00F63315" w:rsidP="00F63315">
      <w:pPr>
        <w:pStyle w:val="Heading5"/>
      </w:pPr>
    </w:p>
    <w:tbl>
      <w:tblPr>
        <w:tblStyle w:val="TableGrid"/>
        <w:tblW w:w="0" w:type="auto"/>
        <w:tblLook w:val="04A0" w:firstRow="1" w:lastRow="0" w:firstColumn="1" w:lastColumn="0" w:noHBand="0" w:noVBand="1"/>
      </w:tblPr>
      <w:tblGrid>
        <w:gridCol w:w="2254"/>
        <w:gridCol w:w="2254"/>
        <w:gridCol w:w="2717"/>
        <w:gridCol w:w="1791"/>
      </w:tblGrid>
      <w:tr w:rsidR="00F63315" w:rsidRPr="0068439A" w14:paraId="4C645B77" w14:textId="77777777" w:rsidTr="00B04ABC">
        <w:tc>
          <w:tcPr>
            <w:tcW w:w="2254" w:type="dxa"/>
          </w:tcPr>
          <w:p w14:paraId="2C7F6538" w14:textId="77777777" w:rsidR="00F63315" w:rsidRPr="0068439A" w:rsidRDefault="00F63315" w:rsidP="00B04ABC"/>
        </w:tc>
        <w:tc>
          <w:tcPr>
            <w:tcW w:w="2254" w:type="dxa"/>
          </w:tcPr>
          <w:p w14:paraId="2E5AD602" w14:textId="77777777" w:rsidR="00F63315" w:rsidRPr="0068439A" w:rsidRDefault="00F63315" w:rsidP="00B04ABC">
            <w:pPr>
              <w:rPr>
                <w:b/>
                <w:bCs/>
              </w:rPr>
            </w:pPr>
            <w:r w:rsidRPr="0068439A">
              <w:rPr>
                <w:b/>
                <w:bCs/>
              </w:rPr>
              <w:t>Name</w:t>
            </w:r>
          </w:p>
        </w:tc>
        <w:tc>
          <w:tcPr>
            <w:tcW w:w="2717" w:type="dxa"/>
          </w:tcPr>
          <w:p w14:paraId="6DD0DB32" w14:textId="77777777" w:rsidR="00F63315" w:rsidRPr="0068439A" w:rsidRDefault="00F63315" w:rsidP="00B04ABC">
            <w:pPr>
              <w:rPr>
                <w:b/>
                <w:bCs/>
              </w:rPr>
            </w:pPr>
            <w:r w:rsidRPr="0068439A">
              <w:rPr>
                <w:b/>
                <w:bCs/>
              </w:rPr>
              <w:t>Organisation</w:t>
            </w:r>
          </w:p>
        </w:tc>
        <w:tc>
          <w:tcPr>
            <w:tcW w:w="1791" w:type="dxa"/>
          </w:tcPr>
          <w:p w14:paraId="00761084" w14:textId="77777777" w:rsidR="00F63315" w:rsidRPr="0068439A" w:rsidRDefault="00F63315" w:rsidP="00B04ABC">
            <w:pPr>
              <w:rPr>
                <w:b/>
                <w:bCs/>
              </w:rPr>
            </w:pPr>
            <w:r w:rsidRPr="0068439A">
              <w:rPr>
                <w:b/>
                <w:bCs/>
              </w:rPr>
              <w:t>Date</w:t>
            </w:r>
          </w:p>
        </w:tc>
      </w:tr>
      <w:tr w:rsidR="00F63315" w:rsidRPr="0068439A" w14:paraId="6E794EB6" w14:textId="77777777" w:rsidTr="00B04ABC">
        <w:tc>
          <w:tcPr>
            <w:tcW w:w="2254" w:type="dxa"/>
          </w:tcPr>
          <w:p w14:paraId="4115B0F5" w14:textId="77777777" w:rsidR="00F63315" w:rsidRPr="0068439A" w:rsidRDefault="00F63315" w:rsidP="00B04ABC">
            <w:pPr>
              <w:rPr>
                <w:b/>
                <w:bCs/>
              </w:rPr>
            </w:pPr>
            <w:r w:rsidRPr="0068439A">
              <w:rPr>
                <w:b/>
                <w:bCs/>
              </w:rPr>
              <w:t>Written by</w:t>
            </w:r>
          </w:p>
        </w:tc>
        <w:tc>
          <w:tcPr>
            <w:tcW w:w="2254" w:type="dxa"/>
          </w:tcPr>
          <w:p w14:paraId="78328C4E" w14:textId="77777777" w:rsidR="00F63315" w:rsidRPr="0068439A" w:rsidRDefault="00F63315" w:rsidP="00B04ABC">
            <w:r>
              <w:t>Joanne Nightingale</w:t>
            </w:r>
          </w:p>
        </w:tc>
        <w:tc>
          <w:tcPr>
            <w:tcW w:w="2717" w:type="dxa"/>
          </w:tcPr>
          <w:p w14:paraId="463D7C5B" w14:textId="77777777" w:rsidR="00F63315" w:rsidRPr="0068439A" w:rsidRDefault="00F63315" w:rsidP="00B04ABC">
            <w:r w:rsidRPr="0068439A">
              <w:t>NPL</w:t>
            </w:r>
          </w:p>
        </w:tc>
        <w:tc>
          <w:tcPr>
            <w:tcW w:w="1791" w:type="dxa"/>
          </w:tcPr>
          <w:p w14:paraId="3FD877D0" w14:textId="673BF422" w:rsidR="00F63315" w:rsidRPr="0068439A" w:rsidRDefault="00F63315" w:rsidP="00B04ABC">
            <w:r>
              <w:t>0</w:t>
            </w:r>
            <w:r w:rsidR="00B746B9">
              <w:t>5</w:t>
            </w:r>
            <w:r>
              <w:t>/06/2020</w:t>
            </w:r>
          </w:p>
        </w:tc>
      </w:tr>
      <w:tr w:rsidR="00F63315" w:rsidRPr="0068439A" w14:paraId="238273B2" w14:textId="77777777" w:rsidTr="00B04ABC">
        <w:tc>
          <w:tcPr>
            <w:tcW w:w="2254" w:type="dxa"/>
          </w:tcPr>
          <w:p w14:paraId="3ECD8864" w14:textId="77777777" w:rsidR="00F63315" w:rsidRPr="0068439A" w:rsidRDefault="00F63315" w:rsidP="00B04ABC">
            <w:pPr>
              <w:rPr>
                <w:b/>
                <w:bCs/>
              </w:rPr>
            </w:pPr>
          </w:p>
        </w:tc>
        <w:tc>
          <w:tcPr>
            <w:tcW w:w="2254" w:type="dxa"/>
          </w:tcPr>
          <w:p w14:paraId="6DF629EF" w14:textId="77777777" w:rsidR="00F63315" w:rsidRPr="0068439A" w:rsidRDefault="00F63315" w:rsidP="00B04ABC">
            <w:r w:rsidRPr="0068439A">
              <w:t xml:space="preserve">Rosalinda Morrone </w:t>
            </w:r>
          </w:p>
        </w:tc>
        <w:tc>
          <w:tcPr>
            <w:tcW w:w="2717" w:type="dxa"/>
          </w:tcPr>
          <w:p w14:paraId="17B3AC37" w14:textId="77777777" w:rsidR="00F63315" w:rsidRPr="0068439A" w:rsidRDefault="00F63315" w:rsidP="00B04ABC">
            <w:r w:rsidRPr="0068439A">
              <w:t>NPL</w:t>
            </w:r>
          </w:p>
        </w:tc>
        <w:tc>
          <w:tcPr>
            <w:tcW w:w="1791" w:type="dxa"/>
          </w:tcPr>
          <w:p w14:paraId="62E26D28" w14:textId="77777777" w:rsidR="00F63315" w:rsidRPr="0068439A" w:rsidRDefault="00F63315" w:rsidP="00B04ABC"/>
        </w:tc>
      </w:tr>
      <w:tr w:rsidR="00F63315" w:rsidRPr="0068439A" w14:paraId="7A54C80D" w14:textId="77777777" w:rsidTr="00B04ABC">
        <w:tc>
          <w:tcPr>
            <w:tcW w:w="2254" w:type="dxa"/>
          </w:tcPr>
          <w:p w14:paraId="5E9D372C" w14:textId="77777777" w:rsidR="00F63315" w:rsidRPr="0068439A" w:rsidRDefault="00F63315" w:rsidP="00B04ABC">
            <w:pPr>
              <w:rPr>
                <w:b/>
                <w:bCs/>
              </w:rPr>
            </w:pPr>
          </w:p>
        </w:tc>
        <w:tc>
          <w:tcPr>
            <w:tcW w:w="2254" w:type="dxa"/>
          </w:tcPr>
          <w:p w14:paraId="505A8613" w14:textId="77777777" w:rsidR="00F63315" w:rsidRPr="0068439A" w:rsidRDefault="00F63315" w:rsidP="00B04ABC">
            <w:r w:rsidRPr="0068439A">
              <w:t>Niall Origo</w:t>
            </w:r>
          </w:p>
        </w:tc>
        <w:tc>
          <w:tcPr>
            <w:tcW w:w="2717" w:type="dxa"/>
          </w:tcPr>
          <w:p w14:paraId="3BD660BE" w14:textId="77777777" w:rsidR="00F63315" w:rsidRPr="0068439A" w:rsidRDefault="00F63315" w:rsidP="00B04ABC">
            <w:r w:rsidRPr="0068439A">
              <w:t>NPL</w:t>
            </w:r>
          </w:p>
        </w:tc>
        <w:tc>
          <w:tcPr>
            <w:tcW w:w="1791" w:type="dxa"/>
          </w:tcPr>
          <w:p w14:paraId="2A4A2AB2" w14:textId="77777777" w:rsidR="00F63315" w:rsidRPr="0068439A" w:rsidRDefault="00F63315" w:rsidP="00B04ABC"/>
        </w:tc>
      </w:tr>
      <w:tr w:rsidR="00F63315" w:rsidRPr="0068439A" w14:paraId="3760D5FF" w14:textId="77777777" w:rsidTr="00B04ABC">
        <w:tc>
          <w:tcPr>
            <w:tcW w:w="2254" w:type="dxa"/>
          </w:tcPr>
          <w:p w14:paraId="218B8F50" w14:textId="77777777" w:rsidR="00F63315" w:rsidRPr="0068439A" w:rsidRDefault="00F63315" w:rsidP="00B04ABC">
            <w:pPr>
              <w:rPr>
                <w:b/>
                <w:bCs/>
              </w:rPr>
            </w:pPr>
          </w:p>
        </w:tc>
        <w:tc>
          <w:tcPr>
            <w:tcW w:w="2254" w:type="dxa"/>
          </w:tcPr>
          <w:p w14:paraId="0205BBD2" w14:textId="77777777" w:rsidR="00F63315" w:rsidRPr="0068439A" w:rsidRDefault="00F63315" w:rsidP="00B04ABC">
            <w:r w:rsidRPr="0068439A">
              <w:t>Luke Brown</w:t>
            </w:r>
          </w:p>
        </w:tc>
        <w:tc>
          <w:tcPr>
            <w:tcW w:w="2717" w:type="dxa"/>
          </w:tcPr>
          <w:p w14:paraId="31030CE8" w14:textId="77777777" w:rsidR="00F63315" w:rsidRPr="0068439A" w:rsidRDefault="00F63315" w:rsidP="00B04ABC">
            <w:r w:rsidRPr="0068439A">
              <w:t>University of Southampton</w:t>
            </w:r>
          </w:p>
        </w:tc>
        <w:tc>
          <w:tcPr>
            <w:tcW w:w="1791" w:type="dxa"/>
          </w:tcPr>
          <w:p w14:paraId="5D12DACD" w14:textId="77777777" w:rsidR="00F63315" w:rsidRPr="0068439A" w:rsidRDefault="00F63315" w:rsidP="00B04ABC"/>
        </w:tc>
      </w:tr>
      <w:tr w:rsidR="00F63315" w:rsidRPr="0068439A" w14:paraId="2EC220FD" w14:textId="77777777" w:rsidTr="00B04ABC">
        <w:tc>
          <w:tcPr>
            <w:tcW w:w="2254" w:type="dxa"/>
          </w:tcPr>
          <w:p w14:paraId="18FE6437" w14:textId="77777777" w:rsidR="00F63315" w:rsidRPr="0068439A" w:rsidRDefault="00F63315" w:rsidP="00B04ABC">
            <w:pPr>
              <w:rPr>
                <w:b/>
                <w:bCs/>
              </w:rPr>
            </w:pPr>
          </w:p>
        </w:tc>
        <w:tc>
          <w:tcPr>
            <w:tcW w:w="2254" w:type="dxa"/>
          </w:tcPr>
          <w:p w14:paraId="72575DE1" w14:textId="77777777" w:rsidR="00F63315" w:rsidRPr="0068439A" w:rsidRDefault="00F63315" w:rsidP="00B04ABC">
            <w:r>
              <w:t>Jadu Dash</w:t>
            </w:r>
          </w:p>
        </w:tc>
        <w:tc>
          <w:tcPr>
            <w:tcW w:w="2717" w:type="dxa"/>
          </w:tcPr>
          <w:p w14:paraId="1CB98105" w14:textId="77777777" w:rsidR="00F63315" w:rsidRPr="0068439A" w:rsidRDefault="00F63315" w:rsidP="00B04ABC">
            <w:r w:rsidRPr="0068439A">
              <w:t>University of Southampton</w:t>
            </w:r>
          </w:p>
        </w:tc>
        <w:tc>
          <w:tcPr>
            <w:tcW w:w="1791" w:type="dxa"/>
          </w:tcPr>
          <w:p w14:paraId="13974F19" w14:textId="77777777" w:rsidR="00F63315" w:rsidRPr="0068439A" w:rsidRDefault="00F63315" w:rsidP="00B04ABC"/>
        </w:tc>
      </w:tr>
      <w:tr w:rsidR="00F63315" w:rsidRPr="0068439A" w14:paraId="5084ACF8" w14:textId="77777777" w:rsidTr="00B04ABC">
        <w:tc>
          <w:tcPr>
            <w:tcW w:w="2254" w:type="dxa"/>
          </w:tcPr>
          <w:p w14:paraId="68785882" w14:textId="77777777" w:rsidR="00F63315" w:rsidRPr="0068439A" w:rsidRDefault="00F63315" w:rsidP="00B04ABC">
            <w:pPr>
              <w:rPr>
                <w:b/>
                <w:bCs/>
              </w:rPr>
            </w:pPr>
          </w:p>
        </w:tc>
        <w:tc>
          <w:tcPr>
            <w:tcW w:w="2254" w:type="dxa"/>
          </w:tcPr>
          <w:p w14:paraId="6BE861D2" w14:textId="77777777" w:rsidR="00F63315" w:rsidRPr="0068439A" w:rsidRDefault="00F63315" w:rsidP="00B04ABC">
            <w:r>
              <w:t>Fernando Camacho</w:t>
            </w:r>
          </w:p>
        </w:tc>
        <w:tc>
          <w:tcPr>
            <w:tcW w:w="2717" w:type="dxa"/>
          </w:tcPr>
          <w:p w14:paraId="4CFD9306" w14:textId="77777777" w:rsidR="00F63315" w:rsidRPr="0068439A" w:rsidRDefault="00F63315" w:rsidP="00B04ABC">
            <w:r>
              <w:t>EOLab</w:t>
            </w:r>
          </w:p>
        </w:tc>
        <w:tc>
          <w:tcPr>
            <w:tcW w:w="1791" w:type="dxa"/>
          </w:tcPr>
          <w:p w14:paraId="36FE3003" w14:textId="77777777" w:rsidR="00F63315" w:rsidRPr="0068439A" w:rsidRDefault="00F63315" w:rsidP="00B04ABC"/>
        </w:tc>
      </w:tr>
      <w:tr w:rsidR="00F63315" w:rsidRPr="0068439A" w14:paraId="7DABFA44" w14:textId="77777777" w:rsidTr="00B04ABC">
        <w:tc>
          <w:tcPr>
            <w:tcW w:w="2254" w:type="dxa"/>
          </w:tcPr>
          <w:p w14:paraId="0CEC83AF" w14:textId="77777777" w:rsidR="00F63315" w:rsidRPr="0068439A" w:rsidRDefault="00F63315" w:rsidP="00B04ABC">
            <w:pPr>
              <w:rPr>
                <w:b/>
                <w:bCs/>
              </w:rPr>
            </w:pPr>
          </w:p>
        </w:tc>
        <w:tc>
          <w:tcPr>
            <w:tcW w:w="2254" w:type="dxa"/>
          </w:tcPr>
          <w:p w14:paraId="68847F07" w14:textId="77777777" w:rsidR="00F63315" w:rsidRPr="0068439A" w:rsidRDefault="00F63315" w:rsidP="00B04ABC">
            <w:r>
              <w:t>Vicent Garcia</w:t>
            </w:r>
          </w:p>
        </w:tc>
        <w:tc>
          <w:tcPr>
            <w:tcW w:w="2717" w:type="dxa"/>
          </w:tcPr>
          <w:p w14:paraId="3E0A210F" w14:textId="77777777" w:rsidR="00F63315" w:rsidRPr="0068439A" w:rsidRDefault="00F63315" w:rsidP="00B04ABC">
            <w:r>
              <w:t>EOLab</w:t>
            </w:r>
          </w:p>
        </w:tc>
        <w:tc>
          <w:tcPr>
            <w:tcW w:w="1791" w:type="dxa"/>
          </w:tcPr>
          <w:p w14:paraId="25A31D69" w14:textId="77777777" w:rsidR="00F63315" w:rsidRPr="0068439A" w:rsidRDefault="00F63315" w:rsidP="00B04ABC"/>
        </w:tc>
      </w:tr>
      <w:tr w:rsidR="00F63315" w:rsidRPr="0068439A" w14:paraId="1401A426" w14:textId="77777777" w:rsidTr="00B04ABC">
        <w:tc>
          <w:tcPr>
            <w:tcW w:w="2254" w:type="dxa"/>
          </w:tcPr>
          <w:p w14:paraId="49ACFA97" w14:textId="77777777" w:rsidR="00F63315" w:rsidRPr="0068439A" w:rsidRDefault="00F63315" w:rsidP="00B04ABC">
            <w:pPr>
              <w:rPr>
                <w:b/>
                <w:bCs/>
              </w:rPr>
            </w:pPr>
            <w:r w:rsidRPr="0068439A">
              <w:rPr>
                <w:b/>
                <w:bCs/>
              </w:rPr>
              <w:t>Reviewed by (consortium)</w:t>
            </w:r>
          </w:p>
        </w:tc>
        <w:tc>
          <w:tcPr>
            <w:tcW w:w="2254" w:type="dxa"/>
          </w:tcPr>
          <w:p w14:paraId="0C163E50" w14:textId="77777777" w:rsidR="00F63315" w:rsidRPr="0068439A" w:rsidRDefault="00F63315" w:rsidP="00B04ABC"/>
        </w:tc>
        <w:tc>
          <w:tcPr>
            <w:tcW w:w="2717" w:type="dxa"/>
          </w:tcPr>
          <w:p w14:paraId="4C61332B" w14:textId="77777777" w:rsidR="00F63315" w:rsidRPr="0068439A" w:rsidRDefault="00F63315" w:rsidP="00B04ABC"/>
        </w:tc>
        <w:tc>
          <w:tcPr>
            <w:tcW w:w="1791" w:type="dxa"/>
          </w:tcPr>
          <w:p w14:paraId="47F4C3A0" w14:textId="77777777" w:rsidR="00F63315" w:rsidRPr="0068439A" w:rsidRDefault="00F63315" w:rsidP="00B04ABC"/>
        </w:tc>
      </w:tr>
      <w:tr w:rsidR="00F63315" w:rsidRPr="0068439A" w14:paraId="4AFFB70F" w14:textId="77777777" w:rsidTr="00B04ABC">
        <w:tc>
          <w:tcPr>
            <w:tcW w:w="2254" w:type="dxa"/>
          </w:tcPr>
          <w:p w14:paraId="1E03032C" w14:textId="77777777" w:rsidR="00F63315" w:rsidRPr="0068439A" w:rsidRDefault="00F63315" w:rsidP="00B04ABC">
            <w:pPr>
              <w:rPr>
                <w:b/>
                <w:bCs/>
              </w:rPr>
            </w:pPr>
            <w:r w:rsidRPr="0068439A">
              <w:rPr>
                <w:b/>
                <w:bCs/>
              </w:rPr>
              <w:t>Approved by (ESA)</w:t>
            </w:r>
          </w:p>
        </w:tc>
        <w:tc>
          <w:tcPr>
            <w:tcW w:w="2254" w:type="dxa"/>
          </w:tcPr>
          <w:p w14:paraId="749D7FC1" w14:textId="77777777" w:rsidR="00F63315" w:rsidRPr="0068439A" w:rsidRDefault="00F63315" w:rsidP="00B04ABC"/>
        </w:tc>
        <w:tc>
          <w:tcPr>
            <w:tcW w:w="2717" w:type="dxa"/>
          </w:tcPr>
          <w:p w14:paraId="593B07F9" w14:textId="77777777" w:rsidR="00F63315" w:rsidRPr="0068439A" w:rsidRDefault="00F63315" w:rsidP="00B04ABC"/>
        </w:tc>
        <w:tc>
          <w:tcPr>
            <w:tcW w:w="1791" w:type="dxa"/>
          </w:tcPr>
          <w:p w14:paraId="48ADB4D9" w14:textId="77777777" w:rsidR="00F63315" w:rsidRPr="0068439A" w:rsidRDefault="00F63315" w:rsidP="00B04ABC"/>
        </w:tc>
      </w:tr>
    </w:tbl>
    <w:p w14:paraId="4F1E8633" w14:textId="77777777" w:rsidR="00F63315" w:rsidRDefault="00F63315" w:rsidP="00F63315">
      <w:pPr>
        <w:pStyle w:val="Heading5"/>
      </w:pPr>
    </w:p>
    <w:p w14:paraId="610F44DE" w14:textId="77777777" w:rsidR="00F63315" w:rsidRPr="00D30CE5" w:rsidRDefault="00F63315" w:rsidP="00D30CE5">
      <w:pPr>
        <w:pStyle w:val="Heading1"/>
        <w:numPr>
          <w:ilvl w:val="0"/>
          <w:numId w:val="0"/>
        </w:numPr>
        <w:ind w:left="432" w:hanging="432"/>
        <w:rPr>
          <w:color w:val="4472C4" w:themeColor="accent1"/>
        </w:rPr>
      </w:pPr>
      <w:bookmarkStart w:id="1" w:name="_Toc42182353"/>
      <w:r w:rsidRPr="00D30CE5">
        <w:rPr>
          <w:color w:val="4472C4" w:themeColor="accent1"/>
        </w:rPr>
        <w:t>Version History</w:t>
      </w:r>
      <w:bookmarkEnd w:id="1"/>
    </w:p>
    <w:p w14:paraId="21D1D988" w14:textId="77777777" w:rsidR="00F63315" w:rsidRPr="005D0443" w:rsidRDefault="00F63315" w:rsidP="00F63315"/>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4201"/>
      </w:tblGrid>
      <w:tr w:rsidR="00F63315" w:rsidRPr="0068439A" w14:paraId="5D80866F" w14:textId="77777777" w:rsidTr="00B04ABC">
        <w:tc>
          <w:tcPr>
            <w:tcW w:w="2122" w:type="dxa"/>
          </w:tcPr>
          <w:p w14:paraId="0A930AEE" w14:textId="77777777" w:rsidR="00F63315" w:rsidRPr="0068439A" w:rsidRDefault="00F63315" w:rsidP="00B04ABC">
            <w:pPr>
              <w:rPr>
                <w:b/>
                <w:bCs/>
              </w:rPr>
            </w:pPr>
            <w:r w:rsidRPr="0068439A">
              <w:rPr>
                <w:b/>
                <w:bCs/>
              </w:rPr>
              <w:t>Version</w:t>
            </w:r>
          </w:p>
        </w:tc>
        <w:tc>
          <w:tcPr>
            <w:tcW w:w="2693" w:type="dxa"/>
          </w:tcPr>
          <w:p w14:paraId="4616FBBE" w14:textId="77777777" w:rsidR="00F63315" w:rsidRPr="0068439A" w:rsidRDefault="00F63315" w:rsidP="00B04ABC">
            <w:pPr>
              <w:rPr>
                <w:b/>
                <w:bCs/>
              </w:rPr>
            </w:pPr>
            <w:r w:rsidRPr="0068439A">
              <w:rPr>
                <w:b/>
                <w:bCs/>
              </w:rPr>
              <w:t>Date</w:t>
            </w:r>
          </w:p>
        </w:tc>
        <w:tc>
          <w:tcPr>
            <w:tcW w:w="4201" w:type="dxa"/>
          </w:tcPr>
          <w:p w14:paraId="7AC47319" w14:textId="77777777" w:rsidR="00F63315" w:rsidRPr="0068439A" w:rsidRDefault="00F63315" w:rsidP="00B04ABC">
            <w:pPr>
              <w:rPr>
                <w:b/>
                <w:bCs/>
              </w:rPr>
            </w:pPr>
            <w:r w:rsidRPr="0068439A">
              <w:rPr>
                <w:b/>
                <w:bCs/>
              </w:rPr>
              <w:t>Publicly available or private to consortium</w:t>
            </w:r>
          </w:p>
        </w:tc>
      </w:tr>
      <w:tr w:rsidR="00F63315" w:rsidRPr="0068439A" w14:paraId="02774E3E" w14:textId="77777777" w:rsidTr="00B04ABC">
        <w:tc>
          <w:tcPr>
            <w:tcW w:w="2122" w:type="dxa"/>
          </w:tcPr>
          <w:p w14:paraId="26B23002" w14:textId="77777777" w:rsidR="00F63315" w:rsidRPr="0068439A" w:rsidRDefault="00F63315" w:rsidP="00B04ABC">
            <w:r w:rsidRPr="0068439A">
              <w:t>1.0</w:t>
            </w:r>
          </w:p>
        </w:tc>
        <w:tc>
          <w:tcPr>
            <w:tcW w:w="2693" w:type="dxa"/>
          </w:tcPr>
          <w:p w14:paraId="1CE894D8" w14:textId="6CCAF034" w:rsidR="00F63315" w:rsidRPr="0068439A" w:rsidRDefault="00F63315" w:rsidP="00B04ABC">
            <w:r>
              <w:t>0</w:t>
            </w:r>
            <w:r w:rsidR="00A933BF">
              <w:t>5</w:t>
            </w:r>
            <w:r w:rsidRPr="0068439A">
              <w:t>/0</w:t>
            </w:r>
            <w:r>
              <w:t>6</w:t>
            </w:r>
            <w:r w:rsidRPr="0068439A">
              <w:t>/2020</w:t>
            </w:r>
          </w:p>
        </w:tc>
        <w:tc>
          <w:tcPr>
            <w:tcW w:w="4201" w:type="dxa"/>
          </w:tcPr>
          <w:p w14:paraId="21A2ED53" w14:textId="77777777" w:rsidR="00F63315" w:rsidRPr="0068439A" w:rsidRDefault="00F63315" w:rsidP="00B04ABC">
            <w:r w:rsidRPr="0068439A">
              <w:t>Private Consortium</w:t>
            </w:r>
          </w:p>
        </w:tc>
      </w:tr>
    </w:tbl>
    <w:p w14:paraId="49DC8AE6" w14:textId="2999705F" w:rsidR="00D30CE5" w:rsidRDefault="00D30CE5" w:rsidP="00F63315"/>
    <w:p w14:paraId="7E78B8EF" w14:textId="051EAA75" w:rsidR="00D30CE5" w:rsidRDefault="00D30CE5" w:rsidP="00F63315"/>
    <w:p w14:paraId="047DF764" w14:textId="6F88633C" w:rsidR="00620791" w:rsidRDefault="00620791" w:rsidP="00F63315"/>
    <w:p w14:paraId="5E53DF91" w14:textId="733DD47F" w:rsidR="00620791" w:rsidRDefault="00620791" w:rsidP="00F63315"/>
    <w:p w14:paraId="260E0872" w14:textId="109290A6" w:rsidR="00620791" w:rsidRDefault="00620791" w:rsidP="00F63315"/>
    <w:p w14:paraId="61C3F3BD" w14:textId="254BA9B3" w:rsidR="00620791" w:rsidRDefault="00620791" w:rsidP="00F63315"/>
    <w:p w14:paraId="62B9EE93" w14:textId="3257756F" w:rsidR="00620791" w:rsidRDefault="00620791" w:rsidP="00F63315"/>
    <w:p w14:paraId="6040F825" w14:textId="76AF6AD7" w:rsidR="00620791" w:rsidRDefault="00620791" w:rsidP="00F63315"/>
    <w:p w14:paraId="42A2AD32" w14:textId="46DAC3CF" w:rsidR="00620791" w:rsidRDefault="00620791" w:rsidP="00F63315"/>
    <w:p w14:paraId="5196B86F" w14:textId="181EA049" w:rsidR="00620791" w:rsidRDefault="00620791" w:rsidP="00F63315"/>
    <w:p w14:paraId="69F7DEAB" w14:textId="0E6FCFC5" w:rsidR="00620791" w:rsidRDefault="00620791" w:rsidP="00F63315"/>
    <w:p w14:paraId="72826A3E" w14:textId="39112AB1" w:rsidR="00620791" w:rsidRDefault="00620791" w:rsidP="00F63315"/>
    <w:p w14:paraId="629F939A" w14:textId="4DCEBEF7" w:rsidR="00620791" w:rsidRDefault="00620791" w:rsidP="00F63315"/>
    <w:p w14:paraId="0F80F482" w14:textId="28308B47" w:rsidR="00620791" w:rsidRDefault="00620791" w:rsidP="00F63315"/>
    <w:p w14:paraId="695BF849" w14:textId="54938F01" w:rsidR="00620791" w:rsidRDefault="00620791" w:rsidP="00F63315"/>
    <w:p w14:paraId="3BE1F18E" w14:textId="22E4B728" w:rsidR="00620791" w:rsidRDefault="00620791" w:rsidP="00F63315"/>
    <w:p w14:paraId="3B534609" w14:textId="77777777" w:rsidR="00620791" w:rsidRDefault="00620791" w:rsidP="00F63315"/>
    <w:p w14:paraId="668DA39B" w14:textId="70F0AD3D" w:rsidR="00CF16F8" w:rsidRPr="00BC4ECC" w:rsidRDefault="00CF16F8" w:rsidP="00735DB6">
      <w:pPr>
        <w:pStyle w:val="Heading1"/>
        <w:numPr>
          <w:ilvl w:val="0"/>
          <w:numId w:val="0"/>
        </w:numPr>
        <w:ind w:left="432" w:hanging="432"/>
        <w:rPr>
          <w:color w:val="2F5496" w:themeColor="accent1" w:themeShade="BF"/>
        </w:rPr>
      </w:pPr>
      <w:bookmarkStart w:id="2" w:name="_Toc42182354"/>
      <w:r w:rsidRPr="00BC4ECC">
        <w:rPr>
          <w:color w:val="2F5496" w:themeColor="accent1" w:themeShade="BF"/>
        </w:rPr>
        <w:lastRenderedPageBreak/>
        <w:t>Table of Contents</w:t>
      </w:r>
      <w:bookmarkEnd w:id="2"/>
    </w:p>
    <w:p w14:paraId="5C32F7AB" w14:textId="77777777" w:rsidR="00E957D8" w:rsidRPr="00E957D8" w:rsidRDefault="00E957D8" w:rsidP="00E957D8"/>
    <w:p w14:paraId="4A078C38" w14:textId="5AFEF641" w:rsidR="008464AC" w:rsidRDefault="00E957D8">
      <w:pPr>
        <w:pStyle w:val="TOC1"/>
        <w:rPr>
          <w:rFonts w:eastAsiaTheme="minorEastAsia"/>
          <w:b w:val="0"/>
          <w:bCs w:val="0"/>
          <w:caps w:val="0"/>
          <w:noProof/>
          <w:sz w:val="22"/>
          <w:szCs w:val="22"/>
          <w:lang w:eastAsia="en-GB"/>
        </w:rPr>
      </w:pPr>
      <w:r>
        <w:fldChar w:fldCharType="begin"/>
      </w:r>
      <w:r w:rsidRPr="00E957D8">
        <w:instrText xml:space="preserve"> TOC \o "1-3" \h \z \u \t "Heading 5,1,Heading 6,1,Heading 7,2,Heading 8,3" </w:instrText>
      </w:r>
      <w:r>
        <w:fldChar w:fldCharType="separate"/>
      </w:r>
      <w:hyperlink w:anchor="_Toc42182352" w:history="1">
        <w:r w:rsidR="008464AC" w:rsidRPr="00897EEB">
          <w:rPr>
            <w:rStyle w:val="Hyperlink"/>
            <w:noProof/>
          </w:rPr>
          <w:t>Signatures</w:t>
        </w:r>
        <w:r w:rsidR="008464AC">
          <w:rPr>
            <w:noProof/>
            <w:webHidden/>
          </w:rPr>
          <w:tab/>
        </w:r>
        <w:r w:rsidR="008464AC">
          <w:rPr>
            <w:noProof/>
            <w:webHidden/>
          </w:rPr>
          <w:fldChar w:fldCharType="begin"/>
        </w:r>
        <w:r w:rsidR="008464AC">
          <w:rPr>
            <w:noProof/>
            <w:webHidden/>
          </w:rPr>
          <w:instrText xml:space="preserve"> PAGEREF _Toc42182352 \h </w:instrText>
        </w:r>
        <w:r w:rsidR="008464AC">
          <w:rPr>
            <w:noProof/>
            <w:webHidden/>
          </w:rPr>
        </w:r>
        <w:r w:rsidR="008464AC">
          <w:rPr>
            <w:noProof/>
            <w:webHidden/>
          </w:rPr>
          <w:fldChar w:fldCharType="separate"/>
        </w:r>
        <w:r w:rsidR="008464AC">
          <w:rPr>
            <w:noProof/>
            <w:webHidden/>
          </w:rPr>
          <w:t>2</w:t>
        </w:r>
        <w:r w:rsidR="008464AC">
          <w:rPr>
            <w:noProof/>
            <w:webHidden/>
          </w:rPr>
          <w:fldChar w:fldCharType="end"/>
        </w:r>
      </w:hyperlink>
    </w:p>
    <w:p w14:paraId="1E9B10D2" w14:textId="073D5FCA" w:rsidR="008464AC" w:rsidRDefault="00A933BF">
      <w:pPr>
        <w:pStyle w:val="TOC1"/>
        <w:rPr>
          <w:rFonts w:eastAsiaTheme="minorEastAsia"/>
          <w:b w:val="0"/>
          <w:bCs w:val="0"/>
          <w:caps w:val="0"/>
          <w:noProof/>
          <w:sz w:val="22"/>
          <w:szCs w:val="22"/>
          <w:lang w:eastAsia="en-GB"/>
        </w:rPr>
      </w:pPr>
      <w:hyperlink w:anchor="_Toc42182353" w:history="1">
        <w:r w:rsidR="008464AC" w:rsidRPr="00897EEB">
          <w:rPr>
            <w:rStyle w:val="Hyperlink"/>
            <w:noProof/>
          </w:rPr>
          <w:t>Version History</w:t>
        </w:r>
        <w:r w:rsidR="008464AC">
          <w:rPr>
            <w:noProof/>
            <w:webHidden/>
          </w:rPr>
          <w:tab/>
        </w:r>
        <w:r w:rsidR="008464AC">
          <w:rPr>
            <w:noProof/>
            <w:webHidden/>
          </w:rPr>
          <w:fldChar w:fldCharType="begin"/>
        </w:r>
        <w:r w:rsidR="008464AC">
          <w:rPr>
            <w:noProof/>
            <w:webHidden/>
          </w:rPr>
          <w:instrText xml:space="preserve"> PAGEREF _Toc42182353 \h </w:instrText>
        </w:r>
        <w:r w:rsidR="008464AC">
          <w:rPr>
            <w:noProof/>
            <w:webHidden/>
          </w:rPr>
        </w:r>
        <w:r w:rsidR="008464AC">
          <w:rPr>
            <w:noProof/>
            <w:webHidden/>
          </w:rPr>
          <w:fldChar w:fldCharType="separate"/>
        </w:r>
        <w:r w:rsidR="008464AC">
          <w:rPr>
            <w:noProof/>
            <w:webHidden/>
          </w:rPr>
          <w:t>2</w:t>
        </w:r>
        <w:r w:rsidR="008464AC">
          <w:rPr>
            <w:noProof/>
            <w:webHidden/>
          </w:rPr>
          <w:fldChar w:fldCharType="end"/>
        </w:r>
      </w:hyperlink>
    </w:p>
    <w:p w14:paraId="3DE0FEEA" w14:textId="02EEC56E" w:rsidR="008464AC" w:rsidRDefault="00A933BF">
      <w:pPr>
        <w:pStyle w:val="TOC1"/>
        <w:rPr>
          <w:rFonts w:eastAsiaTheme="minorEastAsia"/>
          <w:b w:val="0"/>
          <w:bCs w:val="0"/>
          <w:caps w:val="0"/>
          <w:noProof/>
          <w:sz w:val="22"/>
          <w:szCs w:val="22"/>
          <w:lang w:eastAsia="en-GB"/>
        </w:rPr>
      </w:pPr>
      <w:hyperlink w:anchor="_Toc42182354" w:history="1">
        <w:r w:rsidR="008464AC" w:rsidRPr="00897EEB">
          <w:rPr>
            <w:rStyle w:val="Hyperlink"/>
            <w:noProof/>
          </w:rPr>
          <w:t>Table of Contents</w:t>
        </w:r>
        <w:r w:rsidR="008464AC">
          <w:rPr>
            <w:noProof/>
            <w:webHidden/>
          </w:rPr>
          <w:tab/>
        </w:r>
        <w:r w:rsidR="008464AC">
          <w:rPr>
            <w:noProof/>
            <w:webHidden/>
          </w:rPr>
          <w:fldChar w:fldCharType="begin"/>
        </w:r>
        <w:r w:rsidR="008464AC">
          <w:rPr>
            <w:noProof/>
            <w:webHidden/>
          </w:rPr>
          <w:instrText xml:space="preserve"> PAGEREF _Toc42182354 \h </w:instrText>
        </w:r>
        <w:r w:rsidR="008464AC">
          <w:rPr>
            <w:noProof/>
            <w:webHidden/>
          </w:rPr>
        </w:r>
        <w:r w:rsidR="008464AC">
          <w:rPr>
            <w:noProof/>
            <w:webHidden/>
          </w:rPr>
          <w:fldChar w:fldCharType="separate"/>
        </w:r>
        <w:r w:rsidR="008464AC">
          <w:rPr>
            <w:noProof/>
            <w:webHidden/>
          </w:rPr>
          <w:t>3</w:t>
        </w:r>
        <w:r w:rsidR="008464AC">
          <w:rPr>
            <w:noProof/>
            <w:webHidden/>
          </w:rPr>
          <w:fldChar w:fldCharType="end"/>
        </w:r>
      </w:hyperlink>
    </w:p>
    <w:p w14:paraId="7BA01A71" w14:textId="6E8C5AE4" w:rsidR="008464AC" w:rsidRDefault="00A933BF">
      <w:pPr>
        <w:pStyle w:val="TOC1"/>
        <w:rPr>
          <w:rFonts w:eastAsiaTheme="minorEastAsia"/>
          <w:b w:val="0"/>
          <w:bCs w:val="0"/>
          <w:caps w:val="0"/>
          <w:noProof/>
          <w:sz w:val="22"/>
          <w:szCs w:val="22"/>
          <w:lang w:eastAsia="en-GB"/>
        </w:rPr>
      </w:pPr>
      <w:hyperlink w:anchor="_Toc42182355" w:history="1">
        <w:r w:rsidR="008464AC" w:rsidRPr="00897EEB">
          <w:rPr>
            <w:rStyle w:val="Hyperlink"/>
            <w:noProof/>
          </w:rPr>
          <w:t>List of Figures</w:t>
        </w:r>
        <w:r w:rsidR="008464AC">
          <w:rPr>
            <w:noProof/>
            <w:webHidden/>
          </w:rPr>
          <w:tab/>
        </w:r>
        <w:r w:rsidR="008464AC">
          <w:rPr>
            <w:noProof/>
            <w:webHidden/>
          </w:rPr>
          <w:fldChar w:fldCharType="begin"/>
        </w:r>
        <w:r w:rsidR="008464AC">
          <w:rPr>
            <w:noProof/>
            <w:webHidden/>
          </w:rPr>
          <w:instrText xml:space="preserve"> PAGEREF _Toc42182355 \h </w:instrText>
        </w:r>
        <w:r w:rsidR="008464AC">
          <w:rPr>
            <w:noProof/>
            <w:webHidden/>
          </w:rPr>
        </w:r>
        <w:r w:rsidR="008464AC">
          <w:rPr>
            <w:noProof/>
            <w:webHidden/>
          </w:rPr>
          <w:fldChar w:fldCharType="separate"/>
        </w:r>
        <w:r w:rsidR="008464AC">
          <w:rPr>
            <w:noProof/>
            <w:webHidden/>
          </w:rPr>
          <w:t>4</w:t>
        </w:r>
        <w:r w:rsidR="008464AC">
          <w:rPr>
            <w:noProof/>
            <w:webHidden/>
          </w:rPr>
          <w:fldChar w:fldCharType="end"/>
        </w:r>
      </w:hyperlink>
    </w:p>
    <w:p w14:paraId="48234D2C" w14:textId="19A80824" w:rsidR="008464AC" w:rsidRDefault="00A933BF">
      <w:pPr>
        <w:pStyle w:val="TOC1"/>
        <w:rPr>
          <w:rFonts w:eastAsiaTheme="minorEastAsia"/>
          <w:b w:val="0"/>
          <w:bCs w:val="0"/>
          <w:caps w:val="0"/>
          <w:noProof/>
          <w:sz w:val="22"/>
          <w:szCs w:val="22"/>
          <w:lang w:eastAsia="en-GB"/>
        </w:rPr>
      </w:pPr>
      <w:hyperlink w:anchor="_Toc42182356" w:history="1">
        <w:r w:rsidR="008464AC" w:rsidRPr="00897EEB">
          <w:rPr>
            <w:rStyle w:val="Hyperlink"/>
            <w:noProof/>
          </w:rPr>
          <w:t>Acronyms</w:t>
        </w:r>
        <w:r w:rsidR="008464AC">
          <w:rPr>
            <w:noProof/>
            <w:webHidden/>
          </w:rPr>
          <w:tab/>
        </w:r>
        <w:r w:rsidR="008464AC">
          <w:rPr>
            <w:noProof/>
            <w:webHidden/>
          </w:rPr>
          <w:fldChar w:fldCharType="begin"/>
        </w:r>
        <w:r w:rsidR="008464AC">
          <w:rPr>
            <w:noProof/>
            <w:webHidden/>
          </w:rPr>
          <w:instrText xml:space="preserve"> PAGEREF _Toc42182356 \h </w:instrText>
        </w:r>
        <w:r w:rsidR="008464AC">
          <w:rPr>
            <w:noProof/>
            <w:webHidden/>
          </w:rPr>
        </w:r>
        <w:r w:rsidR="008464AC">
          <w:rPr>
            <w:noProof/>
            <w:webHidden/>
          </w:rPr>
          <w:fldChar w:fldCharType="separate"/>
        </w:r>
        <w:r w:rsidR="008464AC">
          <w:rPr>
            <w:noProof/>
            <w:webHidden/>
          </w:rPr>
          <w:t>4</w:t>
        </w:r>
        <w:r w:rsidR="008464AC">
          <w:rPr>
            <w:noProof/>
            <w:webHidden/>
          </w:rPr>
          <w:fldChar w:fldCharType="end"/>
        </w:r>
      </w:hyperlink>
    </w:p>
    <w:p w14:paraId="0D546F06" w14:textId="4C808465" w:rsidR="008464AC" w:rsidRDefault="00A933BF">
      <w:pPr>
        <w:pStyle w:val="TOC1"/>
        <w:tabs>
          <w:tab w:val="left" w:pos="440"/>
        </w:tabs>
        <w:rPr>
          <w:rFonts w:eastAsiaTheme="minorEastAsia"/>
          <w:b w:val="0"/>
          <w:bCs w:val="0"/>
          <w:caps w:val="0"/>
          <w:noProof/>
          <w:sz w:val="22"/>
          <w:szCs w:val="22"/>
          <w:lang w:eastAsia="en-GB"/>
        </w:rPr>
      </w:pPr>
      <w:hyperlink w:anchor="_Toc42182357" w:history="1">
        <w:r w:rsidR="008464AC" w:rsidRPr="00897EEB">
          <w:rPr>
            <w:rStyle w:val="Hyperlink"/>
            <w:noProof/>
          </w:rPr>
          <w:t>1</w:t>
        </w:r>
        <w:r w:rsidR="008464AC">
          <w:rPr>
            <w:rFonts w:eastAsiaTheme="minorEastAsia"/>
            <w:b w:val="0"/>
            <w:bCs w:val="0"/>
            <w:caps w:val="0"/>
            <w:noProof/>
            <w:sz w:val="22"/>
            <w:szCs w:val="22"/>
            <w:lang w:eastAsia="en-GB"/>
          </w:rPr>
          <w:tab/>
        </w:r>
        <w:r w:rsidR="008464AC" w:rsidRPr="00897EEB">
          <w:rPr>
            <w:rStyle w:val="Hyperlink"/>
            <w:noProof/>
          </w:rPr>
          <w:t>Introduction</w:t>
        </w:r>
        <w:r w:rsidR="008464AC">
          <w:rPr>
            <w:noProof/>
            <w:webHidden/>
          </w:rPr>
          <w:tab/>
        </w:r>
        <w:r w:rsidR="008464AC">
          <w:rPr>
            <w:noProof/>
            <w:webHidden/>
          </w:rPr>
          <w:fldChar w:fldCharType="begin"/>
        </w:r>
        <w:r w:rsidR="008464AC">
          <w:rPr>
            <w:noProof/>
            <w:webHidden/>
          </w:rPr>
          <w:instrText xml:space="preserve"> PAGEREF _Toc42182357 \h </w:instrText>
        </w:r>
        <w:r w:rsidR="008464AC">
          <w:rPr>
            <w:noProof/>
            <w:webHidden/>
          </w:rPr>
        </w:r>
        <w:r w:rsidR="008464AC">
          <w:rPr>
            <w:noProof/>
            <w:webHidden/>
          </w:rPr>
          <w:fldChar w:fldCharType="separate"/>
        </w:r>
        <w:r w:rsidR="008464AC">
          <w:rPr>
            <w:noProof/>
            <w:webHidden/>
          </w:rPr>
          <w:t>6</w:t>
        </w:r>
        <w:r w:rsidR="008464AC">
          <w:rPr>
            <w:noProof/>
            <w:webHidden/>
          </w:rPr>
          <w:fldChar w:fldCharType="end"/>
        </w:r>
      </w:hyperlink>
    </w:p>
    <w:p w14:paraId="7B33EB14" w14:textId="2841E8CA" w:rsidR="008464AC" w:rsidRDefault="00A933BF">
      <w:pPr>
        <w:pStyle w:val="TOC2"/>
        <w:tabs>
          <w:tab w:val="left" w:pos="880"/>
          <w:tab w:val="right" w:leader="dot" w:pos="9016"/>
        </w:tabs>
        <w:rPr>
          <w:rFonts w:eastAsiaTheme="minorEastAsia"/>
          <w:smallCaps w:val="0"/>
          <w:noProof/>
          <w:sz w:val="22"/>
          <w:szCs w:val="22"/>
          <w:lang w:eastAsia="en-GB"/>
        </w:rPr>
      </w:pPr>
      <w:hyperlink w:anchor="_Toc42182358" w:history="1">
        <w:r w:rsidR="008464AC" w:rsidRPr="00897EEB">
          <w:rPr>
            <w:rStyle w:val="Hyperlink"/>
            <w:rFonts w:cstheme="majorHAnsi"/>
            <w:noProof/>
          </w:rPr>
          <w:t>1.1</w:t>
        </w:r>
        <w:r w:rsidR="008464AC">
          <w:rPr>
            <w:rFonts w:eastAsiaTheme="minorEastAsia"/>
            <w:smallCaps w:val="0"/>
            <w:noProof/>
            <w:sz w:val="22"/>
            <w:szCs w:val="22"/>
            <w:lang w:eastAsia="en-GB"/>
          </w:rPr>
          <w:tab/>
        </w:r>
        <w:r w:rsidR="008464AC" w:rsidRPr="00897EEB">
          <w:rPr>
            <w:rStyle w:val="Hyperlink"/>
            <w:rFonts w:cstheme="majorHAnsi"/>
            <w:noProof/>
          </w:rPr>
          <w:t>Fiducial Reference Measurements (FRM) Concepts and Requirements</w:t>
        </w:r>
        <w:r w:rsidR="008464AC">
          <w:rPr>
            <w:noProof/>
            <w:webHidden/>
          </w:rPr>
          <w:tab/>
        </w:r>
        <w:r w:rsidR="008464AC">
          <w:rPr>
            <w:noProof/>
            <w:webHidden/>
          </w:rPr>
          <w:fldChar w:fldCharType="begin"/>
        </w:r>
        <w:r w:rsidR="008464AC">
          <w:rPr>
            <w:noProof/>
            <w:webHidden/>
          </w:rPr>
          <w:instrText xml:space="preserve"> PAGEREF _Toc42182358 \h </w:instrText>
        </w:r>
        <w:r w:rsidR="008464AC">
          <w:rPr>
            <w:noProof/>
            <w:webHidden/>
          </w:rPr>
        </w:r>
        <w:r w:rsidR="008464AC">
          <w:rPr>
            <w:noProof/>
            <w:webHidden/>
          </w:rPr>
          <w:fldChar w:fldCharType="separate"/>
        </w:r>
        <w:r w:rsidR="008464AC">
          <w:rPr>
            <w:noProof/>
            <w:webHidden/>
          </w:rPr>
          <w:t>6</w:t>
        </w:r>
        <w:r w:rsidR="008464AC">
          <w:rPr>
            <w:noProof/>
            <w:webHidden/>
          </w:rPr>
          <w:fldChar w:fldCharType="end"/>
        </w:r>
      </w:hyperlink>
    </w:p>
    <w:p w14:paraId="11CE5D6C" w14:textId="1977C48B" w:rsidR="008464AC" w:rsidRDefault="00A933BF">
      <w:pPr>
        <w:pStyle w:val="TOC2"/>
        <w:tabs>
          <w:tab w:val="left" w:pos="880"/>
          <w:tab w:val="right" w:leader="dot" w:pos="9016"/>
        </w:tabs>
        <w:rPr>
          <w:rFonts w:eastAsiaTheme="minorEastAsia"/>
          <w:smallCaps w:val="0"/>
          <w:noProof/>
          <w:sz w:val="22"/>
          <w:szCs w:val="22"/>
          <w:lang w:eastAsia="en-GB"/>
        </w:rPr>
      </w:pPr>
      <w:hyperlink w:anchor="_Toc42182359" w:history="1">
        <w:r w:rsidR="008464AC" w:rsidRPr="00897EEB">
          <w:rPr>
            <w:rStyle w:val="Hyperlink"/>
            <w:noProof/>
          </w:rPr>
          <w:t>1.2</w:t>
        </w:r>
        <w:r w:rsidR="008464AC">
          <w:rPr>
            <w:rFonts w:eastAsiaTheme="minorEastAsia"/>
            <w:smallCaps w:val="0"/>
            <w:noProof/>
            <w:sz w:val="22"/>
            <w:szCs w:val="22"/>
            <w:lang w:eastAsia="en-GB"/>
          </w:rPr>
          <w:tab/>
        </w:r>
        <w:r w:rsidR="008464AC" w:rsidRPr="00897EEB">
          <w:rPr>
            <w:rStyle w:val="Hyperlink"/>
            <w:noProof/>
          </w:rPr>
          <w:t>Satellite Product Validation and Conformity Testing</w:t>
        </w:r>
        <w:r w:rsidR="008464AC">
          <w:rPr>
            <w:noProof/>
            <w:webHidden/>
          </w:rPr>
          <w:tab/>
        </w:r>
        <w:r w:rsidR="008464AC">
          <w:rPr>
            <w:noProof/>
            <w:webHidden/>
          </w:rPr>
          <w:fldChar w:fldCharType="begin"/>
        </w:r>
        <w:r w:rsidR="008464AC">
          <w:rPr>
            <w:noProof/>
            <w:webHidden/>
          </w:rPr>
          <w:instrText xml:space="preserve"> PAGEREF _Toc42182359 \h </w:instrText>
        </w:r>
        <w:r w:rsidR="008464AC">
          <w:rPr>
            <w:noProof/>
            <w:webHidden/>
          </w:rPr>
        </w:r>
        <w:r w:rsidR="008464AC">
          <w:rPr>
            <w:noProof/>
            <w:webHidden/>
          </w:rPr>
          <w:fldChar w:fldCharType="separate"/>
        </w:r>
        <w:r w:rsidR="008464AC">
          <w:rPr>
            <w:noProof/>
            <w:webHidden/>
          </w:rPr>
          <w:t>8</w:t>
        </w:r>
        <w:r w:rsidR="008464AC">
          <w:rPr>
            <w:noProof/>
            <w:webHidden/>
          </w:rPr>
          <w:fldChar w:fldCharType="end"/>
        </w:r>
      </w:hyperlink>
    </w:p>
    <w:p w14:paraId="34E2B527" w14:textId="27173608" w:rsidR="008464AC" w:rsidRDefault="00A933BF">
      <w:pPr>
        <w:pStyle w:val="TOC2"/>
        <w:tabs>
          <w:tab w:val="left" w:pos="880"/>
          <w:tab w:val="right" w:leader="dot" w:pos="9016"/>
        </w:tabs>
        <w:rPr>
          <w:rFonts w:eastAsiaTheme="minorEastAsia"/>
          <w:smallCaps w:val="0"/>
          <w:noProof/>
          <w:sz w:val="22"/>
          <w:szCs w:val="22"/>
          <w:lang w:eastAsia="en-GB"/>
        </w:rPr>
      </w:pPr>
      <w:hyperlink w:anchor="_Toc42182360" w:history="1">
        <w:r w:rsidR="008464AC" w:rsidRPr="00897EEB">
          <w:rPr>
            <w:rStyle w:val="Hyperlink"/>
            <w:noProof/>
          </w:rPr>
          <w:t>1.3</w:t>
        </w:r>
        <w:r w:rsidR="008464AC">
          <w:rPr>
            <w:rFonts w:eastAsiaTheme="minorEastAsia"/>
            <w:smallCaps w:val="0"/>
            <w:noProof/>
            <w:sz w:val="22"/>
            <w:szCs w:val="22"/>
            <w:lang w:eastAsia="en-GB"/>
          </w:rPr>
          <w:tab/>
        </w:r>
        <w:r w:rsidR="008464AC" w:rsidRPr="00897EEB">
          <w:rPr>
            <w:rStyle w:val="Hyperlink"/>
            <w:noProof/>
          </w:rPr>
          <w:t>FRM4Veg</w:t>
        </w:r>
        <w:r w:rsidR="008464AC">
          <w:rPr>
            <w:noProof/>
            <w:webHidden/>
          </w:rPr>
          <w:tab/>
        </w:r>
        <w:r w:rsidR="008464AC">
          <w:rPr>
            <w:noProof/>
            <w:webHidden/>
          </w:rPr>
          <w:fldChar w:fldCharType="begin"/>
        </w:r>
        <w:r w:rsidR="008464AC">
          <w:rPr>
            <w:noProof/>
            <w:webHidden/>
          </w:rPr>
          <w:instrText xml:space="preserve"> PAGEREF _Toc42182360 \h </w:instrText>
        </w:r>
        <w:r w:rsidR="008464AC">
          <w:rPr>
            <w:noProof/>
            <w:webHidden/>
          </w:rPr>
        </w:r>
        <w:r w:rsidR="008464AC">
          <w:rPr>
            <w:noProof/>
            <w:webHidden/>
          </w:rPr>
          <w:fldChar w:fldCharType="separate"/>
        </w:r>
        <w:r w:rsidR="008464AC">
          <w:rPr>
            <w:noProof/>
            <w:webHidden/>
          </w:rPr>
          <w:t>9</w:t>
        </w:r>
        <w:r w:rsidR="008464AC">
          <w:rPr>
            <w:noProof/>
            <w:webHidden/>
          </w:rPr>
          <w:fldChar w:fldCharType="end"/>
        </w:r>
      </w:hyperlink>
    </w:p>
    <w:p w14:paraId="784C667E" w14:textId="71A7064A" w:rsidR="008464AC" w:rsidRDefault="00A933BF">
      <w:pPr>
        <w:pStyle w:val="TOC3"/>
        <w:tabs>
          <w:tab w:val="left" w:pos="1100"/>
          <w:tab w:val="right" w:leader="dot" w:pos="9016"/>
        </w:tabs>
        <w:rPr>
          <w:rFonts w:eastAsiaTheme="minorEastAsia"/>
          <w:i w:val="0"/>
          <w:iCs w:val="0"/>
          <w:noProof/>
          <w:sz w:val="22"/>
          <w:szCs w:val="22"/>
          <w:lang w:eastAsia="en-GB"/>
        </w:rPr>
      </w:pPr>
      <w:hyperlink w:anchor="_Toc42182361" w:history="1">
        <w:r w:rsidR="008464AC" w:rsidRPr="00897EEB">
          <w:rPr>
            <w:rStyle w:val="Hyperlink"/>
            <w:noProof/>
          </w:rPr>
          <w:t>1.3.1</w:t>
        </w:r>
        <w:r w:rsidR="008464AC">
          <w:rPr>
            <w:rFonts w:eastAsiaTheme="minorEastAsia"/>
            <w:i w:val="0"/>
            <w:iCs w:val="0"/>
            <w:noProof/>
            <w:sz w:val="22"/>
            <w:szCs w:val="22"/>
            <w:lang w:eastAsia="en-GB"/>
          </w:rPr>
          <w:tab/>
        </w:r>
        <w:r w:rsidR="008464AC" w:rsidRPr="00897EEB">
          <w:rPr>
            <w:rStyle w:val="Hyperlink"/>
            <w:noProof/>
          </w:rPr>
          <w:t>FRM4Veg Documentation</w:t>
        </w:r>
        <w:r w:rsidR="008464AC">
          <w:rPr>
            <w:noProof/>
            <w:webHidden/>
          </w:rPr>
          <w:tab/>
        </w:r>
        <w:r w:rsidR="008464AC">
          <w:rPr>
            <w:noProof/>
            <w:webHidden/>
          </w:rPr>
          <w:fldChar w:fldCharType="begin"/>
        </w:r>
        <w:r w:rsidR="008464AC">
          <w:rPr>
            <w:noProof/>
            <w:webHidden/>
          </w:rPr>
          <w:instrText xml:space="preserve"> PAGEREF _Toc42182361 \h </w:instrText>
        </w:r>
        <w:r w:rsidR="008464AC">
          <w:rPr>
            <w:noProof/>
            <w:webHidden/>
          </w:rPr>
        </w:r>
        <w:r w:rsidR="008464AC">
          <w:rPr>
            <w:noProof/>
            <w:webHidden/>
          </w:rPr>
          <w:fldChar w:fldCharType="separate"/>
        </w:r>
        <w:r w:rsidR="008464AC">
          <w:rPr>
            <w:noProof/>
            <w:webHidden/>
          </w:rPr>
          <w:t>10</w:t>
        </w:r>
        <w:r w:rsidR="008464AC">
          <w:rPr>
            <w:noProof/>
            <w:webHidden/>
          </w:rPr>
          <w:fldChar w:fldCharType="end"/>
        </w:r>
      </w:hyperlink>
    </w:p>
    <w:p w14:paraId="2604DAFF" w14:textId="73C01CC1" w:rsidR="008464AC" w:rsidRDefault="00A933BF">
      <w:pPr>
        <w:pStyle w:val="TOC1"/>
        <w:tabs>
          <w:tab w:val="left" w:pos="440"/>
        </w:tabs>
        <w:rPr>
          <w:rFonts w:eastAsiaTheme="minorEastAsia"/>
          <w:b w:val="0"/>
          <w:bCs w:val="0"/>
          <w:caps w:val="0"/>
          <w:noProof/>
          <w:sz w:val="22"/>
          <w:szCs w:val="22"/>
          <w:lang w:eastAsia="en-GB"/>
        </w:rPr>
      </w:pPr>
      <w:hyperlink w:anchor="_Toc42182362" w:history="1">
        <w:r w:rsidR="008464AC" w:rsidRPr="00897EEB">
          <w:rPr>
            <w:rStyle w:val="Hyperlink"/>
            <w:noProof/>
          </w:rPr>
          <w:t>2</w:t>
        </w:r>
        <w:r w:rsidR="008464AC">
          <w:rPr>
            <w:rFonts w:eastAsiaTheme="minorEastAsia"/>
            <w:b w:val="0"/>
            <w:bCs w:val="0"/>
            <w:caps w:val="0"/>
            <w:noProof/>
            <w:sz w:val="22"/>
            <w:szCs w:val="22"/>
            <w:lang w:eastAsia="en-GB"/>
          </w:rPr>
          <w:tab/>
        </w:r>
        <w:r w:rsidR="008464AC" w:rsidRPr="00897EEB">
          <w:rPr>
            <w:rStyle w:val="Hyperlink"/>
            <w:noProof/>
          </w:rPr>
          <w:t>Metrological concepts and uncertainty in measurement</w:t>
        </w:r>
        <w:r w:rsidR="008464AC">
          <w:rPr>
            <w:noProof/>
            <w:webHidden/>
          </w:rPr>
          <w:tab/>
        </w:r>
        <w:r w:rsidR="008464AC">
          <w:rPr>
            <w:noProof/>
            <w:webHidden/>
          </w:rPr>
          <w:fldChar w:fldCharType="begin"/>
        </w:r>
        <w:r w:rsidR="008464AC">
          <w:rPr>
            <w:noProof/>
            <w:webHidden/>
          </w:rPr>
          <w:instrText xml:space="preserve"> PAGEREF _Toc42182362 \h </w:instrText>
        </w:r>
        <w:r w:rsidR="008464AC">
          <w:rPr>
            <w:noProof/>
            <w:webHidden/>
          </w:rPr>
        </w:r>
        <w:r w:rsidR="008464AC">
          <w:rPr>
            <w:noProof/>
            <w:webHidden/>
          </w:rPr>
          <w:fldChar w:fldCharType="separate"/>
        </w:r>
        <w:r w:rsidR="008464AC">
          <w:rPr>
            <w:noProof/>
            <w:webHidden/>
          </w:rPr>
          <w:t>11</w:t>
        </w:r>
        <w:r w:rsidR="008464AC">
          <w:rPr>
            <w:noProof/>
            <w:webHidden/>
          </w:rPr>
          <w:fldChar w:fldCharType="end"/>
        </w:r>
      </w:hyperlink>
    </w:p>
    <w:p w14:paraId="23523FC8" w14:textId="731E342D" w:rsidR="008464AC" w:rsidRDefault="00A933BF">
      <w:pPr>
        <w:pStyle w:val="TOC2"/>
        <w:tabs>
          <w:tab w:val="left" w:pos="880"/>
          <w:tab w:val="right" w:leader="dot" w:pos="9016"/>
        </w:tabs>
        <w:rPr>
          <w:rFonts w:eastAsiaTheme="minorEastAsia"/>
          <w:smallCaps w:val="0"/>
          <w:noProof/>
          <w:sz w:val="22"/>
          <w:szCs w:val="22"/>
          <w:lang w:eastAsia="en-GB"/>
        </w:rPr>
      </w:pPr>
      <w:hyperlink w:anchor="_Toc42182363" w:history="1">
        <w:r w:rsidR="008464AC" w:rsidRPr="00897EEB">
          <w:rPr>
            <w:rStyle w:val="Hyperlink"/>
            <w:rFonts w:cstheme="majorHAnsi"/>
            <w:noProof/>
          </w:rPr>
          <w:t>2.1</w:t>
        </w:r>
        <w:r w:rsidR="008464AC">
          <w:rPr>
            <w:rFonts w:eastAsiaTheme="minorEastAsia"/>
            <w:smallCaps w:val="0"/>
            <w:noProof/>
            <w:sz w:val="22"/>
            <w:szCs w:val="22"/>
            <w:lang w:eastAsia="en-GB"/>
          </w:rPr>
          <w:tab/>
        </w:r>
        <w:r w:rsidR="008464AC" w:rsidRPr="00897EEB">
          <w:rPr>
            <w:rStyle w:val="Hyperlink"/>
            <w:rFonts w:cstheme="majorHAnsi"/>
            <w:noProof/>
          </w:rPr>
          <w:t>Useful definitions from the JCGM Guide to the expression of uncertainty in measurement</w:t>
        </w:r>
        <w:r w:rsidR="008464AC">
          <w:rPr>
            <w:noProof/>
            <w:webHidden/>
          </w:rPr>
          <w:tab/>
        </w:r>
        <w:r w:rsidR="008464AC">
          <w:rPr>
            <w:noProof/>
            <w:webHidden/>
          </w:rPr>
          <w:fldChar w:fldCharType="begin"/>
        </w:r>
        <w:r w:rsidR="008464AC">
          <w:rPr>
            <w:noProof/>
            <w:webHidden/>
          </w:rPr>
          <w:instrText xml:space="preserve"> PAGEREF _Toc42182363 \h </w:instrText>
        </w:r>
        <w:r w:rsidR="008464AC">
          <w:rPr>
            <w:noProof/>
            <w:webHidden/>
          </w:rPr>
        </w:r>
        <w:r w:rsidR="008464AC">
          <w:rPr>
            <w:noProof/>
            <w:webHidden/>
          </w:rPr>
          <w:fldChar w:fldCharType="separate"/>
        </w:r>
        <w:r w:rsidR="008464AC">
          <w:rPr>
            <w:noProof/>
            <w:webHidden/>
          </w:rPr>
          <w:t>16</w:t>
        </w:r>
        <w:r w:rsidR="008464AC">
          <w:rPr>
            <w:noProof/>
            <w:webHidden/>
          </w:rPr>
          <w:fldChar w:fldCharType="end"/>
        </w:r>
      </w:hyperlink>
    </w:p>
    <w:p w14:paraId="256598A6" w14:textId="32703EE2" w:rsidR="008464AC" w:rsidRDefault="00A933BF">
      <w:pPr>
        <w:pStyle w:val="TOC2"/>
        <w:tabs>
          <w:tab w:val="left" w:pos="880"/>
          <w:tab w:val="right" w:leader="dot" w:pos="9016"/>
        </w:tabs>
        <w:rPr>
          <w:rFonts w:eastAsiaTheme="minorEastAsia"/>
          <w:smallCaps w:val="0"/>
          <w:noProof/>
          <w:sz w:val="22"/>
          <w:szCs w:val="22"/>
          <w:lang w:eastAsia="en-GB"/>
        </w:rPr>
      </w:pPr>
      <w:hyperlink w:anchor="_Toc42182364" w:history="1">
        <w:r w:rsidR="008464AC" w:rsidRPr="00897EEB">
          <w:rPr>
            <w:rStyle w:val="Hyperlink"/>
            <w:noProof/>
          </w:rPr>
          <w:t>2.2</w:t>
        </w:r>
        <w:r w:rsidR="008464AC">
          <w:rPr>
            <w:rFonts w:eastAsiaTheme="minorEastAsia"/>
            <w:smallCaps w:val="0"/>
            <w:noProof/>
            <w:sz w:val="22"/>
            <w:szCs w:val="22"/>
            <w:lang w:eastAsia="en-GB"/>
          </w:rPr>
          <w:tab/>
        </w:r>
        <w:r w:rsidR="008464AC" w:rsidRPr="00897EEB">
          <w:rPr>
            <w:rStyle w:val="Hyperlink"/>
            <w:noProof/>
          </w:rPr>
          <w:t>Uncertainty propagation</w:t>
        </w:r>
        <w:r w:rsidR="008464AC">
          <w:rPr>
            <w:noProof/>
            <w:webHidden/>
          </w:rPr>
          <w:tab/>
        </w:r>
        <w:r w:rsidR="008464AC">
          <w:rPr>
            <w:noProof/>
            <w:webHidden/>
          </w:rPr>
          <w:fldChar w:fldCharType="begin"/>
        </w:r>
        <w:r w:rsidR="008464AC">
          <w:rPr>
            <w:noProof/>
            <w:webHidden/>
          </w:rPr>
          <w:instrText xml:space="preserve"> PAGEREF _Toc42182364 \h </w:instrText>
        </w:r>
        <w:r w:rsidR="008464AC">
          <w:rPr>
            <w:noProof/>
            <w:webHidden/>
          </w:rPr>
        </w:r>
        <w:r w:rsidR="008464AC">
          <w:rPr>
            <w:noProof/>
            <w:webHidden/>
          </w:rPr>
          <w:fldChar w:fldCharType="separate"/>
        </w:r>
        <w:r w:rsidR="008464AC">
          <w:rPr>
            <w:noProof/>
            <w:webHidden/>
          </w:rPr>
          <w:t>18</w:t>
        </w:r>
        <w:r w:rsidR="008464AC">
          <w:rPr>
            <w:noProof/>
            <w:webHidden/>
          </w:rPr>
          <w:fldChar w:fldCharType="end"/>
        </w:r>
      </w:hyperlink>
    </w:p>
    <w:p w14:paraId="459DEC99" w14:textId="0A0F34EE" w:rsidR="008464AC" w:rsidRDefault="00A933BF">
      <w:pPr>
        <w:pStyle w:val="TOC1"/>
        <w:tabs>
          <w:tab w:val="left" w:pos="440"/>
        </w:tabs>
        <w:rPr>
          <w:rFonts w:eastAsiaTheme="minorEastAsia"/>
          <w:b w:val="0"/>
          <w:bCs w:val="0"/>
          <w:caps w:val="0"/>
          <w:noProof/>
          <w:sz w:val="22"/>
          <w:szCs w:val="22"/>
          <w:lang w:eastAsia="en-GB"/>
        </w:rPr>
      </w:pPr>
      <w:hyperlink w:anchor="_Toc42182365" w:history="1">
        <w:r w:rsidR="008464AC" w:rsidRPr="00897EEB">
          <w:rPr>
            <w:rStyle w:val="Hyperlink"/>
            <w:noProof/>
          </w:rPr>
          <w:t>3</w:t>
        </w:r>
        <w:r w:rsidR="008464AC">
          <w:rPr>
            <w:rFonts w:eastAsiaTheme="minorEastAsia"/>
            <w:b w:val="0"/>
            <w:bCs w:val="0"/>
            <w:caps w:val="0"/>
            <w:noProof/>
            <w:sz w:val="22"/>
            <w:szCs w:val="22"/>
            <w:lang w:eastAsia="en-GB"/>
          </w:rPr>
          <w:tab/>
        </w:r>
        <w:r w:rsidR="008464AC" w:rsidRPr="00897EEB">
          <w:rPr>
            <w:rStyle w:val="Hyperlink"/>
            <w:noProof/>
          </w:rPr>
          <w:t>References</w:t>
        </w:r>
        <w:r w:rsidR="008464AC">
          <w:rPr>
            <w:noProof/>
            <w:webHidden/>
          </w:rPr>
          <w:tab/>
        </w:r>
        <w:r w:rsidR="008464AC">
          <w:rPr>
            <w:noProof/>
            <w:webHidden/>
          </w:rPr>
          <w:fldChar w:fldCharType="begin"/>
        </w:r>
        <w:r w:rsidR="008464AC">
          <w:rPr>
            <w:noProof/>
            <w:webHidden/>
          </w:rPr>
          <w:instrText xml:space="preserve"> PAGEREF _Toc42182365 \h </w:instrText>
        </w:r>
        <w:r w:rsidR="008464AC">
          <w:rPr>
            <w:noProof/>
            <w:webHidden/>
          </w:rPr>
        </w:r>
        <w:r w:rsidR="008464AC">
          <w:rPr>
            <w:noProof/>
            <w:webHidden/>
          </w:rPr>
          <w:fldChar w:fldCharType="separate"/>
        </w:r>
        <w:r w:rsidR="008464AC">
          <w:rPr>
            <w:noProof/>
            <w:webHidden/>
          </w:rPr>
          <w:t>20</w:t>
        </w:r>
        <w:r w:rsidR="008464AC">
          <w:rPr>
            <w:noProof/>
            <w:webHidden/>
          </w:rPr>
          <w:fldChar w:fldCharType="end"/>
        </w:r>
      </w:hyperlink>
    </w:p>
    <w:p w14:paraId="26B0CAB8" w14:textId="698C64E5" w:rsidR="00735DB6" w:rsidRPr="00735DB6" w:rsidRDefault="00E957D8" w:rsidP="00E957D8">
      <w:r>
        <w:fldChar w:fldCharType="end"/>
      </w:r>
    </w:p>
    <w:p w14:paraId="7102B12E" w14:textId="3808C39D" w:rsidR="00D30CE5" w:rsidRDefault="00D30CE5" w:rsidP="00F63315"/>
    <w:p w14:paraId="4345285D" w14:textId="1D197901" w:rsidR="001D68DD" w:rsidRDefault="001D68DD" w:rsidP="00F63315"/>
    <w:p w14:paraId="7543E730" w14:textId="5931EF91" w:rsidR="001D68DD" w:rsidRDefault="001D68DD" w:rsidP="00F63315"/>
    <w:p w14:paraId="6BC08230" w14:textId="59BFA91A" w:rsidR="001D68DD" w:rsidRDefault="001D68DD" w:rsidP="00F63315"/>
    <w:p w14:paraId="28C7409C" w14:textId="694365BF" w:rsidR="001D68DD" w:rsidRDefault="001D68DD" w:rsidP="00F63315"/>
    <w:p w14:paraId="59A32EA5" w14:textId="57BEDAB2" w:rsidR="001D68DD" w:rsidRDefault="001D68DD" w:rsidP="00F63315"/>
    <w:p w14:paraId="4FD8C0D2" w14:textId="41F764A0" w:rsidR="001D68DD" w:rsidRDefault="001D68DD" w:rsidP="00F63315"/>
    <w:p w14:paraId="4ADC38F9" w14:textId="3CF31974" w:rsidR="001D68DD" w:rsidRDefault="001D68DD" w:rsidP="00F63315"/>
    <w:p w14:paraId="5524491C" w14:textId="07BB0337" w:rsidR="001D68DD" w:rsidRDefault="001D68DD" w:rsidP="00F63315"/>
    <w:p w14:paraId="2C7712DF" w14:textId="71FA5A11" w:rsidR="001D68DD" w:rsidRDefault="001D68DD" w:rsidP="00F63315"/>
    <w:p w14:paraId="2C5E3982" w14:textId="50DFB218" w:rsidR="001D68DD" w:rsidRDefault="001D68DD" w:rsidP="00F63315"/>
    <w:p w14:paraId="30C03450" w14:textId="3399D2AC" w:rsidR="001D68DD" w:rsidRDefault="001D68DD" w:rsidP="00F63315"/>
    <w:p w14:paraId="2F33D86B" w14:textId="560AD5B4" w:rsidR="001D68DD" w:rsidRDefault="001D68DD" w:rsidP="00F63315"/>
    <w:p w14:paraId="78B536A0" w14:textId="7CB61EFB" w:rsidR="001D68DD" w:rsidRDefault="001D68DD" w:rsidP="00F63315"/>
    <w:p w14:paraId="71CF6F74" w14:textId="1D77185D" w:rsidR="001D68DD" w:rsidRDefault="001D68DD" w:rsidP="00F63315"/>
    <w:p w14:paraId="7CEE5976" w14:textId="0B3896CA" w:rsidR="001D68DD" w:rsidRDefault="001D68DD" w:rsidP="00F63315"/>
    <w:p w14:paraId="14FD687A" w14:textId="121446F8" w:rsidR="001D68DD" w:rsidRDefault="001D68DD" w:rsidP="00F63315"/>
    <w:p w14:paraId="55DE081B" w14:textId="472082FA" w:rsidR="00D30CE5" w:rsidRPr="00BC4ECC" w:rsidRDefault="00D30CE5" w:rsidP="001D68DD">
      <w:pPr>
        <w:pStyle w:val="Heading1"/>
        <w:numPr>
          <w:ilvl w:val="0"/>
          <w:numId w:val="0"/>
        </w:numPr>
        <w:rPr>
          <w:color w:val="2F5496" w:themeColor="accent1" w:themeShade="BF"/>
        </w:rPr>
      </w:pPr>
      <w:bookmarkStart w:id="3" w:name="_Toc42182355"/>
      <w:r w:rsidRPr="00BC4ECC">
        <w:rPr>
          <w:color w:val="2F5496" w:themeColor="accent1" w:themeShade="BF"/>
        </w:rPr>
        <w:lastRenderedPageBreak/>
        <w:t>List of Figures</w:t>
      </w:r>
      <w:bookmarkEnd w:id="3"/>
    </w:p>
    <w:p w14:paraId="454D83FE" w14:textId="77777777" w:rsidR="00CF16F8" w:rsidRPr="00CF16F8" w:rsidRDefault="00CF16F8" w:rsidP="00CF16F8"/>
    <w:p w14:paraId="0B123114" w14:textId="040657ED" w:rsidR="00797ACD" w:rsidRDefault="00CF16F8">
      <w:pPr>
        <w:pStyle w:val="TableofFigures"/>
        <w:tabs>
          <w:tab w:val="right" w:leader="dot" w:pos="9016"/>
        </w:tabs>
        <w:rPr>
          <w:rFonts w:eastAsiaTheme="minorEastAsia"/>
          <w:noProof/>
          <w:lang w:eastAsia="en-GB"/>
        </w:rPr>
      </w:pPr>
      <w:r>
        <w:fldChar w:fldCharType="begin"/>
      </w:r>
      <w:r>
        <w:instrText xml:space="preserve"> TOC \h \z \c "Figure" </w:instrText>
      </w:r>
      <w:r>
        <w:fldChar w:fldCharType="separate"/>
      </w:r>
      <w:hyperlink w:anchor="_Toc42180693" w:history="1">
        <w:r w:rsidR="00797ACD" w:rsidRPr="00A12ACD">
          <w:rPr>
            <w:rStyle w:val="Hyperlink"/>
            <w:noProof/>
          </w:rPr>
          <w:t>Figure 1: The sequence of scientific output needed to underpin satellite observation [4]. FRM data will play a vital role in both the post-launch calibration and validation of satellite observations.</w:t>
        </w:r>
        <w:r w:rsidR="00797ACD">
          <w:rPr>
            <w:noProof/>
            <w:webHidden/>
          </w:rPr>
          <w:tab/>
        </w:r>
        <w:r w:rsidR="00797ACD">
          <w:rPr>
            <w:noProof/>
            <w:webHidden/>
          </w:rPr>
          <w:fldChar w:fldCharType="begin"/>
        </w:r>
        <w:r w:rsidR="00797ACD">
          <w:rPr>
            <w:noProof/>
            <w:webHidden/>
          </w:rPr>
          <w:instrText xml:space="preserve"> PAGEREF _Toc42180693 \h </w:instrText>
        </w:r>
        <w:r w:rsidR="00797ACD">
          <w:rPr>
            <w:noProof/>
            <w:webHidden/>
          </w:rPr>
        </w:r>
        <w:r w:rsidR="00797ACD">
          <w:rPr>
            <w:noProof/>
            <w:webHidden/>
          </w:rPr>
          <w:fldChar w:fldCharType="separate"/>
        </w:r>
        <w:r w:rsidR="00797ACD">
          <w:rPr>
            <w:noProof/>
            <w:webHidden/>
          </w:rPr>
          <w:t>7</w:t>
        </w:r>
        <w:r w:rsidR="00797ACD">
          <w:rPr>
            <w:noProof/>
            <w:webHidden/>
          </w:rPr>
          <w:fldChar w:fldCharType="end"/>
        </w:r>
      </w:hyperlink>
    </w:p>
    <w:p w14:paraId="53F19000" w14:textId="3CB04A6C" w:rsidR="00797ACD" w:rsidRDefault="00A933BF">
      <w:pPr>
        <w:pStyle w:val="TableofFigures"/>
        <w:tabs>
          <w:tab w:val="right" w:leader="dot" w:pos="9016"/>
        </w:tabs>
        <w:rPr>
          <w:rFonts w:eastAsiaTheme="minorEastAsia"/>
          <w:noProof/>
          <w:lang w:eastAsia="en-GB"/>
        </w:rPr>
      </w:pPr>
      <w:hyperlink w:anchor="_Toc42180694" w:history="1">
        <w:r w:rsidR="00797ACD" w:rsidRPr="00A12ACD">
          <w:rPr>
            <w:rStyle w:val="Hyperlink"/>
            <w:noProof/>
          </w:rPr>
          <w:t>Figure 2: An illustration of error and uncertainty.</w:t>
        </w:r>
        <w:r w:rsidR="00797ACD" w:rsidRPr="00A12ACD">
          <w:rPr>
            <w:rStyle w:val="Hyperlink"/>
            <w:rFonts w:cstheme="minorHAnsi"/>
            <w:noProof/>
          </w:rPr>
          <w:t xml:space="preserve"> [23]</w:t>
        </w:r>
        <w:r w:rsidR="00797ACD">
          <w:rPr>
            <w:noProof/>
            <w:webHidden/>
          </w:rPr>
          <w:tab/>
        </w:r>
        <w:r w:rsidR="00797ACD">
          <w:rPr>
            <w:noProof/>
            <w:webHidden/>
          </w:rPr>
          <w:fldChar w:fldCharType="begin"/>
        </w:r>
        <w:r w:rsidR="00797ACD">
          <w:rPr>
            <w:noProof/>
            <w:webHidden/>
          </w:rPr>
          <w:instrText xml:space="preserve"> PAGEREF _Toc42180694 \h </w:instrText>
        </w:r>
        <w:r w:rsidR="00797ACD">
          <w:rPr>
            <w:noProof/>
            <w:webHidden/>
          </w:rPr>
        </w:r>
        <w:r w:rsidR="00797ACD">
          <w:rPr>
            <w:noProof/>
            <w:webHidden/>
          </w:rPr>
          <w:fldChar w:fldCharType="separate"/>
        </w:r>
        <w:r w:rsidR="00797ACD">
          <w:rPr>
            <w:noProof/>
            <w:webHidden/>
          </w:rPr>
          <w:t>13</w:t>
        </w:r>
        <w:r w:rsidR="00797ACD">
          <w:rPr>
            <w:noProof/>
            <w:webHidden/>
          </w:rPr>
          <w:fldChar w:fldCharType="end"/>
        </w:r>
      </w:hyperlink>
    </w:p>
    <w:p w14:paraId="752E31A1" w14:textId="23866FAC" w:rsidR="00797ACD" w:rsidRPr="00490BD9" w:rsidRDefault="00A933BF">
      <w:pPr>
        <w:pStyle w:val="TableofFigures"/>
        <w:tabs>
          <w:tab w:val="right" w:leader="dot" w:pos="9016"/>
        </w:tabs>
        <w:rPr>
          <w:rFonts w:eastAsiaTheme="minorEastAsia"/>
          <w:noProof/>
          <w:lang w:eastAsia="en-GB"/>
        </w:rPr>
      </w:pPr>
      <w:hyperlink w:anchor="_Toc42180695" w:history="1">
        <w:r w:rsidR="00797ACD" w:rsidRPr="00490BD9">
          <w:rPr>
            <w:rStyle w:val="Hyperlink"/>
            <w:noProof/>
          </w:rPr>
          <w:t>Figure 3: Graphical illustration of value, error and uncertainty [7]</w:t>
        </w:r>
        <w:r w:rsidR="00797ACD" w:rsidRPr="00490BD9">
          <w:rPr>
            <w:noProof/>
            <w:webHidden/>
          </w:rPr>
          <w:tab/>
        </w:r>
        <w:r w:rsidR="00797ACD" w:rsidRPr="00490BD9">
          <w:rPr>
            <w:noProof/>
            <w:webHidden/>
          </w:rPr>
          <w:fldChar w:fldCharType="begin"/>
        </w:r>
        <w:r w:rsidR="00797ACD" w:rsidRPr="00490BD9">
          <w:rPr>
            <w:noProof/>
            <w:webHidden/>
          </w:rPr>
          <w:instrText xml:space="preserve"> PAGEREF _Toc42180695 \h </w:instrText>
        </w:r>
        <w:r w:rsidR="00797ACD" w:rsidRPr="00490BD9">
          <w:rPr>
            <w:noProof/>
            <w:webHidden/>
          </w:rPr>
        </w:r>
        <w:r w:rsidR="00797ACD" w:rsidRPr="00490BD9">
          <w:rPr>
            <w:noProof/>
            <w:webHidden/>
          </w:rPr>
          <w:fldChar w:fldCharType="separate"/>
        </w:r>
        <w:r w:rsidR="00797ACD" w:rsidRPr="00490BD9">
          <w:rPr>
            <w:noProof/>
            <w:webHidden/>
          </w:rPr>
          <w:t>14</w:t>
        </w:r>
        <w:r w:rsidR="00797ACD" w:rsidRPr="00490BD9">
          <w:rPr>
            <w:noProof/>
            <w:webHidden/>
          </w:rPr>
          <w:fldChar w:fldCharType="end"/>
        </w:r>
      </w:hyperlink>
    </w:p>
    <w:p w14:paraId="0832E155" w14:textId="79296258" w:rsidR="00797ACD" w:rsidRDefault="00A933BF">
      <w:pPr>
        <w:pStyle w:val="TableofFigures"/>
        <w:tabs>
          <w:tab w:val="right" w:leader="dot" w:pos="9016"/>
        </w:tabs>
        <w:rPr>
          <w:rFonts w:eastAsiaTheme="minorEastAsia"/>
          <w:noProof/>
          <w:lang w:eastAsia="en-GB"/>
        </w:rPr>
      </w:pPr>
      <w:hyperlink w:anchor="_Toc42180696" w:history="1">
        <w:r w:rsidR="00797ACD" w:rsidRPr="00A12ACD">
          <w:rPr>
            <w:rStyle w:val="Hyperlink"/>
            <w:noProof/>
          </w:rPr>
          <w:t>Figure 4: Graphical illustration of evaluating the standards uncertainty of an input quantity from repeated observations of the temperature t [8]</w:t>
        </w:r>
        <w:r w:rsidR="00797ACD">
          <w:rPr>
            <w:noProof/>
            <w:webHidden/>
          </w:rPr>
          <w:tab/>
        </w:r>
        <w:r w:rsidR="00797ACD">
          <w:rPr>
            <w:noProof/>
            <w:webHidden/>
          </w:rPr>
          <w:fldChar w:fldCharType="begin"/>
        </w:r>
        <w:r w:rsidR="00797ACD">
          <w:rPr>
            <w:noProof/>
            <w:webHidden/>
          </w:rPr>
          <w:instrText xml:space="preserve"> PAGEREF _Toc42180696 \h </w:instrText>
        </w:r>
        <w:r w:rsidR="00797ACD">
          <w:rPr>
            <w:noProof/>
            <w:webHidden/>
          </w:rPr>
        </w:r>
        <w:r w:rsidR="00797ACD">
          <w:rPr>
            <w:noProof/>
            <w:webHidden/>
          </w:rPr>
          <w:fldChar w:fldCharType="separate"/>
        </w:r>
        <w:r w:rsidR="00797ACD">
          <w:rPr>
            <w:noProof/>
            <w:webHidden/>
          </w:rPr>
          <w:t>15</w:t>
        </w:r>
        <w:r w:rsidR="00797ACD">
          <w:rPr>
            <w:noProof/>
            <w:webHidden/>
          </w:rPr>
          <w:fldChar w:fldCharType="end"/>
        </w:r>
      </w:hyperlink>
    </w:p>
    <w:p w14:paraId="22FB2677" w14:textId="61A1CEA6" w:rsidR="00797ACD" w:rsidRDefault="00A933BF">
      <w:pPr>
        <w:pStyle w:val="TableofFigures"/>
        <w:tabs>
          <w:tab w:val="right" w:leader="dot" w:pos="9016"/>
        </w:tabs>
        <w:rPr>
          <w:rFonts w:eastAsiaTheme="minorEastAsia"/>
          <w:noProof/>
          <w:lang w:eastAsia="en-GB"/>
        </w:rPr>
      </w:pPr>
      <w:hyperlink w:anchor="_Toc42180697" w:history="1">
        <w:r w:rsidR="00797ACD" w:rsidRPr="00A12ACD">
          <w:rPr>
            <w:rStyle w:val="Hyperlink"/>
            <w:noProof/>
          </w:rPr>
          <w:t>Figure 5: Measurement function [24]</w:t>
        </w:r>
        <w:r w:rsidR="00797ACD">
          <w:rPr>
            <w:noProof/>
            <w:webHidden/>
          </w:rPr>
          <w:tab/>
        </w:r>
        <w:r w:rsidR="00797ACD">
          <w:rPr>
            <w:noProof/>
            <w:webHidden/>
          </w:rPr>
          <w:fldChar w:fldCharType="begin"/>
        </w:r>
        <w:r w:rsidR="00797ACD">
          <w:rPr>
            <w:noProof/>
            <w:webHidden/>
          </w:rPr>
          <w:instrText xml:space="preserve"> PAGEREF _Toc42180697 \h </w:instrText>
        </w:r>
        <w:r w:rsidR="00797ACD">
          <w:rPr>
            <w:noProof/>
            <w:webHidden/>
          </w:rPr>
        </w:r>
        <w:r w:rsidR="00797ACD">
          <w:rPr>
            <w:noProof/>
            <w:webHidden/>
          </w:rPr>
          <w:fldChar w:fldCharType="separate"/>
        </w:r>
        <w:r w:rsidR="00797ACD">
          <w:rPr>
            <w:noProof/>
            <w:webHidden/>
          </w:rPr>
          <w:t>18</w:t>
        </w:r>
        <w:r w:rsidR="00797ACD">
          <w:rPr>
            <w:noProof/>
            <w:webHidden/>
          </w:rPr>
          <w:fldChar w:fldCharType="end"/>
        </w:r>
      </w:hyperlink>
    </w:p>
    <w:p w14:paraId="17FF59A2" w14:textId="10FC5E09" w:rsidR="00797ACD" w:rsidRDefault="00A933BF">
      <w:pPr>
        <w:pStyle w:val="TableofFigures"/>
        <w:tabs>
          <w:tab w:val="right" w:leader="dot" w:pos="9016"/>
        </w:tabs>
        <w:rPr>
          <w:rFonts w:eastAsiaTheme="minorEastAsia"/>
          <w:noProof/>
          <w:lang w:eastAsia="en-GB"/>
        </w:rPr>
      </w:pPr>
      <w:hyperlink w:anchor="_Toc42180698" w:history="1">
        <w:r w:rsidR="00797ACD" w:rsidRPr="00A12ACD">
          <w:rPr>
            <w:rStyle w:val="Hyperlink"/>
            <w:rFonts w:cstheme="minorHAnsi"/>
            <w:noProof/>
          </w:rPr>
          <w:t>Figure 6: A summary of the uncertainty analysis [24]</w:t>
        </w:r>
        <w:r w:rsidR="00797ACD">
          <w:rPr>
            <w:noProof/>
            <w:webHidden/>
          </w:rPr>
          <w:tab/>
        </w:r>
        <w:r w:rsidR="00797ACD">
          <w:rPr>
            <w:noProof/>
            <w:webHidden/>
          </w:rPr>
          <w:fldChar w:fldCharType="begin"/>
        </w:r>
        <w:r w:rsidR="00797ACD">
          <w:rPr>
            <w:noProof/>
            <w:webHidden/>
          </w:rPr>
          <w:instrText xml:space="preserve"> PAGEREF _Toc42180698 \h </w:instrText>
        </w:r>
        <w:r w:rsidR="00797ACD">
          <w:rPr>
            <w:noProof/>
            <w:webHidden/>
          </w:rPr>
        </w:r>
        <w:r w:rsidR="00797ACD">
          <w:rPr>
            <w:noProof/>
            <w:webHidden/>
          </w:rPr>
          <w:fldChar w:fldCharType="separate"/>
        </w:r>
        <w:r w:rsidR="00797ACD">
          <w:rPr>
            <w:noProof/>
            <w:webHidden/>
          </w:rPr>
          <w:t>19</w:t>
        </w:r>
        <w:r w:rsidR="00797ACD">
          <w:rPr>
            <w:noProof/>
            <w:webHidden/>
          </w:rPr>
          <w:fldChar w:fldCharType="end"/>
        </w:r>
      </w:hyperlink>
    </w:p>
    <w:p w14:paraId="245957F2" w14:textId="389018BF" w:rsidR="00D30CE5" w:rsidRPr="00BC4ECC" w:rsidRDefault="00CF16F8" w:rsidP="00D30CE5">
      <w:pPr>
        <w:rPr>
          <w:color w:val="2F5496" w:themeColor="accent1" w:themeShade="BF"/>
        </w:rPr>
      </w:pPr>
      <w:r>
        <w:fldChar w:fldCharType="end"/>
      </w:r>
    </w:p>
    <w:p w14:paraId="68F83897" w14:textId="2B709DEF" w:rsidR="00F63315" w:rsidRPr="00BC4ECC" w:rsidRDefault="00D30CE5" w:rsidP="001D68DD">
      <w:pPr>
        <w:pStyle w:val="Heading1"/>
        <w:numPr>
          <w:ilvl w:val="0"/>
          <w:numId w:val="0"/>
        </w:numPr>
        <w:ind w:left="432" w:hanging="432"/>
        <w:rPr>
          <w:color w:val="2F5496" w:themeColor="accent1" w:themeShade="BF"/>
        </w:rPr>
      </w:pPr>
      <w:bookmarkStart w:id="4" w:name="_Toc42182356"/>
      <w:r w:rsidRPr="00BC4ECC">
        <w:rPr>
          <w:color w:val="2F5496" w:themeColor="accent1" w:themeShade="BF"/>
        </w:rPr>
        <w:t>Acronyms</w:t>
      </w:r>
      <w:bookmarkEnd w:id="4"/>
    </w:p>
    <w:p w14:paraId="1A67B504" w14:textId="77777777" w:rsidR="001D68DD" w:rsidRPr="001D68DD" w:rsidRDefault="001D68DD" w:rsidP="001D68DD"/>
    <w:tbl>
      <w:tblPr>
        <w:tblStyle w:val="TableGridLight"/>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30"/>
      </w:tblGrid>
      <w:tr w:rsidR="00F63315" w:rsidRPr="0068439A" w14:paraId="0103B982" w14:textId="77777777" w:rsidTr="009979AC">
        <w:trPr>
          <w:trHeight w:val="288"/>
        </w:trPr>
        <w:tc>
          <w:tcPr>
            <w:tcW w:w="1701" w:type="dxa"/>
          </w:tcPr>
          <w:p w14:paraId="159FE967" w14:textId="77777777" w:rsidR="00F63315" w:rsidRPr="0068439A" w:rsidRDefault="00F63315" w:rsidP="00B04ABC">
            <w:pPr>
              <w:rPr>
                <w:rFonts w:cstheme="minorHAnsi"/>
                <w:b/>
                <w:bCs/>
              </w:rPr>
            </w:pPr>
            <w:r w:rsidRPr="0068439A">
              <w:rPr>
                <w:rFonts w:cstheme="minorHAnsi"/>
                <w:b/>
                <w:bCs/>
              </w:rPr>
              <w:t>Abbreviation</w:t>
            </w:r>
          </w:p>
        </w:tc>
        <w:tc>
          <w:tcPr>
            <w:tcW w:w="7230" w:type="dxa"/>
          </w:tcPr>
          <w:p w14:paraId="32C9C127" w14:textId="77777777" w:rsidR="00F63315" w:rsidRPr="0068439A" w:rsidRDefault="00F63315" w:rsidP="00B04ABC">
            <w:pPr>
              <w:rPr>
                <w:rFonts w:cstheme="minorHAnsi"/>
                <w:b/>
                <w:bCs/>
              </w:rPr>
            </w:pPr>
            <w:r w:rsidRPr="0068439A">
              <w:rPr>
                <w:rFonts w:cstheme="minorHAnsi"/>
                <w:b/>
                <w:bCs/>
              </w:rPr>
              <w:t>Stands for</w:t>
            </w:r>
          </w:p>
        </w:tc>
      </w:tr>
      <w:tr w:rsidR="00F63315" w:rsidRPr="0068439A" w14:paraId="5911F7F2" w14:textId="77777777" w:rsidTr="009979AC">
        <w:trPr>
          <w:trHeight w:val="79"/>
        </w:trPr>
        <w:tc>
          <w:tcPr>
            <w:tcW w:w="1701" w:type="dxa"/>
          </w:tcPr>
          <w:p w14:paraId="06F05685" w14:textId="77777777" w:rsidR="00F63315" w:rsidRPr="0068439A" w:rsidRDefault="00F63315" w:rsidP="00B04ABC">
            <w:pPr>
              <w:rPr>
                <w:rFonts w:cstheme="minorHAnsi"/>
              </w:rPr>
            </w:pPr>
            <w:r w:rsidRPr="0068439A">
              <w:rPr>
                <w:rFonts w:cstheme="minorHAnsi"/>
              </w:rPr>
              <w:t>AERONET</w:t>
            </w:r>
          </w:p>
        </w:tc>
        <w:tc>
          <w:tcPr>
            <w:tcW w:w="7230" w:type="dxa"/>
          </w:tcPr>
          <w:p w14:paraId="4D33D8D3" w14:textId="77777777" w:rsidR="00F63315" w:rsidRPr="0068439A" w:rsidRDefault="00F63315" w:rsidP="00B04ABC">
            <w:pPr>
              <w:rPr>
                <w:rFonts w:cstheme="minorHAnsi"/>
              </w:rPr>
            </w:pPr>
            <w:r w:rsidRPr="0068439A">
              <w:rPr>
                <w:rFonts w:cstheme="minorHAnsi"/>
              </w:rPr>
              <w:t>Aerosol Robotic Network</w:t>
            </w:r>
          </w:p>
        </w:tc>
      </w:tr>
      <w:tr w:rsidR="00F63315" w:rsidRPr="0068439A" w14:paraId="768FBF2E" w14:textId="77777777" w:rsidTr="009979AC">
        <w:trPr>
          <w:trHeight w:val="79"/>
        </w:trPr>
        <w:tc>
          <w:tcPr>
            <w:tcW w:w="1701" w:type="dxa"/>
          </w:tcPr>
          <w:p w14:paraId="2161E69E" w14:textId="77777777" w:rsidR="00F63315" w:rsidRPr="0068439A" w:rsidRDefault="00F63315" w:rsidP="00B04ABC">
            <w:pPr>
              <w:rPr>
                <w:rFonts w:cstheme="minorHAnsi"/>
              </w:rPr>
            </w:pPr>
            <w:r w:rsidRPr="0068439A">
              <w:rPr>
                <w:rFonts w:cstheme="minorHAnsi"/>
              </w:rPr>
              <w:t>CCC</w:t>
            </w:r>
          </w:p>
        </w:tc>
        <w:tc>
          <w:tcPr>
            <w:tcW w:w="7230" w:type="dxa"/>
          </w:tcPr>
          <w:p w14:paraId="43D8FDDC" w14:textId="77777777" w:rsidR="00F63315" w:rsidRPr="0068439A" w:rsidRDefault="00F63315" w:rsidP="00B04ABC">
            <w:pPr>
              <w:rPr>
                <w:rFonts w:cstheme="minorHAnsi"/>
              </w:rPr>
            </w:pPr>
            <w:r w:rsidRPr="0068439A">
              <w:rPr>
                <w:rFonts w:cstheme="minorHAnsi"/>
              </w:rPr>
              <w:t>Canopy Chlorophyll Content</w:t>
            </w:r>
          </w:p>
        </w:tc>
      </w:tr>
      <w:tr w:rsidR="00F63315" w:rsidRPr="0068439A" w14:paraId="4636953E" w14:textId="77777777" w:rsidTr="009979AC">
        <w:trPr>
          <w:trHeight w:val="268"/>
        </w:trPr>
        <w:tc>
          <w:tcPr>
            <w:tcW w:w="1701" w:type="dxa"/>
          </w:tcPr>
          <w:p w14:paraId="03A634E3" w14:textId="77777777" w:rsidR="00F63315" w:rsidRPr="0068439A" w:rsidRDefault="00F63315" w:rsidP="00B04ABC">
            <w:pPr>
              <w:rPr>
                <w:rFonts w:cstheme="minorHAnsi"/>
              </w:rPr>
            </w:pPr>
            <w:r>
              <w:rPr>
                <w:rFonts w:cstheme="minorHAnsi"/>
              </w:rPr>
              <w:t>CEOS</w:t>
            </w:r>
          </w:p>
        </w:tc>
        <w:tc>
          <w:tcPr>
            <w:tcW w:w="7230" w:type="dxa"/>
          </w:tcPr>
          <w:p w14:paraId="1A478E9B" w14:textId="77777777" w:rsidR="00F63315" w:rsidRPr="0068439A" w:rsidRDefault="00F63315" w:rsidP="00B04ABC">
            <w:pPr>
              <w:rPr>
                <w:rFonts w:cstheme="minorHAnsi"/>
              </w:rPr>
            </w:pPr>
            <w:r>
              <w:rPr>
                <w:rFonts w:cstheme="minorHAnsi"/>
              </w:rPr>
              <w:t>Committee on Earth Observation Satellites</w:t>
            </w:r>
          </w:p>
        </w:tc>
      </w:tr>
      <w:tr w:rsidR="00F63315" w:rsidRPr="0068439A" w14:paraId="5752D5C5" w14:textId="77777777" w:rsidTr="009979AC">
        <w:trPr>
          <w:trHeight w:val="268"/>
        </w:trPr>
        <w:tc>
          <w:tcPr>
            <w:tcW w:w="1701" w:type="dxa"/>
          </w:tcPr>
          <w:p w14:paraId="3708498F" w14:textId="77777777" w:rsidR="00F63315" w:rsidRPr="0068439A" w:rsidRDefault="00F63315" w:rsidP="00B04ABC">
            <w:pPr>
              <w:rPr>
                <w:rFonts w:cstheme="minorHAnsi"/>
              </w:rPr>
            </w:pPr>
            <w:r w:rsidRPr="0068439A">
              <w:rPr>
                <w:rFonts w:cstheme="minorHAnsi"/>
              </w:rPr>
              <w:t>CIP</w:t>
            </w:r>
          </w:p>
        </w:tc>
        <w:tc>
          <w:tcPr>
            <w:tcW w:w="7230" w:type="dxa"/>
          </w:tcPr>
          <w:p w14:paraId="53FACB37" w14:textId="77777777" w:rsidR="00F63315" w:rsidRPr="0068439A" w:rsidRDefault="00F63315" w:rsidP="00B04ABC">
            <w:pPr>
              <w:rPr>
                <w:rFonts w:cstheme="minorHAnsi"/>
              </w:rPr>
            </w:pPr>
            <w:r w:rsidRPr="0068439A">
              <w:rPr>
                <w:rFonts w:cstheme="minorHAnsi"/>
              </w:rPr>
              <w:t>Campaign Implementation Plan</w:t>
            </w:r>
          </w:p>
        </w:tc>
      </w:tr>
      <w:tr w:rsidR="00ED1A2C" w:rsidRPr="0068439A" w14:paraId="386B0AC6" w14:textId="77777777" w:rsidTr="009979AC">
        <w:trPr>
          <w:trHeight w:val="268"/>
        </w:trPr>
        <w:tc>
          <w:tcPr>
            <w:tcW w:w="1701" w:type="dxa"/>
          </w:tcPr>
          <w:p w14:paraId="2D540066" w14:textId="44168718" w:rsidR="00ED1A2C" w:rsidRPr="0068439A" w:rsidRDefault="00ED1A2C" w:rsidP="00B04ABC">
            <w:pPr>
              <w:rPr>
                <w:rFonts w:cstheme="minorHAnsi"/>
              </w:rPr>
            </w:pPr>
            <w:r>
              <w:rPr>
                <w:rFonts w:cstheme="minorHAnsi"/>
              </w:rPr>
              <w:t>DOAS</w:t>
            </w:r>
          </w:p>
        </w:tc>
        <w:tc>
          <w:tcPr>
            <w:tcW w:w="7230" w:type="dxa"/>
          </w:tcPr>
          <w:p w14:paraId="0AA0084C" w14:textId="47E695A3" w:rsidR="00ED1A2C" w:rsidRPr="0068439A" w:rsidRDefault="009C2A37" w:rsidP="00B04ABC">
            <w:pPr>
              <w:rPr>
                <w:rFonts w:cstheme="minorHAnsi"/>
              </w:rPr>
            </w:pPr>
            <w:r>
              <w:rPr>
                <w:rFonts w:cstheme="minorHAnsi"/>
              </w:rPr>
              <w:t>Dedicated Outdoors Air System</w:t>
            </w:r>
          </w:p>
        </w:tc>
      </w:tr>
      <w:tr w:rsidR="00F63315" w:rsidRPr="0068439A" w14:paraId="396F0076" w14:textId="77777777" w:rsidTr="009979AC">
        <w:trPr>
          <w:trHeight w:val="79"/>
        </w:trPr>
        <w:tc>
          <w:tcPr>
            <w:tcW w:w="1701" w:type="dxa"/>
          </w:tcPr>
          <w:p w14:paraId="55D866FA" w14:textId="77777777" w:rsidR="00F63315" w:rsidRPr="0068439A" w:rsidRDefault="00F63315" w:rsidP="00B04ABC">
            <w:pPr>
              <w:rPr>
                <w:rFonts w:cstheme="minorHAnsi"/>
              </w:rPr>
            </w:pPr>
            <w:r w:rsidRPr="0068439A">
              <w:rPr>
                <w:rFonts w:cstheme="minorHAnsi"/>
              </w:rPr>
              <w:t>EOLAB</w:t>
            </w:r>
          </w:p>
        </w:tc>
        <w:tc>
          <w:tcPr>
            <w:tcW w:w="7230" w:type="dxa"/>
          </w:tcPr>
          <w:p w14:paraId="69F364CD" w14:textId="77777777" w:rsidR="00F63315" w:rsidRPr="0068439A" w:rsidRDefault="00F63315" w:rsidP="00B04ABC">
            <w:pPr>
              <w:rPr>
                <w:rFonts w:cstheme="minorHAnsi"/>
              </w:rPr>
            </w:pPr>
            <w:r w:rsidRPr="0068439A">
              <w:rPr>
                <w:rFonts w:cstheme="minorHAnsi"/>
              </w:rPr>
              <w:t>Earth Observation Laboratory</w:t>
            </w:r>
          </w:p>
        </w:tc>
      </w:tr>
      <w:tr w:rsidR="00F63315" w:rsidRPr="0068439A" w14:paraId="2C3F9214" w14:textId="77777777" w:rsidTr="009979AC">
        <w:trPr>
          <w:trHeight w:val="79"/>
        </w:trPr>
        <w:tc>
          <w:tcPr>
            <w:tcW w:w="1701" w:type="dxa"/>
          </w:tcPr>
          <w:p w14:paraId="72718F99" w14:textId="77777777" w:rsidR="00F63315" w:rsidRPr="0068439A" w:rsidRDefault="00F63315" w:rsidP="00B04ABC">
            <w:pPr>
              <w:rPr>
                <w:rFonts w:cstheme="minorHAnsi"/>
              </w:rPr>
            </w:pPr>
            <w:r w:rsidRPr="0068439A">
              <w:rPr>
                <w:rFonts w:cstheme="minorHAnsi"/>
              </w:rPr>
              <w:t>EO</w:t>
            </w:r>
          </w:p>
        </w:tc>
        <w:tc>
          <w:tcPr>
            <w:tcW w:w="7230" w:type="dxa"/>
          </w:tcPr>
          <w:p w14:paraId="099ECD88" w14:textId="77777777" w:rsidR="00F63315" w:rsidRPr="0068439A" w:rsidRDefault="00F63315" w:rsidP="00B04ABC">
            <w:pPr>
              <w:rPr>
                <w:rFonts w:cstheme="minorHAnsi"/>
              </w:rPr>
            </w:pPr>
            <w:r w:rsidRPr="0068439A">
              <w:rPr>
                <w:rFonts w:cstheme="minorHAnsi"/>
              </w:rPr>
              <w:t>Earth Observation</w:t>
            </w:r>
          </w:p>
        </w:tc>
      </w:tr>
      <w:tr w:rsidR="00F63315" w:rsidRPr="0068439A" w14:paraId="1C3B1C5F" w14:textId="77777777" w:rsidTr="009979AC">
        <w:trPr>
          <w:trHeight w:val="79"/>
        </w:trPr>
        <w:tc>
          <w:tcPr>
            <w:tcW w:w="1701" w:type="dxa"/>
          </w:tcPr>
          <w:p w14:paraId="1DD3E189" w14:textId="77777777" w:rsidR="00F63315" w:rsidRPr="0068439A" w:rsidRDefault="00F63315" w:rsidP="00B04ABC">
            <w:pPr>
              <w:rPr>
                <w:rFonts w:cstheme="minorHAnsi"/>
              </w:rPr>
            </w:pPr>
            <w:r w:rsidRPr="0068439A">
              <w:rPr>
                <w:rFonts w:cstheme="minorHAnsi"/>
              </w:rPr>
              <w:t>ESA</w:t>
            </w:r>
          </w:p>
        </w:tc>
        <w:tc>
          <w:tcPr>
            <w:tcW w:w="7230" w:type="dxa"/>
          </w:tcPr>
          <w:p w14:paraId="647FF732" w14:textId="77777777" w:rsidR="00F63315" w:rsidRPr="0068439A" w:rsidRDefault="00F63315" w:rsidP="00B04ABC">
            <w:pPr>
              <w:rPr>
                <w:rFonts w:cstheme="minorHAnsi"/>
              </w:rPr>
            </w:pPr>
            <w:r w:rsidRPr="0068439A">
              <w:rPr>
                <w:rFonts w:cstheme="minorHAnsi"/>
              </w:rPr>
              <w:t>European Spatial Agency</w:t>
            </w:r>
          </w:p>
        </w:tc>
      </w:tr>
      <w:tr w:rsidR="00F63315" w:rsidRPr="0068439A" w14:paraId="5C438BF7" w14:textId="77777777" w:rsidTr="009979AC">
        <w:trPr>
          <w:trHeight w:val="79"/>
        </w:trPr>
        <w:tc>
          <w:tcPr>
            <w:tcW w:w="1701" w:type="dxa"/>
          </w:tcPr>
          <w:p w14:paraId="22BC2EDF" w14:textId="77777777" w:rsidR="00F63315" w:rsidRPr="0068439A" w:rsidRDefault="00F63315" w:rsidP="00B04ABC">
            <w:pPr>
              <w:rPr>
                <w:rFonts w:cstheme="minorHAnsi"/>
              </w:rPr>
            </w:pPr>
            <w:r w:rsidRPr="0068439A">
              <w:rPr>
                <w:rFonts w:cstheme="minorHAnsi"/>
              </w:rPr>
              <w:t>EU</w:t>
            </w:r>
          </w:p>
        </w:tc>
        <w:tc>
          <w:tcPr>
            <w:tcW w:w="7230" w:type="dxa"/>
          </w:tcPr>
          <w:p w14:paraId="285EE9FE" w14:textId="77777777" w:rsidR="00F63315" w:rsidRPr="0068439A" w:rsidRDefault="00F63315" w:rsidP="00B04ABC">
            <w:pPr>
              <w:rPr>
                <w:rFonts w:cstheme="minorHAnsi"/>
              </w:rPr>
            </w:pPr>
            <w:r w:rsidRPr="0068439A">
              <w:rPr>
                <w:rFonts w:cstheme="minorHAnsi"/>
              </w:rPr>
              <w:t>European Union</w:t>
            </w:r>
          </w:p>
        </w:tc>
      </w:tr>
      <w:tr w:rsidR="00F63315" w:rsidRPr="0068439A" w14:paraId="31AF86A7" w14:textId="77777777" w:rsidTr="009979AC">
        <w:trPr>
          <w:trHeight w:val="79"/>
        </w:trPr>
        <w:tc>
          <w:tcPr>
            <w:tcW w:w="1701" w:type="dxa"/>
          </w:tcPr>
          <w:p w14:paraId="265D62A4" w14:textId="77777777" w:rsidR="00F63315" w:rsidRPr="0068439A" w:rsidRDefault="00F63315" w:rsidP="00B04ABC">
            <w:pPr>
              <w:rPr>
                <w:rFonts w:cstheme="minorHAnsi"/>
              </w:rPr>
            </w:pPr>
            <w:r w:rsidRPr="0068439A">
              <w:rPr>
                <w:rFonts w:cstheme="minorHAnsi"/>
              </w:rPr>
              <w:t>FAPAR</w:t>
            </w:r>
          </w:p>
        </w:tc>
        <w:tc>
          <w:tcPr>
            <w:tcW w:w="7230" w:type="dxa"/>
          </w:tcPr>
          <w:p w14:paraId="679DF43C" w14:textId="77777777" w:rsidR="00F63315" w:rsidRPr="0068439A" w:rsidRDefault="00F63315" w:rsidP="00B04ABC">
            <w:pPr>
              <w:rPr>
                <w:rFonts w:cstheme="minorHAnsi"/>
              </w:rPr>
            </w:pPr>
            <w:r w:rsidRPr="0068439A">
              <w:rPr>
                <w:rFonts w:cstheme="minorHAnsi"/>
              </w:rPr>
              <w:t>Fraction of absorbed photosynthetically active radiation</w:t>
            </w:r>
          </w:p>
        </w:tc>
      </w:tr>
      <w:tr w:rsidR="00F63315" w:rsidRPr="0068439A" w14:paraId="575D0B97" w14:textId="77777777" w:rsidTr="009979AC">
        <w:trPr>
          <w:trHeight w:val="79"/>
        </w:trPr>
        <w:tc>
          <w:tcPr>
            <w:tcW w:w="1701" w:type="dxa"/>
          </w:tcPr>
          <w:p w14:paraId="35CD7AE0" w14:textId="77777777" w:rsidR="00F63315" w:rsidRPr="0068439A" w:rsidRDefault="00F63315" w:rsidP="00B04ABC">
            <w:pPr>
              <w:rPr>
                <w:rFonts w:cstheme="minorHAnsi"/>
              </w:rPr>
            </w:pPr>
            <w:r w:rsidRPr="0068439A">
              <w:rPr>
                <w:rFonts w:cstheme="minorHAnsi"/>
              </w:rPr>
              <w:t>FLUXNET</w:t>
            </w:r>
          </w:p>
        </w:tc>
        <w:tc>
          <w:tcPr>
            <w:tcW w:w="7230" w:type="dxa"/>
          </w:tcPr>
          <w:p w14:paraId="26EFC4C9" w14:textId="77777777" w:rsidR="00F63315" w:rsidRPr="0068439A" w:rsidRDefault="00F63315" w:rsidP="00B04ABC">
            <w:pPr>
              <w:rPr>
                <w:rFonts w:cstheme="minorHAnsi"/>
              </w:rPr>
            </w:pPr>
            <w:r w:rsidRPr="0068439A">
              <w:rPr>
                <w:rFonts w:cstheme="minorHAnsi"/>
              </w:rPr>
              <w:t>Flux measurement network</w:t>
            </w:r>
          </w:p>
        </w:tc>
      </w:tr>
      <w:tr w:rsidR="00F63315" w:rsidRPr="0068439A" w14:paraId="6703E1DE" w14:textId="77777777" w:rsidTr="009979AC">
        <w:trPr>
          <w:trHeight w:val="79"/>
        </w:trPr>
        <w:tc>
          <w:tcPr>
            <w:tcW w:w="1701" w:type="dxa"/>
          </w:tcPr>
          <w:p w14:paraId="27927F04" w14:textId="77777777" w:rsidR="00F63315" w:rsidRPr="0068439A" w:rsidRDefault="00F63315" w:rsidP="00B04ABC">
            <w:pPr>
              <w:rPr>
                <w:rFonts w:cstheme="minorHAnsi"/>
              </w:rPr>
            </w:pPr>
            <w:r w:rsidRPr="0068439A">
              <w:rPr>
                <w:rFonts w:cstheme="minorHAnsi"/>
              </w:rPr>
              <w:t>FPP</w:t>
            </w:r>
          </w:p>
        </w:tc>
        <w:tc>
          <w:tcPr>
            <w:tcW w:w="7230" w:type="dxa"/>
          </w:tcPr>
          <w:p w14:paraId="3A1F8A28" w14:textId="77777777" w:rsidR="00F63315" w:rsidRPr="0068439A" w:rsidRDefault="00F63315" w:rsidP="00B04ABC">
            <w:pPr>
              <w:rPr>
                <w:rFonts w:cstheme="minorHAnsi"/>
              </w:rPr>
            </w:pPr>
            <w:r w:rsidRPr="0068439A">
              <w:rPr>
                <w:rFonts w:cstheme="minorHAnsi"/>
              </w:rPr>
              <w:t>FRM Protocols and Procedures</w:t>
            </w:r>
          </w:p>
        </w:tc>
      </w:tr>
      <w:tr w:rsidR="00F63315" w:rsidRPr="0068439A" w14:paraId="0EADE528" w14:textId="77777777" w:rsidTr="009979AC">
        <w:trPr>
          <w:trHeight w:val="79"/>
        </w:trPr>
        <w:tc>
          <w:tcPr>
            <w:tcW w:w="1701" w:type="dxa"/>
          </w:tcPr>
          <w:p w14:paraId="1AFCEA7A" w14:textId="77777777" w:rsidR="00F63315" w:rsidRPr="0068439A" w:rsidRDefault="00F63315" w:rsidP="00B04ABC">
            <w:pPr>
              <w:rPr>
                <w:rFonts w:cstheme="minorHAnsi"/>
              </w:rPr>
            </w:pPr>
            <w:r w:rsidRPr="0068439A">
              <w:rPr>
                <w:rFonts w:cstheme="minorHAnsi"/>
              </w:rPr>
              <w:t>FRM</w:t>
            </w:r>
          </w:p>
        </w:tc>
        <w:tc>
          <w:tcPr>
            <w:tcW w:w="7230" w:type="dxa"/>
          </w:tcPr>
          <w:p w14:paraId="73BC0237" w14:textId="77777777" w:rsidR="00F63315" w:rsidRPr="0068439A" w:rsidRDefault="00F63315" w:rsidP="00B04ABC">
            <w:pPr>
              <w:rPr>
                <w:rFonts w:cstheme="minorHAnsi"/>
              </w:rPr>
            </w:pPr>
            <w:r w:rsidRPr="0068439A">
              <w:rPr>
                <w:rFonts w:cstheme="minorHAnsi"/>
              </w:rPr>
              <w:t>Fiducial Reference Measurements</w:t>
            </w:r>
          </w:p>
        </w:tc>
      </w:tr>
      <w:tr w:rsidR="00286354" w:rsidRPr="0068439A" w14:paraId="1C20B7D3" w14:textId="77777777" w:rsidTr="009979AC">
        <w:trPr>
          <w:trHeight w:val="79"/>
        </w:trPr>
        <w:tc>
          <w:tcPr>
            <w:tcW w:w="1701" w:type="dxa"/>
          </w:tcPr>
          <w:p w14:paraId="56F15234" w14:textId="5FFC95D6" w:rsidR="00286354" w:rsidRPr="0068439A" w:rsidRDefault="000C57FC" w:rsidP="00B04ABC">
            <w:pPr>
              <w:rPr>
                <w:rFonts w:cstheme="minorHAnsi"/>
              </w:rPr>
            </w:pPr>
            <w:r w:rsidRPr="00EA2760">
              <w:rPr>
                <w:rFonts w:cstheme="minorHAnsi"/>
              </w:rPr>
              <w:t>FRM4</w:t>
            </w:r>
            <w:r>
              <w:rPr>
                <w:rFonts w:cstheme="minorHAnsi"/>
              </w:rPr>
              <w:t>ALT</w:t>
            </w:r>
          </w:p>
        </w:tc>
        <w:tc>
          <w:tcPr>
            <w:tcW w:w="7230" w:type="dxa"/>
          </w:tcPr>
          <w:p w14:paraId="02EB68D0" w14:textId="4CC09E43" w:rsidR="00286354" w:rsidRPr="0068439A" w:rsidRDefault="009979AC" w:rsidP="00B04ABC">
            <w:pPr>
              <w:rPr>
                <w:rFonts w:cstheme="minorHAnsi"/>
              </w:rPr>
            </w:pPr>
            <w:r w:rsidRPr="00EA2760">
              <w:rPr>
                <w:rFonts w:cstheme="minorHAnsi"/>
              </w:rPr>
              <w:t>Fiducial Reference Measurements for Altimetry</w:t>
            </w:r>
          </w:p>
        </w:tc>
      </w:tr>
      <w:tr w:rsidR="00286354" w:rsidRPr="0068439A" w14:paraId="596E7441" w14:textId="77777777" w:rsidTr="009979AC">
        <w:trPr>
          <w:trHeight w:val="79"/>
        </w:trPr>
        <w:tc>
          <w:tcPr>
            <w:tcW w:w="1701" w:type="dxa"/>
          </w:tcPr>
          <w:p w14:paraId="2EAC2429" w14:textId="724C6327" w:rsidR="00286354" w:rsidRPr="0068439A" w:rsidRDefault="000C57FC" w:rsidP="00B04ABC">
            <w:pPr>
              <w:rPr>
                <w:rFonts w:cstheme="minorHAnsi"/>
              </w:rPr>
            </w:pPr>
            <w:r w:rsidRPr="00EA2760">
              <w:rPr>
                <w:rFonts w:cstheme="minorHAnsi"/>
              </w:rPr>
              <w:t>FRM-BOUSSOLE</w:t>
            </w:r>
          </w:p>
        </w:tc>
        <w:tc>
          <w:tcPr>
            <w:tcW w:w="7230" w:type="dxa"/>
          </w:tcPr>
          <w:p w14:paraId="1CF40B9E" w14:textId="46ABD264" w:rsidR="00286354" w:rsidRPr="0068439A" w:rsidRDefault="009979AC" w:rsidP="00B04ABC">
            <w:pPr>
              <w:rPr>
                <w:rFonts w:cstheme="minorHAnsi"/>
              </w:rPr>
            </w:pPr>
            <w:r w:rsidRPr="00EA2760">
              <w:rPr>
                <w:rFonts w:cstheme="minorHAnsi"/>
              </w:rPr>
              <w:t>Buoy for the acquisition of long-term optical time series</w:t>
            </w:r>
          </w:p>
        </w:tc>
      </w:tr>
      <w:tr w:rsidR="00286354" w:rsidRPr="0068439A" w14:paraId="7BF12A5C" w14:textId="77777777" w:rsidTr="009979AC">
        <w:trPr>
          <w:trHeight w:val="79"/>
        </w:trPr>
        <w:tc>
          <w:tcPr>
            <w:tcW w:w="1701" w:type="dxa"/>
          </w:tcPr>
          <w:p w14:paraId="642E9DF2" w14:textId="0B13D615" w:rsidR="00286354" w:rsidRPr="0068439A" w:rsidRDefault="000C57FC" w:rsidP="00B04ABC">
            <w:pPr>
              <w:rPr>
                <w:rFonts w:cstheme="minorHAnsi"/>
              </w:rPr>
            </w:pPr>
            <w:r w:rsidRPr="00EA2760">
              <w:rPr>
                <w:rFonts w:cstheme="minorHAnsi"/>
              </w:rPr>
              <w:t>FRM4DOAS</w:t>
            </w:r>
          </w:p>
        </w:tc>
        <w:tc>
          <w:tcPr>
            <w:tcW w:w="7230" w:type="dxa"/>
          </w:tcPr>
          <w:p w14:paraId="6B6E2793" w14:textId="0826897F" w:rsidR="00286354" w:rsidRPr="0068439A" w:rsidRDefault="009979AC" w:rsidP="00B04ABC">
            <w:pPr>
              <w:rPr>
                <w:rFonts w:cstheme="minorHAnsi"/>
              </w:rPr>
            </w:pPr>
            <w:r w:rsidRPr="00EA2760">
              <w:rPr>
                <w:rFonts w:cstheme="minorHAnsi"/>
              </w:rPr>
              <w:t>Fiducial Reference Measurements for Ground-Based DOAS Air-Quality Observations</w:t>
            </w:r>
          </w:p>
        </w:tc>
      </w:tr>
      <w:tr w:rsidR="00286354" w:rsidRPr="0068439A" w14:paraId="42DAB076" w14:textId="77777777" w:rsidTr="009979AC">
        <w:trPr>
          <w:trHeight w:val="79"/>
        </w:trPr>
        <w:tc>
          <w:tcPr>
            <w:tcW w:w="1701" w:type="dxa"/>
          </w:tcPr>
          <w:p w14:paraId="11AA57F0" w14:textId="7ED1C63C" w:rsidR="00286354" w:rsidRPr="0068439A" w:rsidRDefault="00F54DAC" w:rsidP="00B04ABC">
            <w:pPr>
              <w:rPr>
                <w:rFonts w:cstheme="minorHAnsi"/>
              </w:rPr>
            </w:pPr>
            <w:r w:rsidRPr="00EA2760">
              <w:rPr>
                <w:rFonts w:cstheme="minorHAnsi"/>
              </w:rPr>
              <w:t>FRM4GHG</w:t>
            </w:r>
          </w:p>
        </w:tc>
        <w:tc>
          <w:tcPr>
            <w:tcW w:w="7230" w:type="dxa"/>
          </w:tcPr>
          <w:p w14:paraId="4EFC5F23" w14:textId="3AC09C16" w:rsidR="00286354" w:rsidRPr="0068439A" w:rsidRDefault="009979AC" w:rsidP="00B04ABC">
            <w:pPr>
              <w:rPr>
                <w:rFonts w:cstheme="minorHAnsi"/>
              </w:rPr>
            </w:pPr>
            <w:r w:rsidRPr="00EA2760">
              <w:rPr>
                <w:rFonts w:cstheme="minorHAnsi"/>
              </w:rPr>
              <w:t>Fiducial Reference Measurements for Ground-Based FTIR Greenhouse Gas Observations</w:t>
            </w:r>
          </w:p>
        </w:tc>
      </w:tr>
      <w:tr w:rsidR="00286354" w:rsidRPr="0068439A" w14:paraId="65999704" w14:textId="77777777" w:rsidTr="009979AC">
        <w:trPr>
          <w:trHeight w:val="79"/>
        </w:trPr>
        <w:tc>
          <w:tcPr>
            <w:tcW w:w="1701" w:type="dxa"/>
          </w:tcPr>
          <w:p w14:paraId="4FE95654" w14:textId="465AE504" w:rsidR="00286354" w:rsidRPr="0068439A" w:rsidRDefault="00F54DAC" w:rsidP="00B04ABC">
            <w:pPr>
              <w:rPr>
                <w:rFonts w:cstheme="minorHAnsi"/>
              </w:rPr>
            </w:pPr>
            <w:r w:rsidRPr="00EA2760">
              <w:rPr>
                <w:rFonts w:cstheme="minorHAnsi"/>
              </w:rPr>
              <w:t>FRM4STS</w:t>
            </w:r>
          </w:p>
        </w:tc>
        <w:tc>
          <w:tcPr>
            <w:tcW w:w="7230" w:type="dxa"/>
          </w:tcPr>
          <w:p w14:paraId="45A1A73D" w14:textId="7B8BC6F5" w:rsidR="00286354" w:rsidRPr="0068439A" w:rsidRDefault="009979AC" w:rsidP="00B04ABC">
            <w:pPr>
              <w:rPr>
                <w:rFonts w:cstheme="minorHAnsi"/>
              </w:rPr>
            </w:pPr>
            <w:r w:rsidRPr="00EA2760">
              <w:rPr>
                <w:rFonts w:cstheme="minorHAnsi"/>
              </w:rPr>
              <w:t>Fiducial Reference Measurements for Validation of Surface Temperatures from Satellites</w:t>
            </w:r>
          </w:p>
        </w:tc>
      </w:tr>
      <w:tr w:rsidR="00286354" w:rsidRPr="0068439A" w14:paraId="60D3C131" w14:textId="77777777" w:rsidTr="009979AC">
        <w:trPr>
          <w:trHeight w:val="79"/>
        </w:trPr>
        <w:tc>
          <w:tcPr>
            <w:tcW w:w="1701" w:type="dxa"/>
          </w:tcPr>
          <w:p w14:paraId="2705AE6B" w14:textId="38105610" w:rsidR="00286354" w:rsidRPr="0068439A" w:rsidRDefault="000C57FC" w:rsidP="00B04ABC">
            <w:pPr>
              <w:rPr>
                <w:rFonts w:cstheme="minorHAnsi"/>
              </w:rPr>
            </w:pPr>
            <w:r w:rsidRPr="00EA2760">
              <w:rPr>
                <w:rFonts w:cstheme="minorHAnsi"/>
              </w:rPr>
              <w:t>FRM4SOC</w:t>
            </w:r>
          </w:p>
        </w:tc>
        <w:tc>
          <w:tcPr>
            <w:tcW w:w="7230" w:type="dxa"/>
          </w:tcPr>
          <w:p w14:paraId="2000FC17" w14:textId="6C9923CB" w:rsidR="00286354" w:rsidRPr="0068439A" w:rsidRDefault="009979AC" w:rsidP="00B04ABC">
            <w:pPr>
              <w:rPr>
                <w:rFonts w:cstheme="minorHAnsi"/>
              </w:rPr>
            </w:pPr>
            <w:r w:rsidRPr="00EA2760">
              <w:rPr>
                <w:rFonts w:cstheme="minorHAnsi"/>
              </w:rPr>
              <w:t>Fiducial Reference Measurements for Satellite Ocean Colour</w:t>
            </w:r>
          </w:p>
        </w:tc>
      </w:tr>
      <w:tr w:rsidR="00F63315" w:rsidRPr="0068439A" w14:paraId="74C3A2E7" w14:textId="77777777" w:rsidTr="009979AC">
        <w:trPr>
          <w:trHeight w:val="79"/>
        </w:trPr>
        <w:tc>
          <w:tcPr>
            <w:tcW w:w="1701" w:type="dxa"/>
          </w:tcPr>
          <w:p w14:paraId="403CD5AC" w14:textId="77777777" w:rsidR="00F63315" w:rsidRPr="0068439A" w:rsidRDefault="00F63315" w:rsidP="00B04ABC">
            <w:pPr>
              <w:rPr>
                <w:rFonts w:cstheme="minorHAnsi"/>
              </w:rPr>
            </w:pPr>
            <w:r w:rsidRPr="0068439A">
              <w:rPr>
                <w:rFonts w:cstheme="minorHAnsi"/>
              </w:rPr>
              <w:t>FRM4VEG</w:t>
            </w:r>
          </w:p>
        </w:tc>
        <w:tc>
          <w:tcPr>
            <w:tcW w:w="7230" w:type="dxa"/>
          </w:tcPr>
          <w:p w14:paraId="78DDEC6A" w14:textId="77777777" w:rsidR="00F63315" w:rsidRPr="0068439A" w:rsidRDefault="00F63315" w:rsidP="00B04ABC">
            <w:pPr>
              <w:rPr>
                <w:rFonts w:cstheme="minorHAnsi"/>
              </w:rPr>
            </w:pPr>
            <w:r w:rsidRPr="0068439A">
              <w:rPr>
                <w:rFonts w:cstheme="minorHAnsi"/>
              </w:rPr>
              <w:t>Fiducial Reference Measurements for Vegetation</w:t>
            </w:r>
          </w:p>
        </w:tc>
      </w:tr>
      <w:tr w:rsidR="00F63315" w:rsidRPr="0068439A" w14:paraId="70FA5A45" w14:textId="77777777" w:rsidTr="009979AC">
        <w:trPr>
          <w:trHeight w:val="79"/>
        </w:trPr>
        <w:tc>
          <w:tcPr>
            <w:tcW w:w="1701" w:type="dxa"/>
          </w:tcPr>
          <w:p w14:paraId="104D76A0" w14:textId="77777777" w:rsidR="00F63315" w:rsidRPr="0068439A" w:rsidRDefault="00F63315" w:rsidP="00B04ABC">
            <w:pPr>
              <w:rPr>
                <w:rFonts w:cstheme="minorHAnsi"/>
              </w:rPr>
            </w:pPr>
            <w:r>
              <w:rPr>
                <w:rFonts w:cstheme="minorHAnsi"/>
              </w:rPr>
              <w:t>FTIR</w:t>
            </w:r>
          </w:p>
        </w:tc>
        <w:tc>
          <w:tcPr>
            <w:tcW w:w="7230" w:type="dxa"/>
          </w:tcPr>
          <w:p w14:paraId="06CC9199" w14:textId="104E8976" w:rsidR="00F63315" w:rsidRPr="0068439A" w:rsidRDefault="00E63B8D" w:rsidP="00B04ABC">
            <w:pPr>
              <w:rPr>
                <w:rFonts w:cstheme="minorHAnsi"/>
              </w:rPr>
            </w:pPr>
            <w:r>
              <w:rPr>
                <w:rFonts w:cstheme="minorHAnsi"/>
              </w:rPr>
              <w:t xml:space="preserve">Fourier Transform Infrared </w:t>
            </w:r>
            <w:r w:rsidR="00AA7963">
              <w:rPr>
                <w:rFonts w:cstheme="minorHAnsi"/>
              </w:rPr>
              <w:t>Spectroscopy</w:t>
            </w:r>
          </w:p>
        </w:tc>
      </w:tr>
      <w:tr w:rsidR="00F63315" w:rsidRPr="0068439A" w14:paraId="3C036AD1" w14:textId="77777777" w:rsidTr="009979AC">
        <w:trPr>
          <w:trHeight w:val="79"/>
        </w:trPr>
        <w:tc>
          <w:tcPr>
            <w:tcW w:w="1701" w:type="dxa"/>
          </w:tcPr>
          <w:p w14:paraId="4F65F20A" w14:textId="77777777" w:rsidR="00F63315" w:rsidRPr="0068439A" w:rsidRDefault="00F63315" w:rsidP="00B04ABC">
            <w:pPr>
              <w:rPr>
                <w:rFonts w:cstheme="minorHAnsi"/>
              </w:rPr>
            </w:pPr>
            <w:r>
              <w:rPr>
                <w:rFonts w:cstheme="minorHAnsi"/>
              </w:rPr>
              <w:t>GCOS</w:t>
            </w:r>
          </w:p>
        </w:tc>
        <w:tc>
          <w:tcPr>
            <w:tcW w:w="7230" w:type="dxa"/>
          </w:tcPr>
          <w:p w14:paraId="150355E8" w14:textId="77777777" w:rsidR="00F63315" w:rsidRPr="0068439A" w:rsidRDefault="00F63315" w:rsidP="00B04ABC">
            <w:pPr>
              <w:rPr>
                <w:rFonts w:cstheme="minorHAnsi"/>
              </w:rPr>
            </w:pPr>
            <w:r>
              <w:rPr>
                <w:rFonts w:cstheme="minorHAnsi"/>
              </w:rPr>
              <w:t>Global Climate Observing System</w:t>
            </w:r>
          </w:p>
        </w:tc>
      </w:tr>
      <w:tr w:rsidR="00F63315" w:rsidRPr="0068439A" w14:paraId="7A530841" w14:textId="77777777" w:rsidTr="009979AC">
        <w:trPr>
          <w:trHeight w:val="79"/>
        </w:trPr>
        <w:tc>
          <w:tcPr>
            <w:tcW w:w="1701" w:type="dxa"/>
          </w:tcPr>
          <w:p w14:paraId="6A259CFB" w14:textId="77777777" w:rsidR="00F63315" w:rsidRPr="0068439A" w:rsidRDefault="00F63315" w:rsidP="00B04ABC">
            <w:pPr>
              <w:rPr>
                <w:rFonts w:cstheme="minorHAnsi"/>
              </w:rPr>
            </w:pPr>
            <w:r>
              <w:rPr>
                <w:rFonts w:cstheme="minorHAnsi"/>
              </w:rPr>
              <w:t>GUM</w:t>
            </w:r>
          </w:p>
        </w:tc>
        <w:tc>
          <w:tcPr>
            <w:tcW w:w="7230" w:type="dxa"/>
          </w:tcPr>
          <w:p w14:paraId="400426D8" w14:textId="77777777" w:rsidR="00F63315" w:rsidRPr="0068439A" w:rsidRDefault="00F63315" w:rsidP="00B04ABC">
            <w:r>
              <w:t>Guide to the Expression of Uncertainty in Measurement</w:t>
            </w:r>
          </w:p>
        </w:tc>
      </w:tr>
      <w:tr w:rsidR="00F63315" w:rsidRPr="0068439A" w14:paraId="5397386A" w14:textId="77777777" w:rsidTr="009979AC">
        <w:trPr>
          <w:trHeight w:val="79"/>
        </w:trPr>
        <w:tc>
          <w:tcPr>
            <w:tcW w:w="1701" w:type="dxa"/>
          </w:tcPr>
          <w:p w14:paraId="5E709302" w14:textId="77777777" w:rsidR="00F63315" w:rsidRDefault="00F63315" w:rsidP="00B04ABC">
            <w:pPr>
              <w:rPr>
                <w:rFonts w:cstheme="minorHAnsi"/>
              </w:rPr>
            </w:pPr>
            <w:r>
              <w:rPr>
                <w:rFonts w:cstheme="minorHAnsi"/>
              </w:rPr>
              <w:t>ICOS</w:t>
            </w:r>
          </w:p>
        </w:tc>
        <w:tc>
          <w:tcPr>
            <w:tcW w:w="7230" w:type="dxa"/>
          </w:tcPr>
          <w:p w14:paraId="1FC49510" w14:textId="77777777" w:rsidR="00F63315" w:rsidRDefault="00F63315" w:rsidP="00B04ABC">
            <w:pPr>
              <w:rPr>
                <w:rFonts w:cstheme="minorHAnsi"/>
              </w:rPr>
            </w:pPr>
            <w:r>
              <w:rPr>
                <w:rFonts w:cstheme="minorHAnsi"/>
              </w:rPr>
              <w:t>Integrated Carbon Observing System</w:t>
            </w:r>
          </w:p>
        </w:tc>
      </w:tr>
      <w:tr w:rsidR="00F63315" w:rsidRPr="0068439A" w14:paraId="4E3559FA" w14:textId="77777777" w:rsidTr="009979AC">
        <w:trPr>
          <w:trHeight w:val="79"/>
        </w:trPr>
        <w:tc>
          <w:tcPr>
            <w:tcW w:w="1701" w:type="dxa"/>
          </w:tcPr>
          <w:p w14:paraId="6B5C1DC9" w14:textId="77777777" w:rsidR="00F63315" w:rsidRPr="0068439A" w:rsidRDefault="00F63315" w:rsidP="00B04ABC">
            <w:pPr>
              <w:rPr>
                <w:rFonts w:cstheme="minorHAnsi"/>
              </w:rPr>
            </w:pPr>
            <w:r>
              <w:rPr>
                <w:rFonts w:cstheme="minorHAnsi"/>
              </w:rPr>
              <w:t>ISO</w:t>
            </w:r>
          </w:p>
        </w:tc>
        <w:tc>
          <w:tcPr>
            <w:tcW w:w="7230" w:type="dxa"/>
          </w:tcPr>
          <w:p w14:paraId="47EF9BB5" w14:textId="77777777" w:rsidR="00F63315" w:rsidRPr="0068439A" w:rsidRDefault="00F63315" w:rsidP="00B04ABC">
            <w:pPr>
              <w:rPr>
                <w:rFonts w:cstheme="minorHAnsi"/>
              </w:rPr>
            </w:pPr>
            <w:r>
              <w:rPr>
                <w:rFonts w:cstheme="minorHAnsi"/>
              </w:rPr>
              <w:t>International Organisation for Standardisation</w:t>
            </w:r>
          </w:p>
        </w:tc>
      </w:tr>
      <w:tr w:rsidR="00F63315" w:rsidRPr="0068439A" w14:paraId="705F15AF" w14:textId="77777777" w:rsidTr="009979AC">
        <w:trPr>
          <w:trHeight w:val="79"/>
        </w:trPr>
        <w:tc>
          <w:tcPr>
            <w:tcW w:w="1701" w:type="dxa"/>
          </w:tcPr>
          <w:p w14:paraId="6FC9A2E2" w14:textId="77777777" w:rsidR="00F63315" w:rsidRPr="0068439A" w:rsidRDefault="00F63315" w:rsidP="00B04ABC">
            <w:pPr>
              <w:rPr>
                <w:rFonts w:cstheme="minorHAnsi"/>
              </w:rPr>
            </w:pPr>
            <w:r w:rsidRPr="0068439A">
              <w:rPr>
                <w:rFonts w:cstheme="minorHAnsi"/>
              </w:rPr>
              <w:t>JCGM</w:t>
            </w:r>
          </w:p>
        </w:tc>
        <w:tc>
          <w:tcPr>
            <w:tcW w:w="7230" w:type="dxa"/>
          </w:tcPr>
          <w:p w14:paraId="257ABADA" w14:textId="77777777" w:rsidR="00F63315" w:rsidRPr="0068439A" w:rsidRDefault="00F63315" w:rsidP="00B04ABC">
            <w:pPr>
              <w:rPr>
                <w:rFonts w:cstheme="minorHAnsi"/>
              </w:rPr>
            </w:pPr>
            <w:r w:rsidRPr="0068439A">
              <w:rPr>
                <w:rFonts w:cstheme="minorHAnsi"/>
              </w:rPr>
              <w:t>Joint Committee for Guides in Metrology</w:t>
            </w:r>
          </w:p>
        </w:tc>
      </w:tr>
      <w:tr w:rsidR="00F63315" w:rsidRPr="0068439A" w14:paraId="7F15131F" w14:textId="77777777" w:rsidTr="009979AC">
        <w:trPr>
          <w:trHeight w:val="79"/>
        </w:trPr>
        <w:tc>
          <w:tcPr>
            <w:tcW w:w="1701" w:type="dxa"/>
          </w:tcPr>
          <w:p w14:paraId="0ACFC846" w14:textId="77777777" w:rsidR="00F63315" w:rsidRPr="0068439A" w:rsidRDefault="00F63315" w:rsidP="00B04ABC">
            <w:pPr>
              <w:rPr>
                <w:rFonts w:cstheme="minorHAnsi"/>
              </w:rPr>
            </w:pPr>
            <w:r>
              <w:rPr>
                <w:rFonts w:cstheme="minorHAnsi"/>
              </w:rPr>
              <w:t>LAI</w:t>
            </w:r>
          </w:p>
        </w:tc>
        <w:tc>
          <w:tcPr>
            <w:tcW w:w="7230" w:type="dxa"/>
          </w:tcPr>
          <w:p w14:paraId="6042D5E8" w14:textId="77777777" w:rsidR="00F63315" w:rsidRPr="0068439A" w:rsidRDefault="00F63315" w:rsidP="00B04ABC">
            <w:pPr>
              <w:rPr>
                <w:rFonts w:cstheme="minorHAnsi"/>
              </w:rPr>
            </w:pPr>
            <w:r>
              <w:rPr>
                <w:rFonts w:cstheme="minorHAnsi"/>
              </w:rPr>
              <w:t>Leaf Area Index</w:t>
            </w:r>
          </w:p>
        </w:tc>
      </w:tr>
      <w:tr w:rsidR="00F63315" w:rsidRPr="0068439A" w14:paraId="640DF537" w14:textId="77777777" w:rsidTr="009979AC">
        <w:trPr>
          <w:trHeight w:val="79"/>
        </w:trPr>
        <w:tc>
          <w:tcPr>
            <w:tcW w:w="1701" w:type="dxa"/>
          </w:tcPr>
          <w:p w14:paraId="668B9767" w14:textId="77777777" w:rsidR="00F63315" w:rsidRPr="0068439A" w:rsidRDefault="00F63315" w:rsidP="00B04ABC">
            <w:pPr>
              <w:rPr>
                <w:rFonts w:cstheme="minorHAnsi"/>
              </w:rPr>
            </w:pPr>
            <w:r w:rsidRPr="0068439A">
              <w:rPr>
                <w:rFonts w:cstheme="minorHAnsi"/>
              </w:rPr>
              <w:t>LCC</w:t>
            </w:r>
          </w:p>
        </w:tc>
        <w:tc>
          <w:tcPr>
            <w:tcW w:w="7230" w:type="dxa"/>
          </w:tcPr>
          <w:p w14:paraId="143C3019" w14:textId="77777777" w:rsidR="00F63315" w:rsidRPr="0068439A" w:rsidRDefault="00F63315" w:rsidP="00B04ABC">
            <w:pPr>
              <w:rPr>
                <w:rFonts w:cstheme="minorHAnsi"/>
              </w:rPr>
            </w:pPr>
            <w:r w:rsidRPr="0068439A">
              <w:rPr>
                <w:rFonts w:cstheme="minorHAnsi"/>
              </w:rPr>
              <w:t>Leaf chlorophyll concentration</w:t>
            </w:r>
          </w:p>
        </w:tc>
      </w:tr>
      <w:tr w:rsidR="00F63315" w:rsidRPr="0068439A" w14:paraId="488962E2" w14:textId="77777777" w:rsidTr="009979AC">
        <w:trPr>
          <w:trHeight w:val="79"/>
        </w:trPr>
        <w:tc>
          <w:tcPr>
            <w:tcW w:w="1701" w:type="dxa"/>
          </w:tcPr>
          <w:p w14:paraId="0685196C" w14:textId="77777777" w:rsidR="00F63315" w:rsidRPr="0068439A" w:rsidRDefault="00F63315" w:rsidP="00B04ABC">
            <w:pPr>
              <w:rPr>
                <w:rFonts w:cstheme="minorHAnsi"/>
              </w:rPr>
            </w:pPr>
            <w:r w:rsidRPr="0068439A">
              <w:rPr>
                <w:rFonts w:cstheme="minorHAnsi"/>
              </w:rPr>
              <w:t>LPV</w:t>
            </w:r>
          </w:p>
        </w:tc>
        <w:tc>
          <w:tcPr>
            <w:tcW w:w="7230" w:type="dxa"/>
          </w:tcPr>
          <w:p w14:paraId="3B2D00ED" w14:textId="77777777" w:rsidR="00F63315" w:rsidRPr="0068439A" w:rsidRDefault="00F63315" w:rsidP="00B04ABC">
            <w:pPr>
              <w:rPr>
                <w:rFonts w:cstheme="minorHAnsi"/>
              </w:rPr>
            </w:pPr>
            <w:r w:rsidRPr="0068439A">
              <w:rPr>
                <w:rFonts w:cstheme="minorHAnsi"/>
              </w:rPr>
              <w:t>Land Product Validation</w:t>
            </w:r>
          </w:p>
        </w:tc>
      </w:tr>
      <w:tr w:rsidR="005B2527" w:rsidRPr="0068439A" w14:paraId="4CEE8CC7" w14:textId="77777777" w:rsidTr="009979AC">
        <w:trPr>
          <w:trHeight w:val="79"/>
        </w:trPr>
        <w:tc>
          <w:tcPr>
            <w:tcW w:w="1701" w:type="dxa"/>
          </w:tcPr>
          <w:p w14:paraId="2F52BC6E" w14:textId="18761DE4" w:rsidR="005B2527" w:rsidRPr="0068439A" w:rsidRDefault="005B2527" w:rsidP="00B04ABC">
            <w:pPr>
              <w:rPr>
                <w:rFonts w:cstheme="minorHAnsi"/>
              </w:rPr>
            </w:pPr>
            <w:r>
              <w:rPr>
                <w:rFonts w:cstheme="minorHAnsi"/>
              </w:rPr>
              <w:lastRenderedPageBreak/>
              <w:t>LUT</w:t>
            </w:r>
          </w:p>
        </w:tc>
        <w:tc>
          <w:tcPr>
            <w:tcW w:w="7230" w:type="dxa"/>
          </w:tcPr>
          <w:p w14:paraId="14138C00" w14:textId="54F8C490" w:rsidR="005B2527" w:rsidRPr="0068439A" w:rsidRDefault="005B2527" w:rsidP="00B04ABC">
            <w:pPr>
              <w:rPr>
                <w:rFonts w:cstheme="minorHAnsi"/>
              </w:rPr>
            </w:pPr>
            <w:r>
              <w:rPr>
                <w:rFonts w:cstheme="minorHAnsi"/>
              </w:rPr>
              <w:t>L</w:t>
            </w:r>
            <w:r w:rsidRPr="003E51B2">
              <w:rPr>
                <w:rFonts w:cstheme="minorHAnsi"/>
              </w:rPr>
              <w:t>ook-</w:t>
            </w:r>
            <w:r>
              <w:rPr>
                <w:rFonts w:cstheme="minorHAnsi"/>
              </w:rPr>
              <w:t>U</w:t>
            </w:r>
            <w:r w:rsidRPr="003E51B2">
              <w:rPr>
                <w:rFonts w:cstheme="minorHAnsi"/>
              </w:rPr>
              <w:t xml:space="preserve">p </w:t>
            </w:r>
            <w:r>
              <w:rPr>
                <w:rFonts w:cstheme="minorHAnsi"/>
              </w:rPr>
              <w:t>T</w:t>
            </w:r>
            <w:r w:rsidRPr="003E51B2">
              <w:rPr>
                <w:rFonts w:cstheme="minorHAnsi"/>
              </w:rPr>
              <w:t>able</w:t>
            </w:r>
          </w:p>
        </w:tc>
      </w:tr>
      <w:tr w:rsidR="00F63315" w:rsidRPr="0068439A" w14:paraId="18BC3EAC" w14:textId="77777777" w:rsidTr="009979AC">
        <w:trPr>
          <w:trHeight w:val="79"/>
        </w:trPr>
        <w:tc>
          <w:tcPr>
            <w:tcW w:w="1701" w:type="dxa"/>
          </w:tcPr>
          <w:p w14:paraId="59A34953" w14:textId="77777777" w:rsidR="00F63315" w:rsidRPr="0068439A" w:rsidRDefault="00F63315" w:rsidP="00B04ABC">
            <w:pPr>
              <w:rPr>
                <w:rFonts w:cstheme="minorHAnsi"/>
              </w:rPr>
            </w:pPr>
            <w:r>
              <w:rPr>
                <w:rFonts w:cstheme="minorHAnsi"/>
              </w:rPr>
              <w:t>MAG</w:t>
            </w:r>
          </w:p>
        </w:tc>
        <w:tc>
          <w:tcPr>
            <w:tcW w:w="7230" w:type="dxa"/>
          </w:tcPr>
          <w:p w14:paraId="6840CB18" w14:textId="77777777" w:rsidR="00F63315" w:rsidRPr="0068439A" w:rsidRDefault="00F63315" w:rsidP="00B04ABC">
            <w:pPr>
              <w:rPr>
                <w:rFonts w:cstheme="minorHAnsi"/>
              </w:rPr>
            </w:pPr>
            <w:r>
              <w:rPr>
                <w:rFonts w:cstheme="minorHAnsi"/>
              </w:rPr>
              <w:t>Mission Advisory Group</w:t>
            </w:r>
          </w:p>
        </w:tc>
      </w:tr>
      <w:tr w:rsidR="00F63315" w:rsidRPr="0068439A" w14:paraId="2699BEE1" w14:textId="77777777" w:rsidTr="009979AC">
        <w:trPr>
          <w:trHeight w:val="79"/>
        </w:trPr>
        <w:tc>
          <w:tcPr>
            <w:tcW w:w="1701" w:type="dxa"/>
          </w:tcPr>
          <w:p w14:paraId="08BD15FE" w14:textId="77777777" w:rsidR="00F63315" w:rsidRDefault="00F63315" w:rsidP="00B04ABC">
            <w:pPr>
              <w:rPr>
                <w:rFonts w:cstheme="minorHAnsi"/>
              </w:rPr>
            </w:pPr>
            <w:r>
              <w:rPr>
                <w:rFonts w:cstheme="minorHAnsi"/>
              </w:rPr>
              <w:t>NEON</w:t>
            </w:r>
          </w:p>
        </w:tc>
        <w:tc>
          <w:tcPr>
            <w:tcW w:w="7230" w:type="dxa"/>
          </w:tcPr>
          <w:p w14:paraId="59016C04" w14:textId="77777777" w:rsidR="00F63315" w:rsidRPr="0068439A" w:rsidRDefault="00F63315" w:rsidP="00B04ABC">
            <w:pPr>
              <w:rPr>
                <w:rFonts w:cstheme="minorHAnsi"/>
              </w:rPr>
            </w:pPr>
            <w:r>
              <w:rPr>
                <w:rFonts w:cstheme="minorHAnsi"/>
              </w:rPr>
              <w:t>National Ecological Observatory Network</w:t>
            </w:r>
          </w:p>
        </w:tc>
      </w:tr>
      <w:tr w:rsidR="00F63315" w:rsidRPr="0068439A" w14:paraId="54F26A50" w14:textId="77777777" w:rsidTr="009979AC">
        <w:trPr>
          <w:trHeight w:val="79"/>
        </w:trPr>
        <w:tc>
          <w:tcPr>
            <w:tcW w:w="1701" w:type="dxa"/>
          </w:tcPr>
          <w:p w14:paraId="733C8704" w14:textId="77777777" w:rsidR="00F63315" w:rsidRPr="0068439A" w:rsidRDefault="00F63315" w:rsidP="00B04ABC">
            <w:pPr>
              <w:rPr>
                <w:rFonts w:cstheme="minorHAnsi"/>
              </w:rPr>
            </w:pPr>
            <w:r w:rsidRPr="0068439A">
              <w:rPr>
                <w:rFonts w:cstheme="minorHAnsi"/>
              </w:rPr>
              <w:t>NPL</w:t>
            </w:r>
          </w:p>
        </w:tc>
        <w:tc>
          <w:tcPr>
            <w:tcW w:w="7230" w:type="dxa"/>
          </w:tcPr>
          <w:p w14:paraId="74149704" w14:textId="77777777" w:rsidR="00F63315" w:rsidRPr="0068439A" w:rsidRDefault="00F63315" w:rsidP="00B04ABC">
            <w:pPr>
              <w:rPr>
                <w:rFonts w:cstheme="minorHAnsi"/>
              </w:rPr>
            </w:pPr>
            <w:r w:rsidRPr="0068439A">
              <w:rPr>
                <w:rFonts w:cstheme="minorHAnsi"/>
              </w:rPr>
              <w:t>National Physical Laboratory</w:t>
            </w:r>
          </w:p>
        </w:tc>
      </w:tr>
      <w:tr w:rsidR="00F63315" w:rsidRPr="0068439A" w14:paraId="17A7F0CB" w14:textId="77777777" w:rsidTr="009979AC">
        <w:trPr>
          <w:trHeight w:val="79"/>
        </w:trPr>
        <w:tc>
          <w:tcPr>
            <w:tcW w:w="1701" w:type="dxa"/>
          </w:tcPr>
          <w:p w14:paraId="72E5749F" w14:textId="77777777" w:rsidR="00F63315" w:rsidRPr="0068439A" w:rsidRDefault="00F63315" w:rsidP="00B04ABC">
            <w:pPr>
              <w:rPr>
                <w:rFonts w:cstheme="minorHAnsi"/>
              </w:rPr>
            </w:pPr>
            <w:r>
              <w:rPr>
                <w:rFonts w:cstheme="minorHAnsi"/>
              </w:rPr>
              <w:t>RadCalNet</w:t>
            </w:r>
          </w:p>
        </w:tc>
        <w:tc>
          <w:tcPr>
            <w:tcW w:w="7230" w:type="dxa"/>
          </w:tcPr>
          <w:p w14:paraId="67B7F7BD" w14:textId="3EC66B91" w:rsidR="00F63315" w:rsidRPr="0068439A" w:rsidRDefault="008663FB" w:rsidP="00B04ABC">
            <w:pPr>
              <w:rPr>
                <w:rFonts w:cstheme="minorHAnsi"/>
              </w:rPr>
            </w:pPr>
            <w:r>
              <w:rPr>
                <w:rFonts w:cstheme="minorHAnsi"/>
              </w:rPr>
              <w:t>Radiometric Calibration Network</w:t>
            </w:r>
          </w:p>
        </w:tc>
      </w:tr>
      <w:tr w:rsidR="00B970A5" w:rsidRPr="0068439A" w14:paraId="688972D5" w14:textId="77777777" w:rsidTr="009979AC">
        <w:trPr>
          <w:trHeight w:val="79"/>
        </w:trPr>
        <w:tc>
          <w:tcPr>
            <w:tcW w:w="1701" w:type="dxa"/>
          </w:tcPr>
          <w:p w14:paraId="73C3BFFB" w14:textId="5F996B11" w:rsidR="00B970A5" w:rsidRDefault="00B970A5" w:rsidP="00B04ABC">
            <w:pPr>
              <w:rPr>
                <w:rFonts w:cstheme="minorHAnsi"/>
              </w:rPr>
            </w:pPr>
            <w:r>
              <w:rPr>
                <w:rFonts w:cstheme="minorHAnsi"/>
              </w:rPr>
              <w:t>R</w:t>
            </w:r>
            <w:r>
              <w:t>OI</w:t>
            </w:r>
          </w:p>
        </w:tc>
        <w:tc>
          <w:tcPr>
            <w:tcW w:w="7230" w:type="dxa"/>
          </w:tcPr>
          <w:p w14:paraId="37A8F9F1" w14:textId="037E2913" w:rsidR="00B970A5" w:rsidRPr="0068439A" w:rsidRDefault="00B970A5" w:rsidP="00B04ABC">
            <w:pPr>
              <w:rPr>
                <w:rFonts w:cstheme="minorHAnsi"/>
              </w:rPr>
            </w:pPr>
            <w:r>
              <w:rPr>
                <w:rFonts w:cstheme="minorHAnsi"/>
              </w:rPr>
              <w:t>R</w:t>
            </w:r>
            <w:r>
              <w:t>eturn on Investment</w:t>
            </w:r>
          </w:p>
        </w:tc>
      </w:tr>
      <w:tr w:rsidR="00F63315" w:rsidRPr="0068439A" w14:paraId="60C79A3E" w14:textId="77777777" w:rsidTr="009979AC">
        <w:trPr>
          <w:trHeight w:val="79"/>
        </w:trPr>
        <w:tc>
          <w:tcPr>
            <w:tcW w:w="1701" w:type="dxa"/>
          </w:tcPr>
          <w:p w14:paraId="20CD5B23" w14:textId="77777777" w:rsidR="00F63315" w:rsidRPr="0068439A" w:rsidRDefault="00F63315" w:rsidP="00B04ABC">
            <w:pPr>
              <w:rPr>
                <w:rFonts w:cstheme="minorHAnsi"/>
              </w:rPr>
            </w:pPr>
            <w:r w:rsidRPr="0068439A">
              <w:rPr>
                <w:rFonts w:cstheme="minorHAnsi"/>
              </w:rPr>
              <w:t>SI</w:t>
            </w:r>
          </w:p>
        </w:tc>
        <w:tc>
          <w:tcPr>
            <w:tcW w:w="7230" w:type="dxa"/>
          </w:tcPr>
          <w:p w14:paraId="012E1AD2" w14:textId="77777777" w:rsidR="00F63315" w:rsidRPr="0068439A" w:rsidRDefault="00F63315" w:rsidP="00B04ABC">
            <w:pPr>
              <w:rPr>
                <w:rFonts w:cstheme="minorHAnsi"/>
              </w:rPr>
            </w:pPr>
            <w:r w:rsidRPr="0068439A">
              <w:rPr>
                <w:rFonts w:cstheme="minorHAnsi"/>
              </w:rPr>
              <w:t>International System of Units</w:t>
            </w:r>
          </w:p>
        </w:tc>
      </w:tr>
      <w:tr w:rsidR="006C1B39" w:rsidRPr="0068439A" w14:paraId="53E47B2E" w14:textId="77777777" w:rsidTr="009979AC">
        <w:trPr>
          <w:trHeight w:val="79"/>
        </w:trPr>
        <w:tc>
          <w:tcPr>
            <w:tcW w:w="1701" w:type="dxa"/>
          </w:tcPr>
          <w:p w14:paraId="11B0BCAC" w14:textId="33DA9332" w:rsidR="006C1B39" w:rsidRPr="0068439A" w:rsidRDefault="006C1B39" w:rsidP="00B04ABC">
            <w:pPr>
              <w:rPr>
                <w:rFonts w:cstheme="minorHAnsi"/>
              </w:rPr>
            </w:pPr>
            <w:r>
              <w:rPr>
                <w:rFonts w:cstheme="minorHAnsi"/>
              </w:rPr>
              <w:t>SR</w:t>
            </w:r>
          </w:p>
        </w:tc>
        <w:tc>
          <w:tcPr>
            <w:tcW w:w="7230" w:type="dxa"/>
          </w:tcPr>
          <w:p w14:paraId="4442DB51" w14:textId="4641C18B" w:rsidR="006C1B39" w:rsidRPr="0068439A" w:rsidRDefault="006C1B39" w:rsidP="00B04ABC">
            <w:pPr>
              <w:rPr>
                <w:rFonts w:cstheme="minorHAnsi"/>
              </w:rPr>
            </w:pPr>
            <w:r>
              <w:rPr>
                <w:rFonts w:cstheme="minorHAnsi"/>
              </w:rPr>
              <w:t>Surface Reflectance</w:t>
            </w:r>
          </w:p>
        </w:tc>
      </w:tr>
      <w:tr w:rsidR="00F63315" w:rsidRPr="0068439A" w14:paraId="4C95831C" w14:textId="77777777" w:rsidTr="009979AC">
        <w:trPr>
          <w:trHeight w:val="79"/>
        </w:trPr>
        <w:tc>
          <w:tcPr>
            <w:tcW w:w="1701" w:type="dxa"/>
          </w:tcPr>
          <w:p w14:paraId="64751FF4" w14:textId="77777777" w:rsidR="00F63315" w:rsidRPr="0068439A" w:rsidRDefault="00F63315" w:rsidP="00B04ABC">
            <w:pPr>
              <w:rPr>
                <w:rFonts w:cstheme="minorHAnsi"/>
              </w:rPr>
            </w:pPr>
            <w:r>
              <w:rPr>
                <w:rFonts w:cstheme="minorHAnsi"/>
              </w:rPr>
              <w:t>SRIX4Veg</w:t>
            </w:r>
          </w:p>
        </w:tc>
        <w:tc>
          <w:tcPr>
            <w:tcW w:w="7230" w:type="dxa"/>
          </w:tcPr>
          <w:p w14:paraId="7C57BA5D" w14:textId="77777777" w:rsidR="00F63315" w:rsidRPr="0068439A" w:rsidRDefault="00F63315" w:rsidP="00B04ABC">
            <w:pPr>
              <w:rPr>
                <w:rFonts w:cstheme="minorHAnsi"/>
              </w:rPr>
            </w:pPr>
            <w:r>
              <w:rPr>
                <w:rFonts w:cstheme="minorHAnsi"/>
              </w:rPr>
              <w:t>Surface Reflectance Inter-Comparison Exercise for Vegetation</w:t>
            </w:r>
          </w:p>
        </w:tc>
      </w:tr>
      <w:tr w:rsidR="00F63315" w:rsidRPr="0068439A" w14:paraId="3032F45E" w14:textId="77777777" w:rsidTr="009979AC">
        <w:trPr>
          <w:trHeight w:val="79"/>
        </w:trPr>
        <w:tc>
          <w:tcPr>
            <w:tcW w:w="1701" w:type="dxa"/>
          </w:tcPr>
          <w:p w14:paraId="1ED3B6CB" w14:textId="77777777" w:rsidR="00F63315" w:rsidRPr="0068439A" w:rsidRDefault="00F63315" w:rsidP="00B04ABC">
            <w:pPr>
              <w:rPr>
                <w:rFonts w:cstheme="minorHAnsi"/>
              </w:rPr>
            </w:pPr>
            <w:r>
              <w:rPr>
                <w:rFonts w:cstheme="minorHAnsi"/>
              </w:rPr>
              <w:t>TERN</w:t>
            </w:r>
          </w:p>
        </w:tc>
        <w:tc>
          <w:tcPr>
            <w:tcW w:w="7230" w:type="dxa"/>
          </w:tcPr>
          <w:p w14:paraId="3B18599F" w14:textId="77777777" w:rsidR="00F63315" w:rsidRPr="0068439A" w:rsidRDefault="00F63315" w:rsidP="00B04ABC">
            <w:pPr>
              <w:rPr>
                <w:rFonts w:cstheme="minorHAnsi"/>
              </w:rPr>
            </w:pPr>
            <w:r>
              <w:rPr>
                <w:rFonts w:cstheme="minorHAnsi"/>
              </w:rPr>
              <w:t>Terrestrial Ecosystem Research Network, Australia</w:t>
            </w:r>
          </w:p>
        </w:tc>
      </w:tr>
      <w:tr w:rsidR="00F63315" w:rsidRPr="0068439A" w14:paraId="0B7F1216" w14:textId="77777777" w:rsidTr="009979AC">
        <w:trPr>
          <w:trHeight w:val="79"/>
        </w:trPr>
        <w:tc>
          <w:tcPr>
            <w:tcW w:w="1701" w:type="dxa"/>
          </w:tcPr>
          <w:p w14:paraId="2DD57831" w14:textId="77777777" w:rsidR="00F63315" w:rsidRPr="0068439A" w:rsidRDefault="00F63315" w:rsidP="00B04ABC">
            <w:pPr>
              <w:rPr>
                <w:rFonts w:cstheme="minorHAnsi"/>
              </w:rPr>
            </w:pPr>
            <w:r w:rsidRPr="0068439A">
              <w:rPr>
                <w:rFonts w:cstheme="minorHAnsi"/>
              </w:rPr>
              <w:t>UOS</w:t>
            </w:r>
          </w:p>
        </w:tc>
        <w:tc>
          <w:tcPr>
            <w:tcW w:w="7230" w:type="dxa"/>
          </w:tcPr>
          <w:p w14:paraId="7170B28F" w14:textId="77777777" w:rsidR="00F63315" w:rsidRPr="0068439A" w:rsidRDefault="00F63315" w:rsidP="00B04ABC">
            <w:pPr>
              <w:rPr>
                <w:rFonts w:cstheme="minorHAnsi"/>
              </w:rPr>
            </w:pPr>
            <w:r w:rsidRPr="0068439A">
              <w:rPr>
                <w:rFonts w:cstheme="minorHAnsi"/>
              </w:rPr>
              <w:t>University of Southampton</w:t>
            </w:r>
          </w:p>
        </w:tc>
      </w:tr>
      <w:tr w:rsidR="00F63315" w:rsidRPr="0068439A" w14:paraId="68139FB8" w14:textId="77777777" w:rsidTr="009979AC">
        <w:trPr>
          <w:trHeight w:val="79"/>
        </w:trPr>
        <w:tc>
          <w:tcPr>
            <w:tcW w:w="1701" w:type="dxa"/>
          </w:tcPr>
          <w:p w14:paraId="24E58C78" w14:textId="77777777" w:rsidR="00F63315" w:rsidRPr="0068439A" w:rsidRDefault="00F63315" w:rsidP="00B04ABC">
            <w:pPr>
              <w:rPr>
                <w:rFonts w:cstheme="minorHAnsi"/>
              </w:rPr>
            </w:pPr>
            <w:r w:rsidRPr="0068439A">
              <w:rPr>
                <w:rFonts w:cstheme="minorHAnsi"/>
              </w:rPr>
              <w:t>VALERI</w:t>
            </w:r>
          </w:p>
        </w:tc>
        <w:tc>
          <w:tcPr>
            <w:tcW w:w="7230" w:type="dxa"/>
          </w:tcPr>
          <w:p w14:paraId="154A8D18" w14:textId="77777777" w:rsidR="00F63315" w:rsidRPr="0068439A" w:rsidRDefault="00F63315" w:rsidP="00B04ABC">
            <w:pPr>
              <w:rPr>
                <w:rFonts w:cstheme="minorHAnsi"/>
              </w:rPr>
            </w:pPr>
            <w:r w:rsidRPr="0068439A">
              <w:rPr>
                <w:rFonts w:cstheme="minorHAnsi"/>
              </w:rPr>
              <w:t>Validation of European Land Remote Sensing Instruments</w:t>
            </w:r>
          </w:p>
        </w:tc>
      </w:tr>
      <w:tr w:rsidR="00F63315" w:rsidRPr="0068439A" w14:paraId="4E5ACD5B" w14:textId="77777777" w:rsidTr="009979AC">
        <w:trPr>
          <w:trHeight w:val="79"/>
        </w:trPr>
        <w:tc>
          <w:tcPr>
            <w:tcW w:w="1701" w:type="dxa"/>
          </w:tcPr>
          <w:p w14:paraId="53E3330E" w14:textId="77777777" w:rsidR="00F63315" w:rsidRPr="0068439A" w:rsidRDefault="00F63315" w:rsidP="00B04ABC">
            <w:pPr>
              <w:rPr>
                <w:rFonts w:cstheme="minorHAnsi"/>
              </w:rPr>
            </w:pPr>
            <w:r>
              <w:rPr>
                <w:rFonts w:cstheme="minorHAnsi"/>
              </w:rPr>
              <w:t>VIM</w:t>
            </w:r>
          </w:p>
        </w:tc>
        <w:tc>
          <w:tcPr>
            <w:tcW w:w="7230" w:type="dxa"/>
          </w:tcPr>
          <w:p w14:paraId="4E2A786D" w14:textId="77777777" w:rsidR="00F63315" w:rsidRPr="0068439A" w:rsidRDefault="00F63315" w:rsidP="00B04ABC">
            <w:pPr>
              <w:rPr>
                <w:rFonts w:cstheme="minorHAnsi"/>
              </w:rPr>
            </w:pPr>
            <w:r>
              <w:rPr>
                <w:rFonts w:cstheme="minorHAnsi"/>
              </w:rPr>
              <w:t>International Vocabulary of Metrology</w:t>
            </w:r>
          </w:p>
        </w:tc>
      </w:tr>
      <w:tr w:rsidR="00836C20" w:rsidRPr="0068439A" w14:paraId="3E0CE70F" w14:textId="77777777" w:rsidTr="009979AC">
        <w:trPr>
          <w:trHeight w:val="79"/>
        </w:trPr>
        <w:tc>
          <w:tcPr>
            <w:tcW w:w="1701" w:type="dxa"/>
          </w:tcPr>
          <w:p w14:paraId="11453241" w14:textId="2B04497D" w:rsidR="00836C20" w:rsidRDefault="00836C20" w:rsidP="00B04ABC">
            <w:pPr>
              <w:rPr>
                <w:rFonts w:cstheme="minorHAnsi"/>
              </w:rPr>
            </w:pPr>
            <w:r>
              <w:rPr>
                <w:rFonts w:cstheme="minorHAnsi"/>
              </w:rPr>
              <w:t>VM</w:t>
            </w:r>
          </w:p>
        </w:tc>
        <w:tc>
          <w:tcPr>
            <w:tcW w:w="7230" w:type="dxa"/>
          </w:tcPr>
          <w:p w14:paraId="26A5B491" w14:textId="656B20EC" w:rsidR="00836C20" w:rsidRDefault="006C1B39" w:rsidP="00B04ABC">
            <w:pPr>
              <w:rPr>
                <w:rFonts w:cstheme="minorHAnsi"/>
              </w:rPr>
            </w:pPr>
            <w:r>
              <w:rPr>
                <w:rFonts w:cstheme="minorHAnsi"/>
              </w:rPr>
              <w:t>FRM Validation Methodology</w:t>
            </w:r>
          </w:p>
        </w:tc>
      </w:tr>
      <w:tr w:rsidR="00F63315" w:rsidRPr="0068439A" w14:paraId="6F9F60CE" w14:textId="77777777" w:rsidTr="009979AC">
        <w:trPr>
          <w:trHeight w:val="79"/>
        </w:trPr>
        <w:tc>
          <w:tcPr>
            <w:tcW w:w="1701" w:type="dxa"/>
          </w:tcPr>
          <w:p w14:paraId="0C84FB25" w14:textId="77777777" w:rsidR="00F63315" w:rsidRPr="0068439A" w:rsidRDefault="00F63315" w:rsidP="00B04ABC">
            <w:pPr>
              <w:rPr>
                <w:rFonts w:cstheme="minorHAnsi"/>
              </w:rPr>
            </w:pPr>
            <w:r w:rsidRPr="0068439A">
              <w:rPr>
                <w:rFonts w:cstheme="minorHAnsi"/>
              </w:rPr>
              <w:t>WGCV</w:t>
            </w:r>
          </w:p>
        </w:tc>
        <w:tc>
          <w:tcPr>
            <w:tcW w:w="7230" w:type="dxa"/>
          </w:tcPr>
          <w:p w14:paraId="64A3812C" w14:textId="77777777" w:rsidR="00F63315" w:rsidRPr="0068439A" w:rsidRDefault="00F63315" w:rsidP="00B04ABC">
            <w:pPr>
              <w:rPr>
                <w:rFonts w:cstheme="minorHAnsi"/>
              </w:rPr>
            </w:pPr>
            <w:r w:rsidRPr="0068439A">
              <w:rPr>
                <w:rFonts w:cstheme="minorHAnsi"/>
              </w:rPr>
              <w:t>Working Group on Calibration and Validation</w:t>
            </w:r>
          </w:p>
        </w:tc>
      </w:tr>
    </w:tbl>
    <w:p w14:paraId="5051A749" w14:textId="437BFE47" w:rsidR="00F63315" w:rsidRDefault="00F63315"/>
    <w:p w14:paraId="06D6C5A9" w14:textId="78698C07" w:rsidR="00C1298A" w:rsidRDefault="00C1298A"/>
    <w:p w14:paraId="042DEC1F" w14:textId="70C8133C" w:rsidR="00C1298A" w:rsidRDefault="00C1298A"/>
    <w:p w14:paraId="4696EAEB" w14:textId="26BF189B" w:rsidR="00C1298A" w:rsidRDefault="00C1298A"/>
    <w:p w14:paraId="0C1FC6FB" w14:textId="3A214867" w:rsidR="00C1298A" w:rsidRDefault="00C1298A"/>
    <w:p w14:paraId="29E35A41" w14:textId="120A4A5B" w:rsidR="00C1298A" w:rsidRDefault="00C1298A"/>
    <w:p w14:paraId="2FD33743" w14:textId="54FBD3A4" w:rsidR="00C1298A" w:rsidRDefault="00C1298A"/>
    <w:p w14:paraId="5BF30D4C" w14:textId="16520AD5" w:rsidR="00C1298A" w:rsidRDefault="00C1298A"/>
    <w:p w14:paraId="64764845" w14:textId="28BF766E" w:rsidR="00C1298A" w:rsidRDefault="00C1298A"/>
    <w:p w14:paraId="542F1AFF" w14:textId="2E2B9BF4" w:rsidR="00C1298A" w:rsidRDefault="00C1298A"/>
    <w:p w14:paraId="5A0AA805" w14:textId="65DCB37D" w:rsidR="00C1298A" w:rsidRDefault="00C1298A"/>
    <w:p w14:paraId="5EDE9CEC" w14:textId="1D36F3C3" w:rsidR="00C1298A" w:rsidRDefault="00C1298A"/>
    <w:p w14:paraId="60323423" w14:textId="01071AAE" w:rsidR="00C1298A" w:rsidRDefault="00C1298A"/>
    <w:p w14:paraId="08973146" w14:textId="2B49F66A" w:rsidR="00C1298A" w:rsidRDefault="00C1298A"/>
    <w:p w14:paraId="4F7F1763" w14:textId="59B10F1C" w:rsidR="00C1298A" w:rsidRDefault="00C1298A"/>
    <w:p w14:paraId="789D9B1B" w14:textId="51545744" w:rsidR="00C1298A" w:rsidRDefault="00C1298A"/>
    <w:p w14:paraId="2BA49A4E" w14:textId="64C06A91" w:rsidR="00C1298A" w:rsidRDefault="00C1298A"/>
    <w:p w14:paraId="44C51A69" w14:textId="589310E6" w:rsidR="00C1298A" w:rsidRDefault="00C1298A"/>
    <w:p w14:paraId="1CFC30D5" w14:textId="11EA16BA" w:rsidR="00C1298A" w:rsidRDefault="00C1298A"/>
    <w:p w14:paraId="3BBFFAED" w14:textId="77777777" w:rsidR="00C1298A" w:rsidRDefault="00C1298A"/>
    <w:p w14:paraId="3EEC0901" w14:textId="77777777" w:rsidR="00F63315" w:rsidRDefault="00F63315"/>
    <w:p w14:paraId="00224D39" w14:textId="77777777" w:rsidR="00F63315" w:rsidRPr="00BC4ECC" w:rsidRDefault="00F63315" w:rsidP="00F63315">
      <w:pPr>
        <w:pStyle w:val="Heading1"/>
        <w:numPr>
          <w:ilvl w:val="0"/>
          <w:numId w:val="3"/>
        </w:numPr>
        <w:rPr>
          <w:color w:val="2F5496" w:themeColor="accent1" w:themeShade="BF"/>
        </w:rPr>
      </w:pPr>
      <w:bookmarkStart w:id="5" w:name="_Toc42182357"/>
      <w:r w:rsidRPr="00BC4ECC">
        <w:rPr>
          <w:color w:val="2F5496" w:themeColor="accent1" w:themeShade="BF"/>
        </w:rPr>
        <w:lastRenderedPageBreak/>
        <w:t>Introduction</w:t>
      </w:r>
      <w:bookmarkEnd w:id="5"/>
    </w:p>
    <w:p w14:paraId="3EF93FBA" w14:textId="77777777" w:rsidR="00F63315" w:rsidRPr="00F63315" w:rsidRDefault="00F63315" w:rsidP="00F63315"/>
    <w:p w14:paraId="7B0E8900" w14:textId="3BDC1889" w:rsidR="00F63315" w:rsidRDefault="00F63315" w:rsidP="00F63315">
      <w:pPr>
        <w:autoSpaceDE w:val="0"/>
        <w:autoSpaceDN w:val="0"/>
        <w:adjustRightInd w:val="0"/>
        <w:spacing w:after="0" w:line="360" w:lineRule="auto"/>
        <w:jc w:val="both"/>
        <w:rPr>
          <w:rFonts w:cstheme="minorHAnsi"/>
        </w:rPr>
      </w:pPr>
      <w:r w:rsidRPr="00D71B30">
        <w:rPr>
          <w:rFonts w:cstheme="minorHAnsi"/>
        </w:rPr>
        <w:t xml:space="preserve">Data from Earth observation (EO) satellites are increasingly used to map, monitor and inform decision making on environmental </w:t>
      </w:r>
      <w:r>
        <w:rPr>
          <w:rFonts w:cstheme="minorHAnsi"/>
        </w:rPr>
        <w:t xml:space="preserve">management and </w:t>
      </w:r>
      <w:r w:rsidRPr="00D71B30">
        <w:rPr>
          <w:rFonts w:cstheme="minorHAnsi"/>
        </w:rPr>
        <w:t xml:space="preserve">climate </w:t>
      </w:r>
      <w:r>
        <w:rPr>
          <w:rFonts w:cstheme="minorHAnsi"/>
        </w:rPr>
        <w:t xml:space="preserve">mitigation and adaptation strategies. Copernicus is the European Union’s Earth Observation programme that aims at achieving global, continuous, high quality Earth Observation capacity through both spaceborne satellites and in situ (ground and airborne) assets </w:t>
      </w:r>
      <w:r>
        <w:rPr>
          <w:rFonts w:cstheme="minorHAnsi"/>
        </w:rPr>
        <w:fldChar w:fldCharType="begin" w:fldLock="1"/>
      </w:r>
      <w:r w:rsidR="00E74EA1">
        <w:rPr>
          <w:rFonts w:cstheme="minorHAnsi"/>
        </w:rPr>
        <w:instrText>ADDIN CSL_CITATION {"citationItems":[{"id":"ITEM-1","itemData":{"URL":"https://www.copernicus.eu/en/about-copernicus","accessed":{"date-parts":[["2020","6","1"]]},"author":[{"dropping-particle":"","family":"Copernicus","given":"","non-dropping-particle":"","parse-names":false,"suffix":""}],"id":"ITEM-1","issued":{"date-parts":[["0"]]},"title":"Copernicus, Europe's eyes on Earth: About Copernicus","type":"webpage"},"uris":["http://www.mendeley.com/documents/?uuid=0a3d5447-885f-38da-b201-a94d6ba35086"]}],"mendeley":{"formattedCitation":"[1]","plainTextFormattedCitation":"[1]","previouslyFormattedCitation":"[1]"},"properties":{"noteIndex":0},"schema":"https://github.com/citation-style-language/schema/raw/master/csl-citation.json"}</w:instrText>
      </w:r>
      <w:r>
        <w:rPr>
          <w:rFonts w:cstheme="minorHAnsi"/>
        </w:rPr>
        <w:fldChar w:fldCharType="separate"/>
      </w:r>
      <w:r w:rsidRPr="00F63315">
        <w:rPr>
          <w:rFonts w:cstheme="minorHAnsi"/>
          <w:noProof/>
        </w:rPr>
        <w:t>[1]</w:t>
      </w:r>
      <w:r>
        <w:rPr>
          <w:rFonts w:cstheme="minorHAnsi"/>
        </w:rPr>
        <w:fldChar w:fldCharType="end"/>
      </w:r>
      <w:r>
        <w:rPr>
          <w:rFonts w:cstheme="minorHAnsi"/>
        </w:rPr>
        <w:t xml:space="preserve">. Fundamental to the basic provision of these data streams is the need for comprehensive metadata on the quality of the data to enable users </w:t>
      </w:r>
      <w:r w:rsidRPr="00C10615">
        <w:rPr>
          <w:rFonts w:cstheme="minorHAnsi"/>
        </w:rPr>
        <w:t>to judge the fitness for use and ensure confidence in the information used to</w:t>
      </w:r>
      <w:r>
        <w:rPr>
          <w:rFonts w:cstheme="minorHAnsi"/>
        </w:rPr>
        <w:t xml:space="preserve"> </w:t>
      </w:r>
      <w:r w:rsidRPr="00C10615">
        <w:rPr>
          <w:rFonts w:cstheme="minorHAnsi"/>
        </w:rPr>
        <w:t>support decision making processes</w:t>
      </w:r>
      <w:r w:rsidR="00BD49F3">
        <w:rPr>
          <w:rFonts w:cstheme="minorHAnsi"/>
        </w:rPr>
        <w:t xml:space="preserve"> </w:t>
      </w:r>
      <w:r>
        <w:rPr>
          <w:rFonts w:cstheme="minorHAnsi"/>
        </w:rPr>
        <w:fldChar w:fldCharType="begin" w:fldLock="1"/>
      </w:r>
      <w:r>
        <w:rPr>
          <w:rFonts w:cstheme="minorHAnsi"/>
        </w:rPr>
        <w:instrText>ADDIN CSL_CITATION {"citationItems":[{"id":"ITEM-1","itemData":{"DOI":"10.3390/rs11080986","abstract":"Decision makers need accessible robust evidence to introduce new policies to mitigate and adapt to climate change. There is an increasing amount of environmental information available to policy makers concerning observations and trends relating to the climate. However, this data is hosted across a multitude of websites often with inconsistent metadata and sparse information relating to the quality, accuracy and validity of the data. Subsequently, the task of comparing datasets to decide which is the most appropriate for a certain purpose is very complex and often infeasible. In support of the European Union’s Copernicus Climate Change Service (C3S) mission to provide authoritative information about the past, present and future climate in Europe and the rest of the world, each dataset to be provided through this service must undergo an evaluation of its climate relevance and scientific quality to help with data comparisons. This paper presents the framework for Evaluation and Quality Control (EQC) of climate data products derived from satellite and in situ observations to be catalogued within the C3S Climate Data Store (CDS). The EQC framework will be implemented by C3S as part of their operational quality assurance programme. It builds on past and present international investment in Quality Assurance for Earth Observation initiatives, extensive user requirements gathering exercises, as well as a broad evaluation of over 250 data products and a more in-depth evaluation of a selection of 24 individual data products derived from satellite and in situ observations across the land, ocean and atmosphere Essential Climate Variable (ECV) domains. A prototype Content Management System (CMS) to facilitate the process of collating, evaluating and presenting the quality aspects and status of each data product to data users is also described. The development of the EQC framework has highlighted cross-domain as well as ECV specific science knowledge gaps in relation to addressing the quality of climate data sets derived from satellite and in situ observations. We discuss 10 common priority science knowledge gaps that will require further research investment to ensure all quality aspects of climate data sets can be ascertained and provide users with the range of information necessary to confidently select relevant products for their specific application.","author":[{"dropping-particle":"","family":"Nightingale","given":"Joanne","non-dropping-particle":"","parse-names":false,"suffix":""},{"dropping-particle":"","family":"Mittaz","given":"Jonathan P.D.","non-dropping-particle":"","parse-names":false,"suffix":""},{"dropping-particle":"","family":"Douglas","given":"Sarah","non-dropping-particle":"","parse-names":false,"suffix":""},{"dropping-particle":"","family":"Dee","given":"Dick","non-dropping-particle":"","parse-names":false,"suffix":""},{"dropping-particle":"","family":"Ryder","given":"James","non-dropping-particle":"","parse-names":false,"suffix":""},{"dropping-particle":"","family":"Taylor","given":"Michael","non-dropping-particle":"","parse-names":false,"suffix":""},{"dropping-particle":"","family":"Old","given":"Christopher","non-dropping-particle":"","parse-names":false,"suffix":""},{"dropping-particle":"","family":"Dieval","given":"Catherine","non-dropping-particle":"","parse-names":false,"suffix":""},{"dropping-particle":"","family":"Fouron","given":"Celine","non-dropping-particle":"","parse-names":false,"suffix":""},{"dropping-particle":"","family":"Duveau","given":"Guillaume","non-dropping-particle":"","parse-names":false,"suffix":""},{"dropping-particle":"","family":"Merchant","given":"Christopher","non-dropping-particle":"","parse-names":false,"suffix":""}],"container-title":"Remote Sensing","id":"ITEM-1","issue":"8","issued":{"date-parts":[["2019"]]},"page":"986","title":"Ten Priority Science Gaps in Assessing Climate Data Record Quality","type":"article-journal","volume":"11"},"uris":["http://www.mendeley.com/documents/?uuid=e9294ab8-118f-4552-a2f9-317f95272f4d"]}],"mendeley":{"formattedCitation":"[2]","plainTextFormattedCitation":"[2]","previouslyFormattedCitation":"[2]"},"properties":{"noteIndex":0},"schema":"https://github.com/citation-style-language/schema/raw/master/csl-citation.json"}</w:instrText>
      </w:r>
      <w:r>
        <w:rPr>
          <w:rFonts w:cstheme="minorHAnsi"/>
        </w:rPr>
        <w:fldChar w:fldCharType="separate"/>
      </w:r>
      <w:r w:rsidRPr="00F63315">
        <w:rPr>
          <w:rFonts w:cstheme="minorHAnsi"/>
          <w:noProof/>
        </w:rPr>
        <w:t>[2]</w:t>
      </w:r>
      <w:r>
        <w:rPr>
          <w:rFonts w:cstheme="minorHAnsi"/>
        </w:rPr>
        <w:fldChar w:fldCharType="end"/>
      </w:r>
      <w:r>
        <w:rPr>
          <w:rFonts w:cstheme="minorHAnsi"/>
        </w:rPr>
        <w:t>.</w:t>
      </w:r>
    </w:p>
    <w:p w14:paraId="2AF208D5" w14:textId="77777777" w:rsidR="001F3643" w:rsidRDefault="001F3643" w:rsidP="00F63315">
      <w:pPr>
        <w:autoSpaceDE w:val="0"/>
        <w:autoSpaceDN w:val="0"/>
        <w:adjustRightInd w:val="0"/>
        <w:spacing w:after="0" w:line="360" w:lineRule="auto"/>
        <w:jc w:val="both"/>
        <w:rPr>
          <w:rFonts w:cstheme="minorHAnsi"/>
        </w:rPr>
      </w:pPr>
    </w:p>
    <w:p w14:paraId="77AAC9B2" w14:textId="77777777" w:rsidR="00F63315" w:rsidRPr="00F63315" w:rsidRDefault="00F63315" w:rsidP="00F63315">
      <w:pPr>
        <w:pStyle w:val="Heading2"/>
        <w:numPr>
          <w:ilvl w:val="0"/>
          <w:numId w:val="0"/>
        </w:numPr>
        <w:rPr>
          <w:color w:val="4472C4" w:themeColor="accent1"/>
        </w:rPr>
      </w:pPr>
    </w:p>
    <w:p w14:paraId="6E08A5E0" w14:textId="77777777" w:rsidR="00F63315" w:rsidRPr="00F63315" w:rsidRDefault="00F63315" w:rsidP="00F63315">
      <w:pPr>
        <w:pStyle w:val="Heading2"/>
        <w:rPr>
          <w:rFonts w:cstheme="majorHAnsi"/>
          <w:color w:val="4472C4" w:themeColor="accent1"/>
          <w:sz w:val="28"/>
          <w:szCs w:val="28"/>
        </w:rPr>
      </w:pPr>
      <w:bookmarkStart w:id="6" w:name="_Toc42182358"/>
      <w:r w:rsidRPr="00F63315">
        <w:rPr>
          <w:rFonts w:cstheme="majorHAnsi"/>
          <w:color w:val="4472C4" w:themeColor="accent1"/>
          <w:sz w:val="28"/>
          <w:szCs w:val="28"/>
        </w:rPr>
        <w:t>Fiducial Reference Measurements (FRM) Concepts and Requirements</w:t>
      </w:r>
      <w:bookmarkEnd w:id="6"/>
    </w:p>
    <w:p w14:paraId="5CD07816" w14:textId="77777777" w:rsidR="00F63315" w:rsidRDefault="00F63315" w:rsidP="00F63315"/>
    <w:p w14:paraId="449BCB9E" w14:textId="51C6A4A3" w:rsidR="00F63315" w:rsidRPr="005D3D0D" w:rsidRDefault="00F63315" w:rsidP="0016543A">
      <w:pPr>
        <w:spacing w:line="360" w:lineRule="auto"/>
        <w:jc w:val="both"/>
        <w:rPr>
          <w:rFonts w:eastAsiaTheme="minorEastAsia" w:cstheme="minorHAnsi"/>
        </w:rPr>
      </w:pPr>
      <w:r w:rsidRPr="005D3D0D">
        <w:rPr>
          <w:rFonts w:cstheme="minorHAnsi"/>
        </w:rPr>
        <w:t xml:space="preserve">The Copernicus programme provides data and services that can be exploited by end users for a wide range of applications in a variety of areas. The </w:t>
      </w:r>
      <w:r w:rsidRPr="005D3D0D">
        <w:rPr>
          <w:rFonts w:cstheme="minorHAnsi"/>
          <w:lang w:eastAsia="en-GB"/>
        </w:rPr>
        <w:t>ESA sponsored</w:t>
      </w:r>
      <w:r w:rsidRPr="005D3D0D">
        <w:rPr>
          <w:rFonts w:cstheme="minorHAnsi"/>
        </w:rPr>
        <w:t xml:space="preserve"> Fiducial Reference Measurement (FRM) </w:t>
      </w:r>
      <w:r>
        <w:rPr>
          <w:rFonts w:cstheme="minorHAnsi"/>
        </w:rPr>
        <w:t>programme</w:t>
      </w:r>
      <w:r w:rsidRPr="005D3D0D">
        <w:rPr>
          <w:rFonts w:cstheme="minorHAnsi"/>
        </w:rPr>
        <w:t xml:space="preserve"> </w:t>
      </w:r>
      <w:r w:rsidRPr="005D3D0D">
        <w:rPr>
          <w:rFonts w:eastAsiaTheme="minorEastAsia" w:cstheme="minorHAnsi"/>
        </w:rPr>
        <w:t xml:space="preserve">was formed with the goal to </w:t>
      </w:r>
      <w:r>
        <w:rPr>
          <w:rFonts w:eastAsiaTheme="minorEastAsia" w:cstheme="minorHAnsi"/>
        </w:rPr>
        <w:t xml:space="preserve">provide the post-launch calibration and validation data to </w:t>
      </w:r>
      <w:r w:rsidRPr="005D3D0D">
        <w:rPr>
          <w:rFonts w:eastAsiaTheme="minorEastAsia" w:cstheme="minorHAnsi"/>
        </w:rPr>
        <w:t xml:space="preserve">demonstrate </w:t>
      </w:r>
      <w:r w:rsidRPr="005D3D0D">
        <w:rPr>
          <w:rFonts w:cstheme="minorHAnsi"/>
        </w:rPr>
        <w:t xml:space="preserve">whether the Copernicus infrastructure’s </w:t>
      </w:r>
      <w:r>
        <w:rPr>
          <w:rFonts w:cstheme="minorHAnsi"/>
        </w:rPr>
        <w:t xml:space="preserve">mission performance </w:t>
      </w:r>
      <w:r w:rsidRPr="005D3D0D">
        <w:rPr>
          <w:rFonts w:cstheme="minorHAnsi"/>
        </w:rPr>
        <w:t>requirements are met</w:t>
      </w:r>
      <w:r>
        <w:rPr>
          <w:rFonts w:cstheme="minorHAnsi"/>
        </w:rPr>
        <w:t xml:space="preserve"> (</w:t>
      </w:r>
      <w:r w:rsidR="005719CA">
        <w:rPr>
          <w:rFonts w:cstheme="minorHAnsi"/>
        </w:rPr>
        <w:t>F</w:t>
      </w:r>
      <w:r>
        <w:rPr>
          <w:rFonts w:cstheme="minorHAnsi"/>
        </w:rPr>
        <w:t>igure 1)</w:t>
      </w:r>
      <w:r w:rsidRPr="005D3D0D">
        <w:rPr>
          <w:rFonts w:cstheme="minorHAnsi"/>
        </w:rPr>
        <w:t>. The FRM concept was originally proposed for in</w:t>
      </w:r>
      <w:r>
        <w:rPr>
          <w:rFonts w:cstheme="minorHAnsi"/>
        </w:rPr>
        <w:t xml:space="preserve"> </w:t>
      </w:r>
      <w:r w:rsidRPr="005D3D0D">
        <w:rPr>
          <w:rFonts w:cstheme="minorHAnsi"/>
        </w:rPr>
        <w:t>situ radiometric measurements of sea surface temperature but has since been generalised to provide a set of guidelines that are more broadly applicable.  FRMs are:</w:t>
      </w:r>
    </w:p>
    <w:p w14:paraId="27DF4E42" w14:textId="2B4586CF" w:rsidR="00F63315" w:rsidRDefault="00F63315" w:rsidP="0016543A">
      <w:pPr>
        <w:spacing w:line="360" w:lineRule="auto"/>
        <w:rPr>
          <w:rFonts w:cstheme="minorHAnsi"/>
          <w:i/>
          <w:iCs/>
        </w:rPr>
      </w:pPr>
      <w:r w:rsidRPr="005D3D0D">
        <w:rPr>
          <w:rFonts w:cstheme="minorHAnsi"/>
          <w:i/>
          <w:iCs/>
        </w:rPr>
        <w:t>‘the suite of independent ground measurements that provide the maximum Return On Investment (ROI) for a satellite mission by delivering, to users, the required confidence in data products, in the form of independent validation results and satellite measurement uncertainty estimation, over the entire end-to-end duration of a satellite mission</w:t>
      </w:r>
      <w:r w:rsidR="00F7302B">
        <w:rPr>
          <w:rFonts w:cstheme="minorHAnsi"/>
          <w:i/>
          <w:iCs/>
        </w:rPr>
        <w:t>.</w:t>
      </w:r>
      <w:r w:rsidRPr="005D3D0D">
        <w:rPr>
          <w:rFonts w:cstheme="minorHAnsi"/>
          <w:i/>
          <w:iCs/>
        </w:rPr>
        <w:t>’</w:t>
      </w:r>
      <w:r>
        <w:rPr>
          <w:rFonts w:cstheme="minorHAnsi"/>
          <w:i/>
          <w:iCs/>
        </w:rPr>
        <w:t xml:space="preserve"> </w:t>
      </w:r>
      <w:r w:rsidRPr="00F7302B">
        <w:rPr>
          <w:rFonts w:cstheme="minorHAnsi"/>
          <w:i/>
          <w:iCs/>
        </w:rPr>
        <w:fldChar w:fldCharType="begin" w:fldLock="1"/>
      </w:r>
      <w:r w:rsidRPr="00F7302B">
        <w:rPr>
          <w:rFonts w:cstheme="minorHAnsi"/>
          <w:i/>
          <w:iCs/>
        </w:rPr>
        <w:instrText>ADDIN CSL_CITATION {"citationItems":[{"id":"ITEM-1","itemData":{"URL":"https://earth.esa.int/web/sppa/activities/frm","accessed":{"date-parts":[["2019","3","8"]]},"author":[{"dropping-particle":"","family":"ESA","given":"","non-dropping-particle":"","parse-names":false,"suffix":""}],"id":"ITEM-1","issued":{"date-parts":[["2019"]]},"note":"Available from: https://earth.esa.int/web/sppa/activities/frm [accessed 08/03/2019].","title":"Fiducial Reference Measurements: FRM","type":"webpage"},"uris":["http://www.mendeley.com/documents/?uuid=a8b35d4e-c146-4624-b956-c8bc5a8d6793"]}],"mendeley":{"formattedCitation":"[3]","plainTextFormattedCitation":"[3]","previouslyFormattedCitation":"[3]"},"properties":{"noteIndex":0},"schema":"https://github.com/citation-style-language/schema/raw/master/csl-citation.json"}</w:instrText>
      </w:r>
      <w:r w:rsidRPr="00F7302B">
        <w:rPr>
          <w:rFonts w:cstheme="minorHAnsi"/>
          <w:i/>
          <w:iCs/>
        </w:rPr>
        <w:fldChar w:fldCharType="separate"/>
      </w:r>
      <w:r w:rsidRPr="00F7302B">
        <w:rPr>
          <w:rFonts w:cstheme="minorHAnsi"/>
          <w:i/>
          <w:iCs/>
          <w:noProof/>
        </w:rPr>
        <w:t>[3]</w:t>
      </w:r>
      <w:r w:rsidRPr="00F7302B">
        <w:rPr>
          <w:rFonts w:cstheme="minorHAnsi"/>
          <w:i/>
          <w:iCs/>
        </w:rPr>
        <w:fldChar w:fldCharType="end"/>
      </w:r>
    </w:p>
    <w:p w14:paraId="3CC9F5FF" w14:textId="77777777" w:rsidR="00F63315" w:rsidRDefault="00F63315" w:rsidP="00F63315">
      <w:pPr>
        <w:rPr>
          <w:rFonts w:cstheme="minorHAnsi"/>
          <w:i/>
          <w:iCs/>
        </w:rPr>
      </w:pPr>
    </w:p>
    <w:p w14:paraId="5C09223C" w14:textId="77777777" w:rsidR="00383199" w:rsidRDefault="00F63315" w:rsidP="00383199">
      <w:pPr>
        <w:keepNext/>
        <w:spacing w:line="360" w:lineRule="auto"/>
        <w:jc w:val="center"/>
      </w:pPr>
      <w:r w:rsidRPr="001F3643">
        <w:rPr>
          <w:rFonts w:cstheme="minorHAnsi"/>
          <w:noProof/>
          <w:color w:val="4472C4" w:themeColor="accent1"/>
          <w:sz w:val="20"/>
          <w:szCs w:val="20"/>
        </w:rPr>
        <w:lastRenderedPageBreak/>
        <w:drawing>
          <wp:inline distT="0" distB="0" distL="0" distR="0" wp14:anchorId="130B6F4A" wp14:editId="600D24D8">
            <wp:extent cx="4464930" cy="311150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17099" cy="3147855"/>
                    </a:xfrm>
                    <a:prstGeom prst="rect">
                      <a:avLst/>
                    </a:prstGeom>
                  </pic:spPr>
                </pic:pic>
              </a:graphicData>
            </a:graphic>
          </wp:inline>
        </w:drawing>
      </w:r>
    </w:p>
    <w:p w14:paraId="2AEEFE12" w14:textId="16A9BC2D" w:rsidR="00F63315" w:rsidRPr="00ED55C3" w:rsidRDefault="00383199" w:rsidP="00383199">
      <w:pPr>
        <w:pStyle w:val="Caption"/>
        <w:jc w:val="center"/>
        <w:rPr>
          <w:rFonts w:cstheme="minorHAnsi"/>
          <w:color w:val="4472C4" w:themeColor="accent1"/>
          <w:lang w:eastAsia="en-GB"/>
        </w:rPr>
      </w:pPr>
      <w:bookmarkStart w:id="7" w:name="_Toc42180693"/>
      <w:r w:rsidRPr="00ED55C3">
        <w:rPr>
          <w:color w:val="4472C4" w:themeColor="accent1"/>
        </w:rPr>
        <w:t xml:space="preserve">Figure </w:t>
      </w:r>
      <w:r w:rsidRPr="00ED55C3">
        <w:rPr>
          <w:color w:val="4472C4" w:themeColor="accent1"/>
        </w:rPr>
        <w:fldChar w:fldCharType="begin"/>
      </w:r>
      <w:r w:rsidRPr="00ED55C3">
        <w:rPr>
          <w:color w:val="4472C4" w:themeColor="accent1"/>
        </w:rPr>
        <w:instrText xml:space="preserve"> SEQ Figure \* ARABIC </w:instrText>
      </w:r>
      <w:r w:rsidRPr="00ED55C3">
        <w:rPr>
          <w:color w:val="4472C4" w:themeColor="accent1"/>
        </w:rPr>
        <w:fldChar w:fldCharType="separate"/>
      </w:r>
      <w:r w:rsidR="00003B86">
        <w:rPr>
          <w:noProof/>
          <w:color w:val="4472C4" w:themeColor="accent1"/>
        </w:rPr>
        <w:t>1</w:t>
      </w:r>
      <w:r w:rsidRPr="00ED55C3">
        <w:rPr>
          <w:color w:val="4472C4" w:themeColor="accent1"/>
        </w:rPr>
        <w:fldChar w:fldCharType="end"/>
      </w:r>
      <w:r w:rsidRPr="00ED55C3">
        <w:rPr>
          <w:color w:val="4472C4" w:themeColor="accent1"/>
        </w:rPr>
        <w:t>: The sequence of scientific output needed to underpin satellite observation [4]. FRM data will play a vital role in both the post-launch calibration and validation of satellite observations.</w:t>
      </w:r>
      <w:bookmarkEnd w:id="7"/>
    </w:p>
    <w:p w14:paraId="1B8A8791" w14:textId="77777777" w:rsidR="00383199" w:rsidRDefault="00383199" w:rsidP="00F63315"/>
    <w:p w14:paraId="050FC4BC" w14:textId="5D337631" w:rsidR="007D4087" w:rsidRDefault="00F63315" w:rsidP="004E01A6">
      <w:pPr>
        <w:spacing w:line="360" w:lineRule="auto"/>
        <w:jc w:val="both"/>
        <w:rPr>
          <w:rFonts w:cstheme="minorHAnsi"/>
          <w:lang w:eastAsia="en-GB"/>
        </w:rPr>
      </w:pPr>
      <w:r w:rsidRPr="005D3D0D">
        <w:rPr>
          <w:rFonts w:cstheme="minorHAnsi"/>
          <w:lang w:eastAsia="en-GB"/>
        </w:rPr>
        <w:t xml:space="preserve">In simple terms, the Fiducial Reference Measurement (FRM) programme aims to provide a suite of reference measurements (of land, ocean and atmosphere variables) with an associated uncertainty that can be used to conduct satellite product </w:t>
      </w:r>
      <w:r>
        <w:rPr>
          <w:rFonts w:cstheme="minorHAnsi"/>
          <w:lang w:eastAsia="en-GB"/>
        </w:rPr>
        <w:t xml:space="preserve">calibration and/or </w:t>
      </w:r>
      <w:r w:rsidRPr="005D3D0D">
        <w:rPr>
          <w:rFonts w:cstheme="minorHAnsi"/>
          <w:lang w:eastAsia="en-GB"/>
        </w:rPr>
        <w:t>validation through conformity testing. That is, the process that determines whether the estimated target quantity (i.e. the satellite estimate) falls within the range of tolerable values (i.e. the reference estimate), or not</w:t>
      </w:r>
      <w:r w:rsidR="007D4087">
        <w:rPr>
          <w:rFonts w:cstheme="minorHAnsi"/>
          <w:lang w:eastAsia="en-GB"/>
        </w:rPr>
        <w:t xml:space="preserve"> </w:t>
      </w:r>
      <w:r w:rsidR="007D4087">
        <w:rPr>
          <w:rFonts w:cstheme="minorHAnsi"/>
          <w:lang w:eastAsia="en-GB"/>
        </w:rPr>
        <w:fldChar w:fldCharType="begin" w:fldLock="1"/>
      </w:r>
      <w:r w:rsidR="000D5CCC">
        <w:rPr>
          <w:rFonts w:cstheme="minorHAnsi"/>
          <w:lang w:eastAsia="en-GB"/>
        </w:rPr>
        <w:instrText>ADDIN CSL_CITATION {"citationItems":[{"id":"ITEM-1","itemData":{"DOI":"10.1016/j.envsci.2015.03.018","ISSN":"18736416","author":[{"dropping-particle":"","family":"Widlowski","given":"Jean Luc","non-dropping-particle":"","parse-names":false,"suffix":""}],"container-title":"Environmental Science and Policy","id":"ITEM-1","issued":{"date-parts":[["2015","8","1"]]},"page":"149-169","publisher":"Elsevier Ltd","title":"Conformity testing of satellite-derived quantitative surface variables","type":"article-journal","volume":"51"},"uris":["http://www.mendeley.com/documents/?uuid=6f37d458-fcd3-3d16-a3c0-25b8574ccc39"]}],"mendeley":{"formattedCitation":"[4]","plainTextFormattedCitation":"[4]","previouslyFormattedCitation":"[4]"},"properties":{"noteIndex":0},"schema":"https://github.com/citation-style-language/schema/raw/master/csl-citation.json"}</w:instrText>
      </w:r>
      <w:r w:rsidR="007D4087">
        <w:rPr>
          <w:rFonts w:cstheme="minorHAnsi"/>
          <w:lang w:eastAsia="en-GB"/>
        </w:rPr>
        <w:fldChar w:fldCharType="separate"/>
      </w:r>
      <w:r w:rsidR="00E74EA1" w:rsidRPr="00E74EA1">
        <w:rPr>
          <w:rFonts w:cstheme="minorHAnsi"/>
          <w:noProof/>
          <w:lang w:eastAsia="en-GB"/>
        </w:rPr>
        <w:t>[4]</w:t>
      </w:r>
      <w:r w:rsidR="007D4087">
        <w:rPr>
          <w:rFonts w:cstheme="minorHAnsi"/>
          <w:lang w:eastAsia="en-GB"/>
        </w:rPr>
        <w:fldChar w:fldCharType="end"/>
      </w:r>
      <w:r>
        <w:rPr>
          <w:rFonts w:cstheme="minorHAnsi"/>
          <w:lang w:eastAsia="en-GB"/>
        </w:rPr>
        <w:t>.</w:t>
      </w:r>
    </w:p>
    <w:p w14:paraId="48FB0A2E" w14:textId="77777777" w:rsidR="007D4087" w:rsidRPr="005D3D0D" w:rsidRDefault="007D4087" w:rsidP="007D4087">
      <w:pPr>
        <w:spacing w:line="360" w:lineRule="auto"/>
        <w:jc w:val="both"/>
        <w:rPr>
          <w:rFonts w:cstheme="minorHAnsi"/>
          <w:lang w:eastAsia="en-GB"/>
        </w:rPr>
      </w:pPr>
      <w:r>
        <w:rPr>
          <w:rFonts w:cstheme="minorHAnsi"/>
          <w:lang w:eastAsia="en-GB"/>
        </w:rPr>
        <w:t>FRMs must</w:t>
      </w:r>
      <w:r w:rsidRPr="005D3D0D">
        <w:rPr>
          <w:rFonts w:cstheme="minorHAnsi"/>
          <w:lang w:eastAsia="en-GB"/>
        </w:rPr>
        <w:t>:</w:t>
      </w:r>
      <w:r>
        <w:rPr>
          <w:rFonts w:cstheme="minorHAnsi"/>
          <w:lang w:eastAsia="en-GB"/>
        </w:rPr>
        <w:t xml:space="preserve"> </w:t>
      </w:r>
    </w:p>
    <w:p w14:paraId="61C27527" w14:textId="080B9561" w:rsidR="007D4087" w:rsidRPr="005D3D0D" w:rsidRDefault="007D4087" w:rsidP="007D4087">
      <w:pPr>
        <w:numPr>
          <w:ilvl w:val="0"/>
          <w:numId w:val="5"/>
        </w:numPr>
        <w:autoSpaceDE w:val="0"/>
        <w:autoSpaceDN w:val="0"/>
        <w:adjustRightInd w:val="0"/>
        <w:spacing w:after="0" w:line="360" w:lineRule="auto"/>
        <w:jc w:val="both"/>
        <w:rPr>
          <w:rFonts w:cstheme="minorHAnsi"/>
          <w:lang w:eastAsia="en-GB"/>
        </w:rPr>
      </w:pPr>
      <w:r w:rsidRPr="005D3D0D">
        <w:rPr>
          <w:rFonts w:cstheme="minorHAnsi"/>
          <w:lang w:eastAsia="en-GB"/>
        </w:rPr>
        <w:t>Have documented SI traceability (or conform to appropriate international community standards), utilising instruments that have been characterised using metrological standards, both pre-deployment and evaluated regularly post-deployment</w:t>
      </w:r>
      <w:r>
        <w:rPr>
          <w:rFonts w:cstheme="minorHAnsi"/>
          <w:lang w:eastAsia="en-GB"/>
        </w:rPr>
        <w:t xml:space="preserve"> </w:t>
      </w:r>
      <w:r w:rsidR="007E0877">
        <w:rPr>
          <w:rFonts w:cstheme="minorHAnsi"/>
          <w:lang w:eastAsia="en-GB"/>
        </w:rPr>
        <w:fldChar w:fldCharType="begin" w:fldLock="1"/>
      </w:r>
      <w:r w:rsidR="000D5CCC">
        <w:rPr>
          <w:rFonts w:cstheme="minorHAnsi"/>
          <w:lang w:eastAsia="en-GB"/>
        </w:rPr>
        <w:instrText>ADDIN CSL_CITATION {"citationItems":[{"id":"ITEM-1","itemData":{"author":[{"dropping-particle":"","family":"Fox","given":"Nigel","non-dropping-particle":"","parse-names":false,"suffix":""},{"dropping-particle":"","family":"Greening","given":"Marie-Claire","non-dropping-particle":"","parse-names":false,"suffix":""}],"id":"ITEM-1","issued":{"date-parts":[["2010"]]},"publisher":"QA4EO","title":"QA4EO: A guide to comparisons – organisation, operation and analysis to establish measurement equivalence to underpin the Quality Assurance requirements of GEO (QA4EO-QAEO-GEN-DQK-004) Version 4.0","type":"article"},"uris":["http://www.mendeley.com/documents/?uuid=6eab09ab-0e62-499e-960c-e0ad9e92c204"]}],"mendeley":{"formattedCitation":"[5]","plainTextFormattedCitation":"[5]","previouslyFormattedCitation":"[5]"},"properties":{"noteIndex":0},"schema":"https://github.com/citation-style-language/schema/raw/master/csl-citation.json"}</w:instrText>
      </w:r>
      <w:r w:rsidR="007E0877">
        <w:rPr>
          <w:rFonts w:cstheme="minorHAnsi"/>
          <w:lang w:eastAsia="en-GB"/>
        </w:rPr>
        <w:fldChar w:fldCharType="separate"/>
      </w:r>
      <w:r w:rsidR="00E74EA1" w:rsidRPr="00E74EA1">
        <w:rPr>
          <w:rFonts w:cstheme="minorHAnsi"/>
          <w:noProof/>
          <w:lang w:eastAsia="en-GB"/>
        </w:rPr>
        <w:t>[5]</w:t>
      </w:r>
      <w:r w:rsidR="007E0877">
        <w:rPr>
          <w:rFonts w:cstheme="minorHAnsi"/>
          <w:lang w:eastAsia="en-GB"/>
        </w:rPr>
        <w:fldChar w:fldCharType="end"/>
      </w:r>
      <w:r w:rsidR="00F31EB8">
        <w:rPr>
          <w:rFonts w:cstheme="minorHAnsi"/>
          <w:lang w:eastAsia="en-GB"/>
        </w:rPr>
        <w:t>,</w:t>
      </w:r>
      <w:r w:rsidR="00260ABE">
        <w:rPr>
          <w:rFonts w:cstheme="minorHAnsi"/>
          <w:lang w:eastAsia="en-GB"/>
        </w:rPr>
        <w:fldChar w:fldCharType="begin" w:fldLock="1"/>
      </w:r>
      <w:r w:rsidR="000D5CCC">
        <w:rPr>
          <w:rFonts w:cstheme="minorHAnsi"/>
          <w:lang w:eastAsia="en-GB"/>
        </w:rPr>
        <w:instrText>ADDIN CSL_CITATION {"citationItems":[{"id":"ITEM-1","itemData":{"DOI":"10.1016/s1474-4422(10)70234-9","ISSN":"14744422","author":[{"dropping-particle":"","family":"E.Theocharous","given":"","non-dropping-particle":"","parse-names":false,"suffix":""},{"dropping-particle":"","family":"E.Usadi","given":"","non-dropping-particle":"","parse-names":false,"suffix":""},{"dropping-particle":"","family":"N.P.Fox","given":"","non-dropping-particle":"","parse-names":false,"suffix":""}],"container-title":"NPL REPORT OP3","id":"ITEM-1","issued":{"date-parts":[["0"]]},"publisher-place":"London, United Kingdom, Hampton Road, Teddington, TW11 0LW","title":"CEOS comparison of IR brightness temperature measurements in support of satellite validation. Part I: Laboratory and ocean surface temperature comparison of radiation thermometers.","type":"report"},"uris":["http://www.mendeley.com/documents/?uuid=a83865e8-f6d5-4fe6-a17d-61e061f9f640"]}],"mendeley":{"formattedCitation":"[6]","plainTextFormattedCitation":"[6]","previouslyFormattedCitation":"[6]"},"properties":{"noteIndex":0},"schema":"https://github.com/citation-style-language/schema/raw/master/csl-citation.json"}</w:instrText>
      </w:r>
      <w:r w:rsidR="00260ABE">
        <w:rPr>
          <w:rFonts w:cstheme="minorHAnsi"/>
          <w:lang w:eastAsia="en-GB"/>
        </w:rPr>
        <w:fldChar w:fldCharType="separate"/>
      </w:r>
      <w:r w:rsidR="00E74EA1" w:rsidRPr="00E74EA1">
        <w:rPr>
          <w:rFonts w:cstheme="minorHAnsi"/>
          <w:noProof/>
          <w:lang w:eastAsia="en-GB"/>
        </w:rPr>
        <w:t>[6]</w:t>
      </w:r>
      <w:r w:rsidR="00260ABE">
        <w:rPr>
          <w:rFonts w:cstheme="minorHAnsi"/>
          <w:lang w:eastAsia="en-GB"/>
        </w:rPr>
        <w:fldChar w:fldCharType="end"/>
      </w:r>
      <w:r w:rsidR="00035A63">
        <w:rPr>
          <w:rFonts w:cstheme="minorHAnsi"/>
          <w:lang w:eastAsia="en-GB"/>
        </w:rPr>
        <w:t>.</w:t>
      </w:r>
    </w:p>
    <w:p w14:paraId="7C154F54" w14:textId="77777777" w:rsidR="007D4087" w:rsidRPr="005D3D0D" w:rsidRDefault="007D4087" w:rsidP="007D4087">
      <w:pPr>
        <w:numPr>
          <w:ilvl w:val="0"/>
          <w:numId w:val="5"/>
        </w:numPr>
        <w:autoSpaceDE w:val="0"/>
        <w:autoSpaceDN w:val="0"/>
        <w:adjustRightInd w:val="0"/>
        <w:spacing w:after="0" w:line="360" w:lineRule="auto"/>
        <w:jc w:val="both"/>
        <w:rPr>
          <w:rFonts w:cstheme="minorHAnsi"/>
          <w:lang w:eastAsia="en-GB"/>
        </w:rPr>
      </w:pPr>
      <w:r w:rsidRPr="005D3D0D">
        <w:rPr>
          <w:rFonts w:cstheme="minorHAnsi"/>
          <w:lang w:eastAsia="en-GB"/>
        </w:rPr>
        <w:t>Be independent from the satellite geophysical retrieval process.</w:t>
      </w:r>
    </w:p>
    <w:p w14:paraId="58913483" w14:textId="2A682D4A" w:rsidR="007D4087" w:rsidRPr="005D3D0D" w:rsidRDefault="007D4087" w:rsidP="007D4087">
      <w:pPr>
        <w:numPr>
          <w:ilvl w:val="0"/>
          <w:numId w:val="5"/>
        </w:numPr>
        <w:autoSpaceDE w:val="0"/>
        <w:autoSpaceDN w:val="0"/>
        <w:adjustRightInd w:val="0"/>
        <w:spacing w:after="0" w:line="360" w:lineRule="auto"/>
        <w:jc w:val="both"/>
        <w:rPr>
          <w:rFonts w:cstheme="minorHAnsi"/>
          <w:lang w:eastAsia="en-GB"/>
        </w:rPr>
      </w:pPr>
      <w:r w:rsidRPr="005D3D0D">
        <w:rPr>
          <w:rFonts w:cstheme="minorHAnsi"/>
          <w:lang w:eastAsia="en-GB"/>
        </w:rPr>
        <w:t>Be accompanied by an uncertainty budget for all instruments, derived measurements and validation methods</w:t>
      </w:r>
      <w:r>
        <w:rPr>
          <w:rFonts w:cstheme="minorHAnsi"/>
          <w:lang w:eastAsia="en-GB"/>
        </w:rPr>
        <w:t xml:space="preserve"> </w:t>
      </w:r>
      <w:r w:rsidR="007E0877">
        <w:rPr>
          <w:rFonts w:cstheme="minorHAnsi"/>
          <w:lang w:eastAsia="en-GB"/>
        </w:rPr>
        <w:fldChar w:fldCharType="begin" w:fldLock="1"/>
      </w:r>
      <w:r w:rsidR="000D5CCC">
        <w:rPr>
          <w:rFonts w:cstheme="minorHAnsi"/>
          <w:lang w:eastAsia="en-GB"/>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742c897d-7840-4b76-9626-1cf60b423326"]}],"mendeley":{"formattedCitation":"[7]","plainTextFormattedCitation":"[7]","previouslyFormattedCitation":"[7]"},"properties":{"noteIndex":0},"schema":"https://github.com/citation-style-language/schema/raw/master/csl-citation.json"}</w:instrText>
      </w:r>
      <w:r w:rsidR="007E0877">
        <w:rPr>
          <w:rFonts w:cstheme="minorHAnsi"/>
          <w:lang w:eastAsia="en-GB"/>
        </w:rPr>
        <w:fldChar w:fldCharType="separate"/>
      </w:r>
      <w:r w:rsidR="00E74EA1" w:rsidRPr="00E74EA1">
        <w:rPr>
          <w:rFonts w:cstheme="minorHAnsi"/>
          <w:noProof/>
          <w:lang w:eastAsia="en-GB"/>
        </w:rPr>
        <w:t>[7]</w:t>
      </w:r>
      <w:r w:rsidR="007E0877">
        <w:rPr>
          <w:rFonts w:cstheme="minorHAnsi"/>
          <w:lang w:eastAsia="en-GB"/>
        </w:rPr>
        <w:fldChar w:fldCharType="end"/>
      </w:r>
      <w:r w:rsidRPr="005D3D0D">
        <w:rPr>
          <w:rFonts w:cstheme="minorHAnsi"/>
          <w:lang w:eastAsia="en-GB"/>
        </w:rPr>
        <w:t>.</w:t>
      </w:r>
    </w:p>
    <w:p w14:paraId="55986E1D" w14:textId="77777777" w:rsidR="007D4087" w:rsidRDefault="007D4087" w:rsidP="007D4087">
      <w:pPr>
        <w:numPr>
          <w:ilvl w:val="0"/>
          <w:numId w:val="5"/>
        </w:numPr>
        <w:autoSpaceDE w:val="0"/>
        <w:autoSpaceDN w:val="0"/>
        <w:adjustRightInd w:val="0"/>
        <w:spacing w:after="0" w:line="360" w:lineRule="auto"/>
        <w:jc w:val="both"/>
        <w:rPr>
          <w:rFonts w:cstheme="minorHAnsi"/>
          <w:lang w:eastAsia="en-GB"/>
        </w:rPr>
      </w:pPr>
      <w:r w:rsidRPr="005D3D0D">
        <w:rPr>
          <w:rFonts w:cstheme="minorHAnsi"/>
          <w:lang w:eastAsia="en-GB"/>
        </w:rPr>
        <w:t>Adhere to community-agreed, published and openly</w:t>
      </w:r>
      <w:r>
        <w:rPr>
          <w:rFonts w:cstheme="minorHAnsi"/>
          <w:lang w:eastAsia="en-GB"/>
        </w:rPr>
        <w:t xml:space="preserve"> </w:t>
      </w:r>
      <w:r w:rsidRPr="005D3D0D">
        <w:rPr>
          <w:rFonts w:cstheme="minorHAnsi"/>
          <w:lang w:eastAsia="en-GB"/>
        </w:rPr>
        <w:t>available measurement protocols/ procedures and management practices.</w:t>
      </w:r>
    </w:p>
    <w:p w14:paraId="53C53749" w14:textId="77777777" w:rsidR="007D4087" w:rsidRPr="005D3D0D" w:rsidRDefault="007D4087" w:rsidP="007D4087">
      <w:pPr>
        <w:numPr>
          <w:ilvl w:val="0"/>
          <w:numId w:val="5"/>
        </w:numPr>
        <w:autoSpaceDE w:val="0"/>
        <w:autoSpaceDN w:val="0"/>
        <w:adjustRightInd w:val="0"/>
        <w:spacing w:after="0" w:line="360" w:lineRule="auto"/>
        <w:jc w:val="both"/>
        <w:rPr>
          <w:rFonts w:cstheme="minorHAnsi"/>
          <w:lang w:eastAsia="en-GB"/>
        </w:rPr>
      </w:pPr>
      <w:r>
        <w:rPr>
          <w:rFonts w:cstheme="minorHAnsi"/>
          <w:lang w:eastAsia="en-GB"/>
        </w:rPr>
        <w:t>Provide long-term sustainable mission validation information.</w:t>
      </w:r>
    </w:p>
    <w:p w14:paraId="4FE6C2CF" w14:textId="2D863C8D" w:rsidR="007D4087" w:rsidRDefault="007D4087" w:rsidP="007D4087">
      <w:pPr>
        <w:numPr>
          <w:ilvl w:val="0"/>
          <w:numId w:val="5"/>
        </w:numPr>
        <w:autoSpaceDE w:val="0"/>
        <w:autoSpaceDN w:val="0"/>
        <w:adjustRightInd w:val="0"/>
        <w:spacing w:after="0" w:line="360" w:lineRule="auto"/>
        <w:jc w:val="both"/>
        <w:rPr>
          <w:rFonts w:cstheme="minorHAnsi"/>
          <w:lang w:eastAsia="en-GB"/>
        </w:rPr>
      </w:pPr>
      <w:r w:rsidRPr="005D3D0D">
        <w:rPr>
          <w:rFonts w:cstheme="minorHAnsi"/>
          <w:lang w:eastAsia="en-GB"/>
        </w:rPr>
        <w:t>Be accessible to other researchers allowing independent verification of processing systems.</w:t>
      </w:r>
    </w:p>
    <w:p w14:paraId="11CDAA24" w14:textId="4D9DAE44" w:rsidR="0040675E" w:rsidRDefault="0040675E" w:rsidP="0040675E">
      <w:pPr>
        <w:autoSpaceDE w:val="0"/>
        <w:autoSpaceDN w:val="0"/>
        <w:adjustRightInd w:val="0"/>
        <w:spacing w:after="0" w:line="360" w:lineRule="auto"/>
        <w:jc w:val="both"/>
        <w:rPr>
          <w:rFonts w:cstheme="minorHAnsi"/>
          <w:lang w:eastAsia="en-GB"/>
        </w:rPr>
      </w:pPr>
    </w:p>
    <w:p w14:paraId="353337DA" w14:textId="77777777" w:rsidR="000A0608" w:rsidRDefault="000A0608" w:rsidP="0040675E">
      <w:pPr>
        <w:autoSpaceDE w:val="0"/>
        <w:autoSpaceDN w:val="0"/>
        <w:adjustRightInd w:val="0"/>
        <w:spacing w:after="0" w:line="360" w:lineRule="auto"/>
        <w:jc w:val="both"/>
        <w:rPr>
          <w:rFonts w:cstheme="minorHAnsi"/>
          <w:lang w:eastAsia="en-GB"/>
        </w:rPr>
      </w:pPr>
    </w:p>
    <w:p w14:paraId="5FE68654" w14:textId="77777777" w:rsidR="0040675E" w:rsidRPr="00EA2760" w:rsidRDefault="0040675E" w:rsidP="0040675E">
      <w:pPr>
        <w:spacing w:line="360" w:lineRule="auto"/>
        <w:jc w:val="both"/>
        <w:rPr>
          <w:rFonts w:cstheme="minorHAnsi"/>
        </w:rPr>
      </w:pPr>
      <w:r w:rsidRPr="00EA2760">
        <w:rPr>
          <w:rFonts w:cstheme="minorHAnsi"/>
        </w:rPr>
        <w:lastRenderedPageBreak/>
        <w:t xml:space="preserve">A number of </w:t>
      </w:r>
      <w:r>
        <w:rPr>
          <w:rFonts w:cstheme="minorHAnsi"/>
        </w:rPr>
        <w:t xml:space="preserve">FRM </w:t>
      </w:r>
      <w:r w:rsidRPr="00EA2760">
        <w:rPr>
          <w:rFonts w:cstheme="minorHAnsi"/>
        </w:rPr>
        <w:t xml:space="preserve">projects have been initiated </w:t>
      </w:r>
      <w:r>
        <w:rPr>
          <w:rFonts w:cstheme="minorHAnsi"/>
        </w:rPr>
        <w:t>and currently include</w:t>
      </w:r>
      <w:r w:rsidRPr="00EA2760">
        <w:rPr>
          <w:rFonts w:cstheme="minorHAnsi"/>
        </w:rPr>
        <w:t>:</w:t>
      </w:r>
    </w:p>
    <w:p w14:paraId="29BC1CEF" w14:textId="1E38D25F" w:rsidR="0040675E" w:rsidRPr="00EA2760" w:rsidRDefault="0040675E" w:rsidP="0040675E">
      <w:pPr>
        <w:pStyle w:val="ListParagraph"/>
        <w:numPr>
          <w:ilvl w:val="0"/>
          <w:numId w:val="6"/>
        </w:numPr>
        <w:spacing w:line="360" w:lineRule="auto"/>
        <w:jc w:val="both"/>
        <w:rPr>
          <w:rFonts w:cstheme="minorHAnsi"/>
        </w:rPr>
      </w:pPr>
      <w:r w:rsidRPr="00EA2760">
        <w:rPr>
          <w:rFonts w:cstheme="minorHAnsi"/>
        </w:rPr>
        <w:t>FRM4VEG: Fiducial Reference Measurements for Vegetation</w:t>
      </w:r>
      <w:r>
        <w:rPr>
          <w:rFonts w:cstheme="minorHAnsi"/>
        </w:rPr>
        <w:t xml:space="preserve"> </w:t>
      </w:r>
      <w:r w:rsidR="00650DCE">
        <w:rPr>
          <w:rFonts w:cstheme="minorHAnsi"/>
        </w:rPr>
        <w:fldChar w:fldCharType="begin" w:fldLock="1"/>
      </w:r>
      <w:r w:rsidR="000D5CCC">
        <w:rPr>
          <w:rFonts w:cstheme="minorHAnsi"/>
        </w:rPr>
        <w:instrText>ADDIN CSL_CITATION {"citationItems":[{"id":"ITEM-1","itemData":{"URL":"https://frm4veg.org/","accessed":{"date-parts":[["2020","4","15"]]},"author":[{"dropping-particle":"","family":"ESA","given":"","non-dropping-particle":"","parse-names":false,"suffix":""}],"id":"ITEM-1","issued":{"date-parts":[["0"]]},"title":"FRM4VEG – Fiducial Reference Measurements for Vegetation","type":"webpage"},"uris":["http://www.mendeley.com/documents/?uuid=4c4ae572-7f9b-36e8-801a-6259b0161b74"]}],"mendeley":{"formattedCitation":"[8]","plainTextFormattedCitation":"[8]","previouslyFormattedCitation":"[8]"},"properties":{"noteIndex":0},"schema":"https://github.com/citation-style-language/schema/raw/master/csl-citation.json"}</w:instrText>
      </w:r>
      <w:r w:rsidR="00650DCE">
        <w:rPr>
          <w:rFonts w:cstheme="minorHAnsi"/>
        </w:rPr>
        <w:fldChar w:fldCharType="separate"/>
      </w:r>
      <w:r w:rsidR="00E74EA1" w:rsidRPr="00E74EA1">
        <w:rPr>
          <w:rFonts w:cstheme="minorHAnsi"/>
          <w:noProof/>
        </w:rPr>
        <w:t>[8]</w:t>
      </w:r>
      <w:r w:rsidR="00650DCE">
        <w:rPr>
          <w:rFonts w:cstheme="minorHAnsi"/>
        </w:rPr>
        <w:fldChar w:fldCharType="end"/>
      </w:r>
    </w:p>
    <w:p w14:paraId="30AEBD30" w14:textId="48E55B7A" w:rsidR="0040675E" w:rsidRPr="00EA2760" w:rsidRDefault="0040675E" w:rsidP="0040675E">
      <w:pPr>
        <w:pStyle w:val="ListParagraph"/>
        <w:numPr>
          <w:ilvl w:val="0"/>
          <w:numId w:val="6"/>
        </w:numPr>
        <w:spacing w:line="360" w:lineRule="auto"/>
        <w:jc w:val="both"/>
        <w:rPr>
          <w:rFonts w:cstheme="minorHAnsi"/>
        </w:rPr>
      </w:pPr>
      <w:r w:rsidRPr="00EA2760">
        <w:rPr>
          <w:rFonts w:cstheme="minorHAnsi"/>
        </w:rPr>
        <w:t>FRM4SOC: Fiducial Reference Measurements for Satellite Ocean Colour</w:t>
      </w:r>
      <w:r>
        <w:rPr>
          <w:rFonts w:cstheme="minorHAnsi"/>
        </w:rPr>
        <w:t xml:space="preserve"> </w:t>
      </w:r>
      <w:r w:rsidR="001437BA">
        <w:rPr>
          <w:rFonts w:cstheme="minorHAnsi"/>
        </w:rPr>
        <w:fldChar w:fldCharType="begin" w:fldLock="1"/>
      </w:r>
      <w:r w:rsidR="000D5CCC">
        <w:rPr>
          <w:rFonts w:cstheme="minorHAnsi"/>
        </w:rPr>
        <w:instrText>ADDIN CSL_CITATION {"citationItems":[{"id":"ITEM-1","itemData":{"URL":"https://frm4soc.org/","accessed":{"date-parts":[["2020","6","1"]]},"author":[{"dropping-particle":"","family":"ESA","given":"","non-dropping-particle":"","parse-names":false,"suffix":""}],"id":"ITEM-1","issued":{"date-parts":[["0"]]},"title":"FRM4SOC - Fiducial Reference Measurements for Satellite Ocean Colour","type":"webpage"},"uris":["http://www.mendeley.com/documents/?uuid=7b387ddf-1d2d-36bd-a4b2-947d7442fddc"]}],"mendeley":{"formattedCitation":"[9]","plainTextFormattedCitation":"[9]","previouslyFormattedCitation":"[9]"},"properties":{"noteIndex":0},"schema":"https://github.com/citation-style-language/schema/raw/master/csl-citation.json"}</w:instrText>
      </w:r>
      <w:r w:rsidR="001437BA">
        <w:rPr>
          <w:rFonts w:cstheme="minorHAnsi"/>
        </w:rPr>
        <w:fldChar w:fldCharType="separate"/>
      </w:r>
      <w:r w:rsidR="00E74EA1" w:rsidRPr="00E74EA1">
        <w:rPr>
          <w:rFonts w:cstheme="minorHAnsi"/>
          <w:noProof/>
        </w:rPr>
        <w:t>[9]</w:t>
      </w:r>
      <w:r w:rsidR="001437BA">
        <w:rPr>
          <w:rFonts w:cstheme="minorHAnsi"/>
        </w:rPr>
        <w:fldChar w:fldCharType="end"/>
      </w:r>
    </w:p>
    <w:p w14:paraId="3A9CB567" w14:textId="59EAAFB4" w:rsidR="0040675E" w:rsidRPr="00EA2760" w:rsidRDefault="0040675E" w:rsidP="0040675E">
      <w:pPr>
        <w:pStyle w:val="ListParagraph"/>
        <w:numPr>
          <w:ilvl w:val="0"/>
          <w:numId w:val="6"/>
        </w:numPr>
        <w:spacing w:line="360" w:lineRule="auto"/>
        <w:jc w:val="both"/>
        <w:rPr>
          <w:rFonts w:cstheme="minorHAnsi"/>
        </w:rPr>
      </w:pPr>
      <w:r w:rsidRPr="00EA2760">
        <w:rPr>
          <w:rFonts w:cstheme="minorHAnsi"/>
        </w:rPr>
        <w:t>FRM4ALT: Fiducial Reference Measurements for Altimetry</w:t>
      </w:r>
      <w:r w:rsidR="001437BA">
        <w:rPr>
          <w:rFonts w:cstheme="minorHAnsi"/>
        </w:rPr>
        <w:t xml:space="preserve"> </w:t>
      </w:r>
      <w:r w:rsidR="001437BA">
        <w:rPr>
          <w:rFonts w:cstheme="minorHAnsi"/>
        </w:rPr>
        <w:fldChar w:fldCharType="begin" w:fldLock="1"/>
      </w:r>
      <w:r w:rsidR="000D5CCC">
        <w:rPr>
          <w:rFonts w:cstheme="minorHAnsi"/>
        </w:rPr>
        <w:instrText>ADDIN CSL_CITATION {"citationItems":[{"id":"ITEM-1","itemData":{"URL":"https://www.frm4alt.eu/","accessed":{"date-parts":[["2020","6","1"]]},"author":[{"dropping-particle":"","family":"ESA","given":"","non-dropping-particle":"","parse-names":false,"suffix":""}],"id":"ITEM-1","issued":{"date-parts":[["0"]]},"title":"FRM4ALT - Fiducial Reference Measurements for altimetry","type":"webpage"},"uris":["http://www.mendeley.com/documents/?uuid=36fb67a0-e634-35c7-9643-f910b1d4e7fe"]}],"mendeley":{"formattedCitation":"[10]","plainTextFormattedCitation":"[10]","previouslyFormattedCitation":"[10]"},"properties":{"noteIndex":0},"schema":"https://github.com/citation-style-language/schema/raw/master/csl-citation.json"}</w:instrText>
      </w:r>
      <w:r w:rsidR="001437BA">
        <w:rPr>
          <w:rFonts w:cstheme="minorHAnsi"/>
        </w:rPr>
        <w:fldChar w:fldCharType="separate"/>
      </w:r>
      <w:r w:rsidR="00E74EA1" w:rsidRPr="00E74EA1">
        <w:rPr>
          <w:rFonts w:cstheme="minorHAnsi"/>
          <w:noProof/>
        </w:rPr>
        <w:t>[10]</w:t>
      </w:r>
      <w:r w:rsidR="001437BA">
        <w:rPr>
          <w:rFonts w:cstheme="minorHAnsi"/>
        </w:rPr>
        <w:fldChar w:fldCharType="end"/>
      </w:r>
    </w:p>
    <w:p w14:paraId="28E7F787" w14:textId="154B2A50" w:rsidR="0040675E" w:rsidRPr="00EA2760" w:rsidRDefault="0040675E" w:rsidP="0040675E">
      <w:pPr>
        <w:pStyle w:val="ListParagraph"/>
        <w:numPr>
          <w:ilvl w:val="0"/>
          <w:numId w:val="6"/>
        </w:numPr>
        <w:spacing w:line="360" w:lineRule="auto"/>
        <w:jc w:val="both"/>
        <w:rPr>
          <w:rFonts w:cstheme="minorHAnsi"/>
        </w:rPr>
      </w:pPr>
      <w:r w:rsidRPr="00EA2760">
        <w:rPr>
          <w:rFonts w:cstheme="minorHAnsi"/>
        </w:rPr>
        <w:t>FRM-BOUSSOLE: Buoy for the acquisition of long-term optical time series</w:t>
      </w:r>
      <w:r w:rsidR="001437BA">
        <w:rPr>
          <w:rFonts w:cstheme="minorHAnsi"/>
        </w:rPr>
        <w:t xml:space="preserve"> </w:t>
      </w:r>
      <w:r w:rsidR="001437BA">
        <w:rPr>
          <w:rFonts w:cstheme="minorHAnsi"/>
        </w:rPr>
        <w:fldChar w:fldCharType="begin" w:fldLock="1"/>
      </w:r>
      <w:r w:rsidR="000D5CCC">
        <w:rPr>
          <w:rFonts w:cstheme="minorHAnsi"/>
        </w:rPr>
        <w:instrText>ADDIN CSL_CITATION {"citationItems":[{"id":"ITEM-1","itemData":{"URL":"http://www.obs-vlfr.fr/Boussole/html/project/strategy.php","accessed":{"date-parts":[["2020","6","1"]]},"author":[{"dropping-particle":"","family":"ESA","given":"","non-dropping-particle":"","parse-names":false,"suffix":""}],"id":"ITEM-1","issued":{"date-parts":[["0"]]},"title":"BOUSSOLE","type":"webpage"},"uris":["http://www.mendeley.com/documents/?uuid=9aacb2e0-4b31-3e63-90c8-ce126e901e47"]}],"mendeley":{"formattedCitation":"[11]","plainTextFormattedCitation":"[11]","previouslyFormattedCitation":"[11]"},"properties":{"noteIndex":0},"schema":"https://github.com/citation-style-language/schema/raw/master/csl-citation.json"}</w:instrText>
      </w:r>
      <w:r w:rsidR="001437BA">
        <w:rPr>
          <w:rFonts w:cstheme="minorHAnsi"/>
        </w:rPr>
        <w:fldChar w:fldCharType="separate"/>
      </w:r>
      <w:r w:rsidR="00E74EA1" w:rsidRPr="00E74EA1">
        <w:rPr>
          <w:rFonts w:cstheme="minorHAnsi"/>
          <w:noProof/>
        </w:rPr>
        <w:t>[11]</w:t>
      </w:r>
      <w:r w:rsidR="001437BA">
        <w:rPr>
          <w:rFonts w:cstheme="minorHAnsi"/>
        </w:rPr>
        <w:fldChar w:fldCharType="end"/>
      </w:r>
    </w:p>
    <w:p w14:paraId="660FB7FA" w14:textId="2CEADA2D" w:rsidR="0040675E" w:rsidRPr="00EA2760" w:rsidRDefault="0040675E" w:rsidP="0040675E">
      <w:pPr>
        <w:pStyle w:val="ListParagraph"/>
        <w:numPr>
          <w:ilvl w:val="0"/>
          <w:numId w:val="6"/>
        </w:numPr>
        <w:spacing w:line="360" w:lineRule="auto"/>
        <w:jc w:val="both"/>
        <w:rPr>
          <w:rFonts w:cstheme="minorHAnsi"/>
        </w:rPr>
      </w:pPr>
      <w:r w:rsidRPr="00EA2760">
        <w:rPr>
          <w:rFonts w:cstheme="minorHAnsi"/>
        </w:rPr>
        <w:t>FRM4DOAS: Fiducial Reference Measurements for Ground-Based DOAS Air-Quality Observations</w:t>
      </w:r>
      <w:r w:rsidR="001437BA">
        <w:rPr>
          <w:rFonts w:cstheme="minorHAnsi"/>
        </w:rPr>
        <w:t xml:space="preserve"> </w:t>
      </w:r>
      <w:r w:rsidR="001437BA">
        <w:rPr>
          <w:rFonts w:cstheme="minorHAnsi"/>
        </w:rPr>
        <w:fldChar w:fldCharType="begin" w:fldLock="1"/>
      </w:r>
      <w:r w:rsidR="000D5CCC">
        <w:rPr>
          <w:rFonts w:cstheme="minorHAnsi"/>
        </w:rPr>
        <w:instrText>ADDIN CSL_CITATION {"citationItems":[{"id":"ITEM-1","itemData":{"URL":"https://frm4doas.aeronomie.be/","accessed":{"date-parts":[["2020","6","1"]]},"author":[{"dropping-particle":"","family":"ESA","given":"","non-dropping-particle":"","parse-names":false,"suffix":""}],"id":"ITEM-1","issued":{"date-parts":[["0"]]},"title":"FRM4DOAS - Fiducial Reference Measurements for Ground-Based DOAS Air-Quality Observations","type":"webpage"},"uris":["http://www.mendeley.com/documents/?uuid=5c29d037-8c31-3371-8693-eb27533f55af"]}],"mendeley":{"formattedCitation":"[12]","plainTextFormattedCitation":"[12]","previouslyFormattedCitation":"[12]"},"properties":{"noteIndex":0},"schema":"https://github.com/citation-style-language/schema/raw/master/csl-citation.json"}</w:instrText>
      </w:r>
      <w:r w:rsidR="001437BA">
        <w:rPr>
          <w:rFonts w:cstheme="minorHAnsi"/>
        </w:rPr>
        <w:fldChar w:fldCharType="separate"/>
      </w:r>
      <w:r w:rsidR="00E74EA1" w:rsidRPr="00E74EA1">
        <w:rPr>
          <w:rFonts w:cstheme="minorHAnsi"/>
          <w:noProof/>
        </w:rPr>
        <w:t>[12]</w:t>
      </w:r>
      <w:r w:rsidR="001437BA">
        <w:rPr>
          <w:rFonts w:cstheme="minorHAnsi"/>
        </w:rPr>
        <w:fldChar w:fldCharType="end"/>
      </w:r>
    </w:p>
    <w:p w14:paraId="0411EC08" w14:textId="21CF7438" w:rsidR="0040675E" w:rsidRPr="00EA2760" w:rsidRDefault="0040675E" w:rsidP="0040675E">
      <w:pPr>
        <w:pStyle w:val="ListParagraph"/>
        <w:numPr>
          <w:ilvl w:val="0"/>
          <w:numId w:val="6"/>
        </w:numPr>
        <w:spacing w:line="360" w:lineRule="auto"/>
        <w:jc w:val="both"/>
        <w:rPr>
          <w:rFonts w:cstheme="minorHAnsi"/>
        </w:rPr>
      </w:pPr>
      <w:r w:rsidRPr="00EA2760">
        <w:rPr>
          <w:rFonts w:cstheme="minorHAnsi"/>
        </w:rPr>
        <w:t>FRM4GHG: Fiducial Reference Measurements for Ground-Based FTIR Greenhouse Gas Observations</w:t>
      </w:r>
      <w:r w:rsidR="001437BA">
        <w:rPr>
          <w:rFonts w:cstheme="minorHAnsi"/>
        </w:rPr>
        <w:t xml:space="preserve"> </w:t>
      </w:r>
      <w:r w:rsidR="001437BA">
        <w:rPr>
          <w:rFonts w:cstheme="minorHAnsi"/>
        </w:rPr>
        <w:fldChar w:fldCharType="begin" w:fldLock="1"/>
      </w:r>
      <w:r w:rsidR="000D5CCC">
        <w:rPr>
          <w:rFonts w:cstheme="minorHAnsi"/>
        </w:rPr>
        <w:instrText>ADDIN CSL_CITATION {"citationItems":[{"id":"ITEM-1","itemData":{"URL":"http://frm4ghg.aeronomie.be/","accessed":{"date-parts":[["2020","6","1"]]},"author":[{"dropping-particle":"","family":"ESA","given":"","non-dropping-particle":"","parse-names":false,"suffix":""}],"id":"ITEM-1","issued":{"date-parts":[["0"]]},"title":"FRM4GHG - Reference Measurements for Ground-Based FTIR Greenhouse Gas Observations","type":"webpage"},"uris":["http://www.mendeley.com/documents/?uuid=314660ca-49e7-3d70-acd3-5cc75724ae6b"]}],"mendeley":{"formattedCitation":"[13]","plainTextFormattedCitation":"[13]","previouslyFormattedCitation":"[13]"},"properties":{"noteIndex":0},"schema":"https://github.com/citation-style-language/schema/raw/master/csl-citation.json"}</w:instrText>
      </w:r>
      <w:r w:rsidR="001437BA">
        <w:rPr>
          <w:rFonts w:cstheme="minorHAnsi"/>
        </w:rPr>
        <w:fldChar w:fldCharType="separate"/>
      </w:r>
      <w:r w:rsidR="00E74EA1" w:rsidRPr="00E74EA1">
        <w:rPr>
          <w:rFonts w:cstheme="minorHAnsi"/>
          <w:noProof/>
        </w:rPr>
        <w:t>[13]</w:t>
      </w:r>
      <w:r w:rsidR="001437BA">
        <w:rPr>
          <w:rFonts w:cstheme="minorHAnsi"/>
        </w:rPr>
        <w:fldChar w:fldCharType="end"/>
      </w:r>
    </w:p>
    <w:p w14:paraId="3E98AC33" w14:textId="4DDC7D31" w:rsidR="0040675E" w:rsidRPr="00EA2760" w:rsidRDefault="0040675E" w:rsidP="0040675E">
      <w:pPr>
        <w:pStyle w:val="ListParagraph"/>
        <w:numPr>
          <w:ilvl w:val="0"/>
          <w:numId w:val="6"/>
        </w:numPr>
        <w:spacing w:line="360" w:lineRule="auto"/>
        <w:jc w:val="both"/>
        <w:rPr>
          <w:rFonts w:cstheme="minorHAnsi"/>
        </w:rPr>
      </w:pPr>
      <w:r w:rsidRPr="00EA2760">
        <w:rPr>
          <w:rFonts w:cstheme="minorHAnsi"/>
        </w:rPr>
        <w:t>FRM4STS: Fiducial Reference Measurements for Validation of Surface Temperatures from Satellites</w:t>
      </w:r>
      <w:r w:rsidR="00D7616A">
        <w:rPr>
          <w:rFonts w:cstheme="minorHAnsi"/>
        </w:rPr>
        <w:t xml:space="preserve"> </w:t>
      </w:r>
      <w:r w:rsidR="001437BA">
        <w:rPr>
          <w:rFonts w:cstheme="minorHAnsi"/>
        </w:rPr>
        <w:fldChar w:fldCharType="begin" w:fldLock="1"/>
      </w:r>
      <w:r w:rsidR="000D5CCC">
        <w:rPr>
          <w:rFonts w:cstheme="minorHAnsi"/>
        </w:rPr>
        <w:instrText>ADDIN CSL_CITATION {"citationItems":[{"id":"ITEM-1","itemData":{"URL":"http://www.frm4sts.org/","accessed":{"date-parts":[["2020","6","1"]]},"author":[{"dropping-particle":"","family":"ESA","given":"","non-dropping-particle":"","parse-names":false,"suffix":""}],"id":"ITEM-1","issued":{"date-parts":[["0"]]},"title":"FRM4STS - Fiducial Reference Measurements for validation of Surface Temperatures from Satellites","type":"webpage"},"uris":["http://www.mendeley.com/documents/?uuid=8d70f63b-3950-301f-b11f-e4c36b6d753b"]}],"mendeley":{"formattedCitation":"[14]","plainTextFormattedCitation":"[14]","previouslyFormattedCitation":"[14]"},"properties":{"noteIndex":0},"schema":"https://github.com/citation-style-language/schema/raw/master/csl-citation.json"}</w:instrText>
      </w:r>
      <w:r w:rsidR="001437BA">
        <w:rPr>
          <w:rFonts w:cstheme="minorHAnsi"/>
        </w:rPr>
        <w:fldChar w:fldCharType="separate"/>
      </w:r>
      <w:r w:rsidR="00E74EA1" w:rsidRPr="00E74EA1">
        <w:rPr>
          <w:rFonts w:cstheme="minorHAnsi"/>
          <w:noProof/>
        </w:rPr>
        <w:t>[14]</w:t>
      </w:r>
      <w:r w:rsidR="001437BA">
        <w:rPr>
          <w:rFonts w:cstheme="minorHAnsi"/>
        </w:rPr>
        <w:fldChar w:fldCharType="end"/>
      </w:r>
    </w:p>
    <w:p w14:paraId="0212EA56" w14:textId="2352812C" w:rsidR="0040675E" w:rsidRDefault="0040675E" w:rsidP="0040675E">
      <w:pPr>
        <w:pStyle w:val="ListParagraph"/>
        <w:numPr>
          <w:ilvl w:val="0"/>
          <w:numId w:val="6"/>
        </w:numPr>
        <w:spacing w:line="360" w:lineRule="auto"/>
        <w:jc w:val="both"/>
        <w:rPr>
          <w:rFonts w:cstheme="minorHAnsi"/>
        </w:rPr>
      </w:pPr>
      <w:r w:rsidRPr="00EA2760">
        <w:rPr>
          <w:rFonts w:cstheme="minorHAnsi"/>
        </w:rPr>
        <w:t>Pandonia FRM: Fiducial Reference Measurements for Ground-Based Direct-Sun Air-Quality Observations</w:t>
      </w:r>
      <w:r w:rsidR="001437BA">
        <w:rPr>
          <w:rFonts w:cstheme="minorHAnsi"/>
        </w:rPr>
        <w:t xml:space="preserve"> </w:t>
      </w:r>
      <w:r w:rsidR="001437BA">
        <w:rPr>
          <w:rFonts w:cstheme="minorHAnsi"/>
        </w:rPr>
        <w:fldChar w:fldCharType="begin" w:fldLock="1"/>
      </w:r>
      <w:r w:rsidR="000D5CCC">
        <w:rPr>
          <w:rFonts w:cstheme="minorHAnsi"/>
        </w:rPr>
        <w:instrText>ADDIN CSL_CITATION {"citationItems":[{"id":"ITEM-1","itemData":{"URL":"https://www.pandonia-global-network.org/","accessed":{"date-parts":[["2020","6","1"]]},"author":[{"dropping-particle":"","family":"ESA","given":"","non-dropping-particle":"","parse-names":false,"suffix":""}],"id":"ITEM-1","issued":{"date-parts":[["0"]]},"title":"Pandonia Global Network – Reference Measurements of Atmospheric Composition","type":"webpage"},"uris":["http://www.mendeley.com/documents/?uuid=6ffc4982-f8bd-3f7a-b151-c49c7f8f33b8"]}],"mendeley":{"formattedCitation":"[15]","plainTextFormattedCitation":"[15]","previouslyFormattedCitation":"[15]"},"properties":{"noteIndex":0},"schema":"https://github.com/citation-style-language/schema/raw/master/csl-citation.json"}</w:instrText>
      </w:r>
      <w:r w:rsidR="001437BA">
        <w:rPr>
          <w:rFonts w:cstheme="minorHAnsi"/>
        </w:rPr>
        <w:fldChar w:fldCharType="separate"/>
      </w:r>
      <w:r w:rsidR="00E74EA1" w:rsidRPr="00E74EA1">
        <w:rPr>
          <w:rFonts w:cstheme="minorHAnsi"/>
          <w:noProof/>
        </w:rPr>
        <w:t>[15]</w:t>
      </w:r>
      <w:r w:rsidR="001437BA">
        <w:rPr>
          <w:rFonts w:cstheme="minorHAnsi"/>
        </w:rPr>
        <w:fldChar w:fldCharType="end"/>
      </w:r>
    </w:p>
    <w:p w14:paraId="4B20FEA4" w14:textId="42B8A044" w:rsidR="0040675E" w:rsidRDefault="0040675E" w:rsidP="0040675E">
      <w:pPr>
        <w:autoSpaceDE w:val="0"/>
        <w:autoSpaceDN w:val="0"/>
        <w:adjustRightInd w:val="0"/>
        <w:spacing w:after="0" w:line="360" w:lineRule="auto"/>
        <w:jc w:val="both"/>
        <w:rPr>
          <w:rFonts w:cstheme="minorHAnsi"/>
          <w:lang w:eastAsia="en-GB"/>
        </w:rPr>
      </w:pPr>
    </w:p>
    <w:p w14:paraId="597B3B41" w14:textId="70C5BC42" w:rsidR="004A6F38" w:rsidRDefault="004A6F38" w:rsidP="004A6F38">
      <w:pPr>
        <w:pStyle w:val="Heading2"/>
        <w:rPr>
          <w:color w:val="4472C4" w:themeColor="accent1"/>
        </w:rPr>
      </w:pPr>
      <w:bookmarkStart w:id="8" w:name="_Toc42182359"/>
      <w:r w:rsidRPr="004A6F38">
        <w:rPr>
          <w:color w:val="4472C4" w:themeColor="accent1"/>
        </w:rPr>
        <w:t>Satellite Product Validation and Conformity Testing</w:t>
      </w:r>
      <w:bookmarkEnd w:id="8"/>
    </w:p>
    <w:p w14:paraId="6CD4332C" w14:textId="23BC2149" w:rsidR="004A6F38" w:rsidRDefault="004A6F38" w:rsidP="004A6F38"/>
    <w:p w14:paraId="4ECA367E" w14:textId="5DA59C97" w:rsidR="00596DDB" w:rsidRDefault="00596DDB" w:rsidP="00596DDB">
      <w:pPr>
        <w:spacing w:line="360" w:lineRule="auto"/>
        <w:jc w:val="both"/>
        <w:rPr>
          <w:rFonts w:cstheme="minorHAnsi"/>
        </w:rPr>
      </w:pPr>
      <w:r w:rsidRPr="00E9255D">
        <w:rPr>
          <w:rFonts w:cstheme="minorHAnsi"/>
        </w:rPr>
        <w:t>Validation</w:t>
      </w:r>
      <w:r w:rsidRPr="003B597A">
        <w:rPr>
          <w:rFonts w:cstheme="minorHAnsi"/>
        </w:rPr>
        <w:t xml:space="preserve"> is the process of assessing, by independent means, the quality of the data products derived from system outputs</w:t>
      </w:r>
      <w:r>
        <w:rPr>
          <w:rFonts w:cstheme="minorHAnsi"/>
        </w:rPr>
        <w:t xml:space="preserve"> </w:t>
      </w:r>
      <w:r w:rsidR="00717ABB">
        <w:rPr>
          <w:rFonts w:cstheme="minorHAnsi"/>
        </w:rPr>
        <w:fldChar w:fldCharType="begin" w:fldLock="1"/>
      </w:r>
      <w:r w:rsidR="000D5CCC">
        <w:rPr>
          <w:rFonts w:cstheme="minorHAnsi"/>
        </w:rPr>
        <w:instrText>ADDIN CSL_CITATION {"citationItems":[{"id":"ITEM-1","itemData":{"author":[{"dropping-particle":"","family":"Justice","given":"C","non-dropping-particle":"","parse-names":false,"suffix":""},{"dropping-particle":"","family":"Belward","given":"A","non-dropping-particle":"","parse-names":false,"suffix":""},{"dropping-particle":"","family":"Lewis","given":"P","non-dropping-particle":"","parse-names":false,"suffix":""},{"dropping-particle":"","family":"Privette","given":"J","non-dropping-particle":"","parse-names":false,"suffix":""},{"dropping-particle":"","family":"Baret","given":"F","non-dropping-particle":"","parse-names":false,"suffix":""}],"container-title":"int. j. remote sensing","id":"ITEM-1","issue":"17","issued":{"date-parts":[["2000"]]},"page":"3383-3390","title":"Developments in the 'validation' of satellite sensor products for the study of the land surface","type":"article-journal","volume":"21"},"uris":["http://www.mendeley.com/documents/?uuid=831a6b21-2dd5-3deb-a915-dea1dce6f2ad"]}],"mendeley":{"formattedCitation":"[16]","plainTextFormattedCitation":"[16]","previouslyFormattedCitation":"[16]"},"properties":{"noteIndex":0},"schema":"https://github.com/citation-style-language/schema/raw/master/csl-citation.json"}</w:instrText>
      </w:r>
      <w:r w:rsidR="00717ABB">
        <w:rPr>
          <w:rFonts w:cstheme="minorHAnsi"/>
        </w:rPr>
        <w:fldChar w:fldCharType="separate"/>
      </w:r>
      <w:r w:rsidR="00E74EA1" w:rsidRPr="00E74EA1">
        <w:rPr>
          <w:rFonts w:cstheme="minorHAnsi"/>
          <w:noProof/>
        </w:rPr>
        <w:t>[16]</w:t>
      </w:r>
      <w:r w:rsidR="00717ABB">
        <w:rPr>
          <w:rFonts w:cstheme="minorHAnsi"/>
        </w:rPr>
        <w:fldChar w:fldCharType="end"/>
      </w:r>
      <w:r w:rsidR="00717ABB">
        <w:rPr>
          <w:rFonts w:cstheme="minorHAnsi"/>
        </w:rPr>
        <w:t xml:space="preserve"> </w:t>
      </w:r>
      <w:r w:rsidRPr="003B597A">
        <w:rPr>
          <w:rFonts w:cstheme="minorHAnsi"/>
        </w:rPr>
        <w:t xml:space="preserve">. </w:t>
      </w:r>
      <w:r w:rsidRPr="00927999">
        <w:rPr>
          <w:rFonts w:cstheme="minorHAnsi"/>
        </w:rPr>
        <w:t xml:space="preserve">Common approaches involve </w:t>
      </w:r>
      <w:r>
        <w:rPr>
          <w:rFonts w:cstheme="minorHAnsi"/>
        </w:rPr>
        <w:t>comparison with i</w:t>
      </w:r>
      <w:r w:rsidRPr="00927999">
        <w:rPr>
          <w:rFonts w:cstheme="minorHAnsi"/>
        </w:rPr>
        <w:t>ndependent in</w:t>
      </w:r>
      <w:r>
        <w:rPr>
          <w:rFonts w:cstheme="minorHAnsi"/>
        </w:rPr>
        <w:t xml:space="preserve"> </w:t>
      </w:r>
      <w:r w:rsidRPr="00927999">
        <w:rPr>
          <w:rFonts w:cstheme="minorHAnsi"/>
        </w:rPr>
        <w:t>situ, aircraft and satellite sensor data</w:t>
      </w:r>
      <w:r>
        <w:rPr>
          <w:rFonts w:cstheme="minorHAnsi"/>
        </w:rPr>
        <w:t xml:space="preserve"> of known or better quality</w:t>
      </w:r>
      <w:r w:rsidRPr="00927999">
        <w:rPr>
          <w:rFonts w:cstheme="minorHAnsi"/>
        </w:rPr>
        <w:t>.</w:t>
      </w:r>
      <w:r>
        <w:rPr>
          <w:rFonts w:cstheme="minorHAnsi"/>
        </w:rPr>
        <w:t xml:space="preserve"> However, t</w:t>
      </w:r>
      <w:r w:rsidRPr="00E4627E">
        <w:rPr>
          <w:rFonts w:cstheme="minorHAnsi"/>
        </w:rPr>
        <w:t>he Earth Observation Community faces many issues in the validation of satellite</w:t>
      </w:r>
      <w:r>
        <w:rPr>
          <w:rFonts w:cstheme="minorHAnsi"/>
        </w:rPr>
        <w:t xml:space="preserve"> </w:t>
      </w:r>
      <w:r w:rsidRPr="00E4627E">
        <w:rPr>
          <w:rFonts w:cstheme="minorHAnsi"/>
        </w:rPr>
        <w:t>derived data products</w:t>
      </w:r>
      <w:r>
        <w:rPr>
          <w:rFonts w:cstheme="minorHAnsi"/>
        </w:rPr>
        <w:t xml:space="preserve"> including</w:t>
      </w:r>
      <w:r w:rsidRPr="00E4627E">
        <w:rPr>
          <w:rFonts w:cstheme="minorHAnsi"/>
        </w:rPr>
        <w:t>: disparity between satellite algorithm representation and ground-measured target quantities;  lack of long-term monitoring sites suitable for satellite product validation activities  due to access and costs associated with deployment and maintenance; inadequate attention to measurement uncertainties; and the protracted compilation of internationally</w:t>
      </w:r>
      <w:r>
        <w:rPr>
          <w:rFonts w:cstheme="minorHAnsi"/>
        </w:rPr>
        <w:t xml:space="preserve"> </w:t>
      </w:r>
      <w:r w:rsidRPr="00E4627E">
        <w:rPr>
          <w:rFonts w:cstheme="minorHAnsi"/>
        </w:rPr>
        <w:t>agreed protocols to ensure consistency in field measurements and validation methodologies.</w:t>
      </w:r>
      <w:r>
        <w:rPr>
          <w:rFonts w:cstheme="minorHAnsi"/>
        </w:rPr>
        <w:t xml:space="preserve"> </w:t>
      </w:r>
    </w:p>
    <w:p w14:paraId="0F18B9EE" w14:textId="77777777" w:rsidR="00B846F5" w:rsidRDefault="00B846F5" w:rsidP="00596DDB">
      <w:pPr>
        <w:spacing w:line="360" w:lineRule="auto"/>
        <w:jc w:val="both"/>
        <w:rPr>
          <w:rFonts w:cstheme="minorHAnsi"/>
        </w:rPr>
      </w:pPr>
    </w:p>
    <w:p w14:paraId="612AA551" w14:textId="6DD0B965" w:rsidR="005B09F9" w:rsidRDefault="00A16A38" w:rsidP="00B846F5">
      <w:pPr>
        <w:spacing w:line="360" w:lineRule="auto"/>
        <w:jc w:val="both"/>
        <w:rPr>
          <w:rFonts w:cstheme="minorHAnsi"/>
          <w:lang w:eastAsia="en-GB"/>
        </w:rPr>
      </w:pPr>
      <w:r w:rsidRPr="00E4627E">
        <w:rPr>
          <w:rFonts w:cstheme="minorHAnsi"/>
          <w:lang w:eastAsia="en-GB"/>
        </w:rPr>
        <w:t>Quantitative EO products can be compared against calibrated in situ measurements such as those from reference networks</w:t>
      </w:r>
      <w:r>
        <w:rPr>
          <w:rFonts w:cstheme="minorHAnsi"/>
          <w:lang w:eastAsia="en-GB"/>
        </w:rPr>
        <w:t xml:space="preserve"> (e.g. RadCalNet</w:t>
      </w:r>
      <w:r w:rsidR="00C27E3A">
        <w:rPr>
          <w:rFonts w:cstheme="minorHAnsi"/>
          <w:lang w:eastAsia="en-GB"/>
        </w:rPr>
        <w:t xml:space="preserve"> </w:t>
      </w:r>
      <w:r w:rsidR="00C27E3A">
        <w:rPr>
          <w:rFonts w:cstheme="minorHAnsi"/>
          <w:lang w:eastAsia="en-GB"/>
        </w:rPr>
        <w:fldChar w:fldCharType="begin" w:fldLock="1"/>
      </w:r>
      <w:r w:rsidR="000D5CCC">
        <w:rPr>
          <w:rFonts w:cstheme="minorHAnsi"/>
          <w:lang w:eastAsia="en-GB"/>
        </w:rPr>
        <w:instrText>ADDIN CSL_CITATION {"citationItems":[{"id":"ITEM-1","itemData":{"URL":"https://www.radcalnet.org/#!/","accessed":{"date-parts":[["2020","4","9"]]},"author":[{"dropping-particle":"","family":"CEOS - Committee on Earth Observation Satellites","given":"","non-dropping-particle":"","parse-names":false,"suffix":""}],"id":"ITEM-1","issued":{"date-parts":[["0"]]},"title":"RadCalNet Portal","type":"webpage"},"uris":["http://www.mendeley.com/documents/?uuid=2d7813de-c35f-303f-9fbc-3949218444a3"]}],"mendeley":{"formattedCitation":"[17]","plainTextFormattedCitation":"[17]","previouslyFormattedCitation":"[17]"},"properties":{"noteIndex":0},"schema":"https://github.com/citation-style-language/schema/raw/master/csl-citation.json"}</w:instrText>
      </w:r>
      <w:r w:rsidR="00C27E3A">
        <w:rPr>
          <w:rFonts w:cstheme="minorHAnsi"/>
          <w:lang w:eastAsia="en-GB"/>
        </w:rPr>
        <w:fldChar w:fldCharType="separate"/>
      </w:r>
      <w:r w:rsidR="00E74EA1" w:rsidRPr="00E74EA1">
        <w:rPr>
          <w:rFonts w:cstheme="minorHAnsi"/>
          <w:noProof/>
          <w:lang w:eastAsia="en-GB"/>
        </w:rPr>
        <w:t>[17]</w:t>
      </w:r>
      <w:r w:rsidR="00C27E3A">
        <w:rPr>
          <w:rFonts w:cstheme="minorHAnsi"/>
          <w:lang w:eastAsia="en-GB"/>
        </w:rPr>
        <w:fldChar w:fldCharType="end"/>
      </w:r>
      <w:r w:rsidR="00C27E3A">
        <w:rPr>
          <w:rFonts w:cstheme="minorHAnsi"/>
          <w:lang w:eastAsia="en-GB"/>
        </w:rPr>
        <w:t>,</w:t>
      </w:r>
      <w:r>
        <w:rPr>
          <w:rFonts w:cstheme="minorHAnsi"/>
          <w:lang w:eastAsia="en-GB"/>
        </w:rPr>
        <w:t xml:space="preserve"> </w:t>
      </w:r>
      <w:r w:rsidR="00C27E3A">
        <w:rPr>
          <w:rFonts w:cstheme="minorHAnsi"/>
          <w:lang w:eastAsia="en-GB"/>
        </w:rPr>
        <w:t>AERONET</w:t>
      </w:r>
      <w:r w:rsidR="00B86DC4">
        <w:rPr>
          <w:rFonts w:cstheme="minorHAnsi"/>
          <w:lang w:eastAsia="en-GB"/>
        </w:rPr>
        <w:t xml:space="preserve"> </w:t>
      </w:r>
      <w:r w:rsidR="00B86DC4">
        <w:rPr>
          <w:rFonts w:cstheme="minorHAnsi"/>
          <w:lang w:eastAsia="en-GB"/>
        </w:rPr>
        <w:fldChar w:fldCharType="begin" w:fldLock="1"/>
      </w:r>
      <w:r w:rsidR="000D5CCC">
        <w:rPr>
          <w:rFonts w:cstheme="minorHAnsi"/>
          <w:lang w:eastAsia="en-GB"/>
        </w:rPr>
        <w:instrText>ADDIN CSL_CITATION {"citationItems":[{"id":"ITEM-1","itemData":{"DOI":"10.1016/S0034-4257(98)00031-5","ISSN":"00344257","author":[{"dropping-particle":"","family":"Holben","given":"B.N.","non-dropping-particle":"","parse-names":false,"suffix":""},{"dropping-particle":"","family":"Eck","given":"T.F.","non-dropping-particle":"","parse-names":false,"suffix":""},{"dropping-particle":"","family":"Slutsker","given":"I","non-dropping-particle":"","parse-names":false,"suffix":""},{"dropping-particle":"","family":"Tanré","given":"D.","non-dropping-particle":"","parse-names":false,"suffix":""},{"dropping-particle":"","family":"Buis","given":"J.P.","non-dropping-particle":"","parse-names":false,"suffix":""},{"dropping-particle":"","family":"Setzer","given":"A","non-dropping-particle":"","parse-names":false,"suffix":""},{"dropping-particle":"","family":"Vermote","given":"E","non-dropping-particle":"","parse-names":false,"suffix":""},{"dropping-particle":"","family":"Reagan","given":"J.A.","non-dropping-particle":"","parse-names":false,"suffix":""},{"dropping-particle":"","family":"Kaufman","given":"Y.J.","non-dropping-particle":"","parse-names":false,"suffix":""},{"dropping-particle":"","family":"Nakajima","given":"T","non-dropping-particle":"","parse-names":false,"suffix":""},{"dropping-particle":"","family":"Lavenu","given":"F","non-dropping-particle":"","parse-names":false,"suffix":""},{"dropping-particle":"","family":"Jankowiak","given":"I","non-dropping-particle":"","parse-names":false,"suffix":""},{"dropping-particle":"","family":"Smirnov","given":"A","non-dropping-particle":"","parse-names":false,"suffix":""}],"container-title":"Remote Sensing of Environment","id":"ITEM-1","issue":"1","issued":{"date-parts":[["1998","10"]]},"page":"1-16","title":"AERONET—A Federated Instrument Network and Data Archive for Aerosol Characterization","type":"article-journal","volume":"66"},"uris":["http://www.mendeley.com/documents/?uuid=e18fb425-6854-42de-8136-fe766dcfa304"]}],"mendeley":{"formattedCitation":"[18]","plainTextFormattedCitation":"[18]","previouslyFormattedCitation":"[18]"},"properties":{"noteIndex":0},"schema":"https://github.com/citation-style-language/schema/raw/master/csl-citation.json"}</w:instrText>
      </w:r>
      <w:r w:rsidR="00B86DC4">
        <w:rPr>
          <w:rFonts w:cstheme="minorHAnsi"/>
          <w:lang w:eastAsia="en-GB"/>
        </w:rPr>
        <w:fldChar w:fldCharType="separate"/>
      </w:r>
      <w:r w:rsidR="00E74EA1" w:rsidRPr="00E74EA1">
        <w:rPr>
          <w:rFonts w:cstheme="minorHAnsi"/>
          <w:noProof/>
          <w:lang w:eastAsia="en-GB"/>
        </w:rPr>
        <w:t>[18]</w:t>
      </w:r>
      <w:r w:rsidR="00B86DC4">
        <w:rPr>
          <w:rFonts w:cstheme="minorHAnsi"/>
          <w:lang w:eastAsia="en-GB"/>
        </w:rPr>
        <w:fldChar w:fldCharType="end"/>
      </w:r>
      <w:r w:rsidR="00C27E3A">
        <w:rPr>
          <w:rFonts w:cstheme="minorHAnsi"/>
          <w:lang w:eastAsia="en-GB"/>
        </w:rPr>
        <w:t>)</w:t>
      </w:r>
      <w:r w:rsidR="00EB13B6">
        <w:rPr>
          <w:rFonts w:cstheme="minorHAnsi"/>
          <w:lang w:eastAsia="en-GB"/>
        </w:rPr>
        <w:t xml:space="preserve">, </w:t>
      </w:r>
      <w:r w:rsidR="00EB13B6" w:rsidRPr="00E4627E">
        <w:rPr>
          <w:rFonts w:cstheme="minorHAnsi"/>
          <w:lang w:eastAsia="en-GB"/>
        </w:rPr>
        <w:t>through intensive field campaigns</w:t>
      </w:r>
      <w:r w:rsidR="00EB13B6">
        <w:rPr>
          <w:rFonts w:cstheme="minorHAnsi"/>
          <w:lang w:eastAsia="en-GB"/>
        </w:rPr>
        <w:t xml:space="preserve"> (e.g</w:t>
      </w:r>
      <w:r w:rsidR="00731A54">
        <w:rPr>
          <w:rFonts w:cstheme="minorHAnsi"/>
          <w:lang w:eastAsia="en-GB"/>
        </w:rPr>
        <w:t xml:space="preserve">. </w:t>
      </w:r>
      <w:r w:rsidR="00731A54" w:rsidRPr="00E4627E">
        <w:rPr>
          <w:rFonts w:cstheme="minorHAnsi"/>
          <w:lang w:eastAsia="en-GB"/>
        </w:rPr>
        <w:t>BigFoot</w:t>
      </w:r>
      <w:r w:rsidR="00516FDA">
        <w:rPr>
          <w:rFonts w:cstheme="minorHAnsi"/>
          <w:lang w:eastAsia="en-GB"/>
        </w:rPr>
        <w:t xml:space="preserve"> </w:t>
      </w:r>
      <w:r w:rsidR="00887EE2">
        <w:rPr>
          <w:rFonts w:cstheme="minorHAnsi"/>
          <w:lang w:eastAsia="en-GB"/>
        </w:rPr>
        <w:t xml:space="preserve"> </w:t>
      </w:r>
      <w:r w:rsidR="00887EE2">
        <w:rPr>
          <w:rFonts w:cstheme="minorHAnsi"/>
          <w:lang w:eastAsia="en-GB"/>
        </w:rPr>
        <w:fldChar w:fldCharType="begin" w:fldLock="1"/>
      </w:r>
      <w:r w:rsidR="000D5CCC">
        <w:rPr>
          <w:rFonts w:cstheme="minorHAnsi"/>
          <w:lang w:eastAsia="en-GB"/>
        </w:rPr>
        <w:instrText>ADDIN CSL_CITATION {"citationItems":[{"id":"ITEM-1","itemData":{"ISBN":"00344257/99","author":[{"dropping-particle":"","family":"Cohen","given":"Warren B","non-dropping-particle":"","parse-names":false,"suffix":""},{"dropping-particle":"","family":"Justice","given":"Christopher O","non-dropping-particle":"","parse-names":false,"suffix":""}],"container-title":"Remote Sensing of Environment","id":"ITEM-1","issued":{"date-parts":[["1999"]]},"title":"Validating MODIS Terrestrial Ecology Products: Linking In Situ and Satellite Measurements","type":"article-journal","volume":"70"},"uris":["http://www.mendeley.com/documents/?uuid=f2ec6108-a6e5-3a5a-a950-3c2b04d5343f"]}],"mendeley":{"formattedCitation":"[19]","plainTextFormattedCitation":"[19]","previouslyFormattedCitation":"[19]"},"properties":{"noteIndex":0},"schema":"https://github.com/citation-style-language/schema/raw/master/csl-citation.json"}</w:instrText>
      </w:r>
      <w:r w:rsidR="00887EE2">
        <w:rPr>
          <w:rFonts w:cstheme="minorHAnsi"/>
          <w:lang w:eastAsia="en-GB"/>
        </w:rPr>
        <w:fldChar w:fldCharType="separate"/>
      </w:r>
      <w:r w:rsidR="00E74EA1" w:rsidRPr="00E74EA1">
        <w:rPr>
          <w:rFonts w:cstheme="minorHAnsi"/>
          <w:noProof/>
          <w:lang w:eastAsia="en-GB"/>
        </w:rPr>
        <w:t>[19]</w:t>
      </w:r>
      <w:r w:rsidR="00887EE2">
        <w:rPr>
          <w:rFonts w:cstheme="minorHAnsi"/>
          <w:lang w:eastAsia="en-GB"/>
        </w:rPr>
        <w:fldChar w:fldCharType="end"/>
      </w:r>
      <w:r w:rsidR="00731A54">
        <w:rPr>
          <w:rFonts w:cstheme="minorHAnsi"/>
          <w:lang w:eastAsia="en-GB"/>
        </w:rPr>
        <w:t>, VALERI</w:t>
      </w:r>
      <w:r w:rsidR="00A45ABE">
        <w:rPr>
          <w:rFonts w:cstheme="minorHAnsi"/>
          <w:lang w:eastAsia="en-GB"/>
        </w:rPr>
        <w:t xml:space="preserve"> </w:t>
      </w:r>
      <w:r w:rsidR="00D14FCF">
        <w:rPr>
          <w:rFonts w:cstheme="minorHAnsi"/>
          <w:lang w:eastAsia="en-GB"/>
        </w:rPr>
        <w:fldChar w:fldCharType="begin" w:fldLock="1"/>
      </w:r>
      <w:r w:rsidR="000D5CCC">
        <w:rPr>
          <w:rFonts w:cstheme="minorHAnsi"/>
          <w:lang w:eastAsia="en-GB"/>
        </w:rPr>
        <w:instrText>ADDIN CSL_CITATION {"citationItems":[{"id":"ITEM-1","itemData":{"author":[{"dropping-particle":"","family":"Baret, F., Schaaf, C., Morisette","given":"J.","non-dropping-particle":"","parse-names":false,"suffix":""},{"dropping-particle":"","family":"Privette","given":"","non-dropping-particle":"","parse-names":false,"suffix":""},{"dropping-particle":"","family":"J.","given":"","non-dropping-particle":"","parse-names":false,"suffix":""}],"container-title":"The Earth Observer","id":"ITEM-1","issued":{"date-parts":[["2005"]]},"page":"13-17","title":"Report on the Second International Workshop on Albedo Product Validation","type":"article-journal"},"uris":["http://www.mendeley.com/documents/?uuid=1a1ffb30-181e-39b0-bd40-3234b9f8f8ae"]}],"mendeley":{"formattedCitation":"[20]","plainTextFormattedCitation":"[20]","previouslyFormattedCitation":"[20]"},"properties":{"noteIndex":0},"schema":"https://github.com/citation-style-language/schema/raw/master/csl-citation.json"}</w:instrText>
      </w:r>
      <w:r w:rsidR="00D14FCF">
        <w:rPr>
          <w:rFonts w:cstheme="minorHAnsi"/>
          <w:lang w:eastAsia="en-GB"/>
        </w:rPr>
        <w:fldChar w:fldCharType="separate"/>
      </w:r>
      <w:r w:rsidR="00E74EA1" w:rsidRPr="00E74EA1">
        <w:rPr>
          <w:rFonts w:cstheme="minorHAnsi"/>
          <w:noProof/>
          <w:lang w:eastAsia="en-GB"/>
        </w:rPr>
        <w:t>[20]</w:t>
      </w:r>
      <w:r w:rsidR="00D14FCF">
        <w:rPr>
          <w:rFonts w:cstheme="minorHAnsi"/>
          <w:lang w:eastAsia="en-GB"/>
        </w:rPr>
        <w:fldChar w:fldCharType="end"/>
      </w:r>
      <w:r w:rsidR="001671E3">
        <w:rPr>
          <w:rFonts w:cstheme="minorHAnsi"/>
          <w:lang w:eastAsia="en-GB"/>
        </w:rPr>
        <w:t>)</w:t>
      </w:r>
      <w:r w:rsidR="00731A54">
        <w:rPr>
          <w:rFonts w:cstheme="minorHAnsi"/>
          <w:lang w:eastAsia="en-GB"/>
        </w:rPr>
        <w:t xml:space="preserve">, </w:t>
      </w:r>
      <w:r w:rsidR="00516FDA" w:rsidRPr="00E4627E">
        <w:rPr>
          <w:rFonts w:cstheme="minorHAnsi"/>
          <w:lang w:eastAsia="en-GB"/>
        </w:rPr>
        <w:t>or ecological research networks</w:t>
      </w:r>
      <w:r w:rsidR="001671E3">
        <w:rPr>
          <w:rFonts w:cstheme="minorHAnsi"/>
          <w:lang w:eastAsia="en-GB"/>
        </w:rPr>
        <w:t xml:space="preserve"> </w:t>
      </w:r>
      <w:r w:rsidR="001671E3" w:rsidRPr="00E4627E">
        <w:rPr>
          <w:rFonts w:cstheme="minorHAnsi"/>
          <w:lang w:eastAsia="en-GB"/>
        </w:rPr>
        <w:t>(e.g. TERN</w:t>
      </w:r>
      <w:r w:rsidR="00D22F29">
        <w:rPr>
          <w:rFonts w:cstheme="minorHAnsi"/>
          <w:lang w:eastAsia="en-GB"/>
        </w:rPr>
        <w:t xml:space="preserve"> </w:t>
      </w:r>
      <w:r w:rsidR="000F0574">
        <w:rPr>
          <w:rFonts w:cstheme="minorHAnsi"/>
          <w:lang w:eastAsia="en-GB"/>
        </w:rPr>
        <w:fldChar w:fldCharType="begin" w:fldLock="1"/>
      </w:r>
      <w:r w:rsidR="000D5CCC">
        <w:rPr>
          <w:rFonts w:cstheme="minorHAnsi"/>
          <w:lang w:eastAsia="en-GB"/>
        </w:rPr>
        <w:instrText>ADDIN CSL_CITATION {"citationItems":[{"id":"ITEM-1","itemData":{"DOI":"10.1016/j.scitotenv.2016.05.170","ISSN":"18791026","abstract":"Ecosystem monitoring networks aim to collect data on physical, chemical and biological systems and their interactions that shape the biosphere. Here we introduce the Australian SuperSite Network that, along with complementary facilities of Australia's Terrestrial Ecosystem Research Network (TERN), delivers field infrastructure and diverse, ecosystem-related datasets for use by researchers, educators and policy makers. The SuperSite Network uses infrastructure replicated across research sites in different biomes, to allow comparisons across ecosystems and improve scalability of findings to regional, continental and global scales. This conforms with the approaches of other ecosystem monitoring networks such as Critical Zone Observatories, the U.S. National Ecological Observatory Network; Analysis and Experimentation on Ecosystems, Europe; Chinese Ecosystem Research Network; International Long Term Ecological Research network and the United States Long Term Ecological Research Network. The Australian SuperSite Network currently involves 10 SuperSites across a diverse range of biomes, including tropical rainforest, grassland and savanna; wet and dry sclerophyll forest and woodland; and semi-arid grassland, woodland and savanna. The focus of the SuperSite Network is on using vegetation, faunal and biophysical monitoring to develop a process-based understanding of ecosystem function and change in Australian biomes; and to link this with data streams provided by the series of flux towers across the network. The Australian SuperSite Network is also intended to support a range of auxiliary researchers who contribute to the growing body of knowledge within and across the SuperSite Network, public outreach and education to promote environmental awareness and the role of ecosystem monitoring in the management of Australian environments.","author":[{"dropping-particle":"","family":"Karan","given":"Mirko","non-dropping-particle":"","parse-names":false,"suffix":""},{"dropping-particle":"","family":"Liddell","given":"Michael","non-dropping-particle":"","parse-names":false,"suffix":""},{"dropping-particle":"","family":"Prober","given":"Suzanne M.","non-dropping-particle":"","parse-names":false,"suffix":""},{"dropping-particle":"","family":"Arndt","given":"Stefan","non-dropping-particle":"","parse-names":false,"suffix":""},{"dropping-particle":"","family":"Beringer","given":"Jason","non-dropping-particle":"","parse-names":false,"suffix":""},{"dropping-particle":"","family":"Boer","given":"Matthias","non-dropping-particle":"","parse-names":false,"suffix":""},{"dropping-particle":"","family":"Cleverly","given":"James","non-dropping-particle":"","parse-names":false,"suffix":""},{"dropping-particle":"","family":"Eamus","given":"Derek","non-dropping-particle":"","parse-names":false,"suffix":""},{"dropping-particle":"","family":"Grace","given":"Peter","non-dropping-particle":"","parse-names":false,"suffix":""},{"dropping-particle":"","family":"Gorsel","given":"Eva","non-dropping-particle":"Van","parse-names":false,"suffix":""},{"dropping-particle":"","family":"Hero","given":"Jean Marc","non-dropping-particle":"","parse-names":false,"suffix":""},{"dropping-particle":"","family":"Hutley","given":"Lindsay","non-dropping-particle":"","parse-names":false,"suffix":""},{"dropping-particle":"","family":"Macfarlane","given":"Craig","non-dropping-particle":"","parse-names":false,"suffix":""},{"dropping-particle":"","family":"Metcalfe","given":"Dan","non-dropping-particle":"","parse-names":false,"suffix":""},{"dropping-particle":"","family":"Meyer","given":"Wayne","non-dropping-particle":"","parse-names":false,"suffix":""},{"dropping-particle":"","family":"Pendall","given":"Elise","non-dropping-particle":"","parse-names":false,"suffix":""},{"dropping-particle":"","family":"Sebastian","given":"Alvin","non-dropping-particle":"","parse-names":false,"suffix":""},{"dropping-particle":"","family":"Wardlaw","given":"Tim","non-dropping-particle":"","parse-names":false,"suffix":""}],"container-title":"Science of the Total Environment","id":"ITEM-1","issued":{"date-parts":[["2016","10","15"]]},"page":"1263-1274","publisher":"Elsevier B.V.","title":"The Australian SuperSite Network: A continental, long-term terrestrial ecosystem observatory","type":"article-journal","volume":"568"},"uris":["http://www.mendeley.com/documents/?uuid=551c2eac-4f9c-387e-9f47-886d8383c2ef"]}],"mendeley":{"formattedCitation":"[21]","plainTextFormattedCitation":"[21]","previouslyFormattedCitation":"[21]"},"properties":{"noteIndex":0},"schema":"https://github.com/citation-style-language/schema/raw/master/csl-citation.json"}</w:instrText>
      </w:r>
      <w:r w:rsidR="000F0574">
        <w:rPr>
          <w:rFonts w:cstheme="minorHAnsi"/>
          <w:lang w:eastAsia="en-GB"/>
        </w:rPr>
        <w:fldChar w:fldCharType="separate"/>
      </w:r>
      <w:r w:rsidR="00E74EA1" w:rsidRPr="00E74EA1">
        <w:rPr>
          <w:rFonts w:cstheme="minorHAnsi"/>
          <w:noProof/>
          <w:lang w:eastAsia="en-GB"/>
        </w:rPr>
        <w:t>[21]</w:t>
      </w:r>
      <w:r w:rsidR="000F0574">
        <w:rPr>
          <w:rFonts w:cstheme="minorHAnsi"/>
          <w:lang w:eastAsia="en-GB"/>
        </w:rPr>
        <w:fldChar w:fldCharType="end"/>
      </w:r>
      <w:r w:rsidR="001671E3">
        <w:rPr>
          <w:rFonts w:cstheme="minorHAnsi"/>
          <w:lang w:eastAsia="en-GB"/>
        </w:rPr>
        <w:t>, NEO</w:t>
      </w:r>
      <w:r w:rsidR="00D22F29">
        <w:rPr>
          <w:rFonts w:cstheme="minorHAnsi"/>
          <w:lang w:eastAsia="en-GB"/>
        </w:rPr>
        <w:t>N</w:t>
      </w:r>
      <w:r w:rsidR="005E6710">
        <w:rPr>
          <w:rFonts w:cstheme="minorHAnsi"/>
          <w:lang w:eastAsia="en-GB"/>
        </w:rPr>
        <w:fldChar w:fldCharType="begin" w:fldLock="1"/>
      </w:r>
      <w:r w:rsidR="000D5CCC">
        <w:rPr>
          <w:rFonts w:cstheme="minorHAnsi"/>
          <w:lang w:eastAsia="en-GB"/>
        </w:rPr>
        <w:instrText>ADDIN CSL_CITATION {"citationItems":[{"id":"ITEM-1","itemData":{"DOI":"10.1890/1540-9295(2008)6[282:ACSFTN]2.0.CO;2","ISSN":"1540-9309","author":[{"dropping-particle":"","family":"Keller","given":"Michael","non-dropping-particle":"","parse-names":false,"suffix":""},{"dropping-particle":"","family":"Schimel","given":"David S","non-dropping-particle":"","parse-names":false,"suffix":""},{"dropping-particle":"","family":"Hargrove","given":"William W","non-dropping-particle":"","parse-names":false,"suffix":""},{"dropping-particle":"","family":"Hoffman","given":"Forrest M","non-dropping-particle":"","parse-names":false,"suffix":""}],"container-title":"Frontiers in Ecology and the Environment","id":"ITEM-1","issue":"5","issued":{"date-parts":[["2008","6","1"]]},"page":"282-284","publisher":"John Wiley &amp; Sons, Ltd","title":"A continental strategy for the National Ecological Observatory Network","type":"article-journal","volume":"6"},"uris":["http://www.mendeley.com/documents/?uuid=316aedf6-d349-3081-a7fb-cfe7fa79e8a5"]}],"mendeley":{"formattedCitation":"[22]","plainTextFormattedCitation":"[22]","previouslyFormattedCitation":"[22]"},"properties":{"noteIndex":0},"schema":"https://github.com/citation-style-language/schema/raw/master/csl-citation.json"}</w:instrText>
      </w:r>
      <w:r w:rsidR="005E6710">
        <w:rPr>
          <w:rFonts w:cstheme="minorHAnsi"/>
          <w:lang w:eastAsia="en-GB"/>
        </w:rPr>
        <w:fldChar w:fldCharType="separate"/>
      </w:r>
      <w:r w:rsidR="00E74EA1" w:rsidRPr="00E74EA1">
        <w:rPr>
          <w:rFonts w:cstheme="minorHAnsi"/>
          <w:noProof/>
          <w:lang w:eastAsia="en-GB"/>
        </w:rPr>
        <w:t>[22]</w:t>
      </w:r>
      <w:r w:rsidR="005E6710">
        <w:rPr>
          <w:rFonts w:cstheme="minorHAnsi"/>
          <w:lang w:eastAsia="en-GB"/>
        </w:rPr>
        <w:fldChar w:fldCharType="end"/>
      </w:r>
      <w:r w:rsidR="00516FDA">
        <w:rPr>
          <w:rFonts w:cstheme="minorHAnsi"/>
          <w:lang w:eastAsia="en-GB"/>
        </w:rPr>
        <w:t>).</w:t>
      </w:r>
      <w:r w:rsidR="003C390B">
        <w:rPr>
          <w:rFonts w:cstheme="minorHAnsi"/>
          <w:lang w:eastAsia="en-GB"/>
        </w:rPr>
        <w:t xml:space="preserve"> However</w:t>
      </w:r>
      <w:r w:rsidR="00D00B01" w:rsidRPr="00E4627E">
        <w:rPr>
          <w:rFonts w:cstheme="minorHAnsi"/>
          <w:lang w:eastAsia="en-GB"/>
        </w:rPr>
        <w:t xml:space="preserve">, in most cases (excluding RadCalNet) the field campaigns or networks were not implemented with the primary purpose of satellite product validation studies, but rather only to understand local or continental-scale ecological processes and land-atmosphere interactions. Consistency of measurements of the same parameter taken at individual sites by different teams cannot be </w:t>
      </w:r>
      <w:r w:rsidR="00D00B01" w:rsidRPr="00E4627E">
        <w:rPr>
          <w:rFonts w:cstheme="minorHAnsi"/>
          <w:lang w:eastAsia="en-GB"/>
        </w:rPr>
        <w:lastRenderedPageBreak/>
        <w:t xml:space="preserve">guaranteed (i.e. spatial sampling and measurement equipment may </w:t>
      </w:r>
      <w:r w:rsidR="00484FA3" w:rsidRPr="00E4627E">
        <w:rPr>
          <w:rFonts w:cstheme="minorHAnsi"/>
          <w:lang w:eastAsia="en-GB"/>
        </w:rPr>
        <w:t>differ,</w:t>
      </w:r>
      <w:r w:rsidR="00D00B01" w:rsidRPr="00E4627E">
        <w:rPr>
          <w:rFonts w:cstheme="minorHAnsi"/>
          <w:lang w:eastAsia="en-GB"/>
        </w:rPr>
        <w:t xml:space="preserve"> and operator and post-processing errors are not typically quantified). Further, the array of satellite-derived data products being validated are often created with multiple sources of EO data using different retrieval algorithms and assumptions. These confounding issues mean that estimating a meaningful bias between the in situ “validation” measurements and the satellite observations is challenging.</w:t>
      </w:r>
      <w:r w:rsidR="00E92B84">
        <w:rPr>
          <w:rFonts w:cstheme="minorHAnsi"/>
          <w:lang w:eastAsia="en-GB"/>
        </w:rPr>
        <w:t xml:space="preserve"> </w:t>
      </w:r>
      <w:r w:rsidR="00E92B84" w:rsidRPr="00E4627E">
        <w:rPr>
          <w:rFonts w:cstheme="minorHAnsi"/>
          <w:lang w:eastAsia="en-GB"/>
        </w:rPr>
        <w:t xml:space="preserve">Reliable compliance information of quantitative EO products will become even more critical as satellite-derived data are increasingly driving the information and knowledge required for decision making. </w:t>
      </w:r>
    </w:p>
    <w:p w14:paraId="0D0D9576" w14:textId="77777777" w:rsidR="005B09F9" w:rsidRDefault="005B09F9" w:rsidP="00B846F5">
      <w:pPr>
        <w:spacing w:line="360" w:lineRule="auto"/>
        <w:jc w:val="both"/>
        <w:rPr>
          <w:rFonts w:cstheme="minorHAnsi"/>
          <w:lang w:eastAsia="en-GB"/>
        </w:rPr>
      </w:pPr>
    </w:p>
    <w:p w14:paraId="643F49FB" w14:textId="366F2322" w:rsidR="00D00B01" w:rsidRDefault="00E92B84" w:rsidP="00B846F5">
      <w:pPr>
        <w:spacing w:line="360" w:lineRule="auto"/>
        <w:jc w:val="both"/>
        <w:rPr>
          <w:rFonts w:cstheme="minorHAnsi"/>
          <w:lang w:eastAsia="en-GB"/>
        </w:rPr>
      </w:pPr>
      <w:r w:rsidRPr="00E4627E">
        <w:rPr>
          <w:rFonts w:cstheme="minorHAnsi"/>
          <w:lang w:eastAsia="en-GB"/>
        </w:rPr>
        <w:t>Compliance and quality information will serve to solve issues that may arise around: (1) regulatory initiatives; (2) liability debates between customers and providers of value-added (quantitative) EO products and services; and (3) auditing efforts and/or contractual negotiations for the operational exploitation of EO data</w:t>
      </w:r>
      <w:r>
        <w:rPr>
          <w:rFonts w:cstheme="minorHAnsi"/>
          <w:lang w:eastAsia="en-GB"/>
        </w:rPr>
        <w:t xml:space="preserve"> </w:t>
      </w:r>
      <w:r w:rsidR="00EF48E3">
        <w:rPr>
          <w:rFonts w:cstheme="minorHAnsi"/>
          <w:lang w:eastAsia="en-GB"/>
        </w:rPr>
        <w:fldChar w:fldCharType="begin" w:fldLock="1"/>
      </w:r>
      <w:r w:rsidR="000D5CCC">
        <w:rPr>
          <w:rFonts w:cstheme="minorHAnsi"/>
          <w:lang w:eastAsia="en-GB"/>
        </w:rPr>
        <w:instrText>ADDIN CSL_CITATION {"citationItems":[{"id":"ITEM-1","itemData":{"DOI":"10.1016/j.envsci.2015.03.018","ISSN":"18736416","author":[{"dropping-particle":"","family":"Widlowski","given":"Jean Luc","non-dropping-particle":"","parse-names":false,"suffix":""}],"container-title":"Environmental Science and Policy","id":"ITEM-1","issued":{"date-parts":[["2015","8","1"]]},"page":"149-169","publisher":"Elsevier Ltd","title":"Conformity testing of satellite-derived quantitative surface variables","type":"article-journal","volume":"51"},"uris":["http://www.mendeley.com/documents/?uuid=6f37d458-fcd3-3d16-a3c0-25b8574ccc39"]}],"mendeley":{"formattedCitation":"[4]","plainTextFormattedCitation":"[4]","previouslyFormattedCitation":"[4]"},"properties":{"noteIndex":0},"schema":"https://github.com/citation-style-language/schema/raw/master/csl-citation.json"}</w:instrText>
      </w:r>
      <w:r w:rsidR="00EF48E3">
        <w:rPr>
          <w:rFonts w:cstheme="minorHAnsi"/>
          <w:lang w:eastAsia="en-GB"/>
        </w:rPr>
        <w:fldChar w:fldCharType="separate"/>
      </w:r>
      <w:r w:rsidR="00E74EA1" w:rsidRPr="00E74EA1">
        <w:rPr>
          <w:rFonts w:cstheme="minorHAnsi"/>
          <w:noProof/>
          <w:lang w:eastAsia="en-GB"/>
        </w:rPr>
        <w:t>[4]</w:t>
      </w:r>
      <w:r w:rsidR="00EF48E3">
        <w:rPr>
          <w:rFonts w:cstheme="minorHAnsi"/>
          <w:lang w:eastAsia="en-GB"/>
        </w:rPr>
        <w:fldChar w:fldCharType="end"/>
      </w:r>
      <w:r w:rsidR="00EF48E3">
        <w:rPr>
          <w:rFonts w:cstheme="minorHAnsi"/>
          <w:lang w:eastAsia="en-GB"/>
        </w:rPr>
        <w:t xml:space="preserve">. </w:t>
      </w:r>
      <w:r w:rsidR="004D15AA" w:rsidRPr="00E4627E">
        <w:rPr>
          <w:rFonts w:cstheme="minorHAnsi"/>
          <w:lang w:eastAsia="en-GB"/>
        </w:rPr>
        <w:t>Irrespective of context, the conformity of a data product can only be established with respect to permissible deviations from an agreed reference (in situ or drone-based estimate of the satellite derived variable). Ideally this reference should be SI traceable (or community agreed) and the uncertainty of the reference will be smaller than that of the candidate item. While these considerations are an integral part of conformity testing in metrology, they are not yet included in validation efforts of satellite-derived quantitative surface information</w:t>
      </w:r>
      <w:r w:rsidR="004D15AA">
        <w:rPr>
          <w:rFonts w:cstheme="minorHAnsi"/>
          <w:lang w:eastAsia="en-GB"/>
        </w:rPr>
        <w:t xml:space="preserve"> </w:t>
      </w:r>
      <w:r w:rsidR="004D15AA">
        <w:rPr>
          <w:rFonts w:cstheme="minorHAnsi"/>
          <w:lang w:eastAsia="en-GB"/>
        </w:rPr>
        <w:fldChar w:fldCharType="begin" w:fldLock="1"/>
      </w:r>
      <w:r w:rsidR="000D5CCC">
        <w:rPr>
          <w:rFonts w:cstheme="minorHAnsi"/>
          <w:lang w:eastAsia="en-GB"/>
        </w:rPr>
        <w:instrText>ADDIN CSL_CITATION {"citationItems":[{"id":"ITEM-1","itemData":{"DOI":"10.1016/j.envsci.2015.03.018","ISSN":"18736416","author":[{"dropping-particle":"","family":"Widlowski","given":"Jean Luc","non-dropping-particle":"","parse-names":false,"suffix":""}],"container-title":"Environmental Science and Policy","id":"ITEM-1","issued":{"date-parts":[["2015","8","1"]]},"page":"149-169","publisher":"Elsevier Ltd","title":"Conformity testing of satellite-derived quantitative surface variables","type":"article-journal","volume":"51"},"uris":["http://www.mendeley.com/documents/?uuid=6f37d458-fcd3-3d16-a3c0-25b8574ccc39"]}],"mendeley":{"formattedCitation":"[4]","plainTextFormattedCitation":"[4]","previouslyFormattedCitation":"[4]"},"properties":{"noteIndex":0},"schema":"https://github.com/citation-style-language/schema/raw/master/csl-citation.json"}</w:instrText>
      </w:r>
      <w:r w:rsidR="004D15AA">
        <w:rPr>
          <w:rFonts w:cstheme="minorHAnsi"/>
          <w:lang w:eastAsia="en-GB"/>
        </w:rPr>
        <w:fldChar w:fldCharType="separate"/>
      </w:r>
      <w:r w:rsidR="00E74EA1" w:rsidRPr="00E74EA1">
        <w:rPr>
          <w:rFonts w:cstheme="minorHAnsi"/>
          <w:noProof/>
          <w:lang w:eastAsia="en-GB"/>
        </w:rPr>
        <w:t>[4]</w:t>
      </w:r>
      <w:r w:rsidR="004D15AA">
        <w:rPr>
          <w:rFonts w:cstheme="minorHAnsi"/>
          <w:lang w:eastAsia="en-GB"/>
        </w:rPr>
        <w:fldChar w:fldCharType="end"/>
      </w:r>
      <w:r w:rsidR="004D15AA">
        <w:rPr>
          <w:rFonts w:cstheme="minorHAnsi"/>
          <w:lang w:eastAsia="en-GB"/>
        </w:rPr>
        <w:t>.</w:t>
      </w:r>
    </w:p>
    <w:p w14:paraId="28DE24AB" w14:textId="77777777" w:rsidR="001418E1" w:rsidRDefault="001418E1" w:rsidP="00D00B01">
      <w:pPr>
        <w:spacing w:line="360" w:lineRule="auto"/>
        <w:jc w:val="both"/>
        <w:rPr>
          <w:rFonts w:cstheme="minorHAnsi"/>
          <w:lang w:eastAsia="en-GB"/>
        </w:rPr>
      </w:pPr>
    </w:p>
    <w:p w14:paraId="540FD2C7" w14:textId="77777777" w:rsidR="001418E1" w:rsidRPr="001418E1" w:rsidRDefault="001418E1" w:rsidP="001418E1">
      <w:pPr>
        <w:pStyle w:val="Heading2"/>
        <w:rPr>
          <w:color w:val="4472C4" w:themeColor="accent1"/>
        </w:rPr>
      </w:pPr>
      <w:bookmarkStart w:id="9" w:name="_Toc42182360"/>
      <w:r w:rsidRPr="001418E1">
        <w:rPr>
          <w:color w:val="4472C4" w:themeColor="accent1"/>
        </w:rPr>
        <w:t>FRM4Veg</w:t>
      </w:r>
      <w:bookmarkEnd w:id="9"/>
    </w:p>
    <w:p w14:paraId="28B5E6FC" w14:textId="1C0C4DD9" w:rsidR="00D70CC2" w:rsidRDefault="00D70CC2" w:rsidP="00D00B01">
      <w:pPr>
        <w:spacing w:line="360" w:lineRule="auto"/>
        <w:jc w:val="both"/>
        <w:rPr>
          <w:rFonts w:cstheme="minorHAnsi"/>
          <w:lang w:eastAsia="en-GB"/>
        </w:rPr>
      </w:pPr>
    </w:p>
    <w:p w14:paraId="63A7A2EA" w14:textId="182A12D7" w:rsidR="00AA6897" w:rsidRDefault="00AA6897" w:rsidP="00AA6897">
      <w:pPr>
        <w:spacing w:line="360" w:lineRule="auto"/>
        <w:jc w:val="both"/>
        <w:rPr>
          <w:rFonts w:cstheme="minorHAnsi"/>
          <w:lang w:eastAsia="en-GB"/>
        </w:rPr>
      </w:pPr>
      <w:r>
        <w:rPr>
          <w:rFonts w:cstheme="minorHAnsi"/>
        </w:rPr>
        <w:t xml:space="preserve">The FRM4Veg programme of work aims to address many of these fundamental issues </w:t>
      </w:r>
      <w:r>
        <w:rPr>
          <w:rFonts w:cstheme="minorHAnsi"/>
          <w:lang w:eastAsia="en-GB"/>
        </w:rPr>
        <w:t xml:space="preserve">by iteratively </w:t>
      </w:r>
      <w:r w:rsidRPr="005D3D0D">
        <w:rPr>
          <w:rFonts w:cstheme="minorHAnsi"/>
          <w:lang w:eastAsia="en-GB"/>
        </w:rPr>
        <w:t>develop</w:t>
      </w:r>
      <w:r>
        <w:rPr>
          <w:rFonts w:cstheme="minorHAnsi"/>
          <w:lang w:eastAsia="en-GB"/>
        </w:rPr>
        <w:t>ing</w:t>
      </w:r>
      <w:r w:rsidRPr="005D3D0D">
        <w:rPr>
          <w:rFonts w:cstheme="minorHAnsi"/>
          <w:lang w:eastAsia="en-GB"/>
        </w:rPr>
        <w:t xml:space="preserve"> the methods and guidance documentation which should be followed when a) collecting both campaign and permanent FRMs, and b) performing validation of satellite derived products, over the vegetated land surface. </w:t>
      </w:r>
      <w:r>
        <w:rPr>
          <w:rFonts w:cstheme="minorHAnsi"/>
          <w:lang w:eastAsia="en-GB"/>
        </w:rPr>
        <w:t xml:space="preserve"> The methods and guidance will be developed based, where appropriate, on currently available international good practice vetted through the Committee on Earth Observation Satellites (CEOS) Working Group on Calibration and Validation (WGCV) Land Product Validation (LPV) Sub-group. Most importantly, liaison with the international EO community will be conducted through several channels including CEOS; other ESA mission advisory groups (MAGs); non-ESA mission groups where possible; with ground-based network such as ICOS, TERN, NEON; and with independent groups conducing validation studies. FRM4Veg will ensure the data collection and validation methods are state of the art and </w:t>
      </w:r>
      <w:r w:rsidR="006A6DC8">
        <w:rPr>
          <w:rFonts w:cstheme="minorHAnsi"/>
          <w:lang w:eastAsia="en-GB"/>
        </w:rPr>
        <w:t>practical</w:t>
      </w:r>
      <w:r>
        <w:rPr>
          <w:rFonts w:cstheme="minorHAnsi"/>
          <w:lang w:eastAsia="en-GB"/>
        </w:rPr>
        <w:t xml:space="preserve"> to implement by conducting an international round-robin exercise (SRIX4Veg) </w:t>
      </w:r>
      <w:r w:rsidR="00A2755A">
        <w:rPr>
          <w:rFonts w:cstheme="minorHAnsi"/>
          <w:lang w:eastAsia="en-GB"/>
        </w:rPr>
        <w:t>that</w:t>
      </w:r>
      <w:r>
        <w:rPr>
          <w:rFonts w:cstheme="minorHAnsi"/>
          <w:lang w:eastAsia="en-GB"/>
        </w:rPr>
        <w:t xml:space="preserve"> </w:t>
      </w:r>
      <w:r w:rsidR="00A2755A">
        <w:rPr>
          <w:rFonts w:cstheme="minorHAnsi"/>
          <w:lang w:eastAsia="en-GB"/>
        </w:rPr>
        <w:t>utilises</w:t>
      </w:r>
      <w:r>
        <w:rPr>
          <w:rFonts w:cstheme="minorHAnsi"/>
          <w:lang w:eastAsia="en-GB"/>
        </w:rPr>
        <w:t xml:space="preserve"> the developed methodology</w:t>
      </w:r>
      <w:r w:rsidR="00FE1119">
        <w:rPr>
          <w:rFonts w:cstheme="minorHAnsi"/>
          <w:lang w:eastAsia="en-GB"/>
        </w:rPr>
        <w:t xml:space="preserve"> and </w:t>
      </w:r>
      <w:r w:rsidR="00975866">
        <w:rPr>
          <w:rFonts w:cstheme="minorHAnsi"/>
          <w:lang w:eastAsia="en-GB"/>
        </w:rPr>
        <w:t>is further improved</w:t>
      </w:r>
      <w:r w:rsidR="00FE1119">
        <w:rPr>
          <w:rFonts w:cstheme="minorHAnsi"/>
          <w:lang w:eastAsia="en-GB"/>
        </w:rPr>
        <w:t xml:space="preserve"> based on </w:t>
      </w:r>
      <w:r w:rsidR="00975866">
        <w:rPr>
          <w:rFonts w:cstheme="minorHAnsi"/>
          <w:lang w:eastAsia="en-GB"/>
        </w:rPr>
        <w:t>community feedback</w:t>
      </w:r>
      <w:r>
        <w:rPr>
          <w:rFonts w:cstheme="minorHAnsi"/>
          <w:lang w:eastAsia="en-GB"/>
        </w:rPr>
        <w:t>.</w:t>
      </w:r>
    </w:p>
    <w:p w14:paraId="11BA7FFE" w14:textId="5ABAE473" w:rsidR="00F31606" w:rsidRDefault="00F31606" w:rsidP="00F31606">
      <w:pPr>
        <w:pStyle w:val="Heading3"/>
        <w:rPr>
          <w:color w:val="4472C4" w:themeColor="accent1"/>
        </w:rPr>
      </w:pPr>
      <w:bookmarkStart w:id="10" w:name="_Toc42182361"/>
      <w:r w:rsidRPr="00F31606">
        <w:rPr>
          <w:color w:val="4472C4" w:themeColor="accent1"/>
        </w:rPr>
        <w:lastRenderedPageBreak/>
        <w:t>FRM4Veg Documentation</w:t>
      </w:r>
      <w:bookmarkEnd w:id="10"/>
    </w:p>
    <w:p w14:paraId="4EDAEBF0" w14:textId="3F9A4010" w:rsidR="00B13085" w:rsidRDefault="00B13085" w:rsidP="00B13085"/>
    <w:p w14:paraId="426EF1F9" w14:textId="77777777" w:rsidR="00B13085" w:rsidRDefault="00B13085" w:rsidP="00B13085">
      <w:pPr>
        <w:rPr>
          <w:b/>
          <w:bCs/>
          <w:i/>
          <w:iCs/>
        </w:rPr>
      </w:pPr>
      <w:r>
        <w:rPr>
          <w:b/>
          <w:bCs/>
          <w:i/>
          <w:iCs/>
        </w:rPr>
        <w:t>FRM Protocols and Procedures (FPP)</w:t>
      </w:r>
    </w:p>
    <w:p w14:paraId="3545AF21" w14:textId="3D7C7230" w:rsidR="00B13085" w:rsidRDefault="00B13085" w:rsidP="00B13085">
      <w:pPr>
        <w:spacing w:line="360" w:lineRule="auto"/>
        <w:jc w:val="both"/>
      </w:pPr>
      <w:r>
        <w:t xml:space="preserve">Two living documents will be iteratively updated that detail the </w:t>
      </w:r>
      <w:r w:rsidRPr="0068439A">
        <w:t xml:space="preserve">Fiducial Reference Measurement (FRM) protocols and procedures for </w:t>
      </w:r>
      <w:r>
        <w:t xml:space="preserve">both </w:t>
      </w:r>
      <w:r w:rsidRPr="0068439A">
        <w:t xml:space="preserve">surface reflectance </w:t>
      </w:r>
      <w:r>
        <w:t xml:space="preserve">(FPP-SR) and FAPAR and Canopy Chlorophyll Content (FPP-FC) </w:t>
      </w:r>
      <w:r w:rsidRPr="0068439A">
        <w:t>over vegetated field sites.</w:t>
      </w:r>
      <w:r w:rsidRPr="0068439A">
        <w:rPr>
          <w:rFonts w:cstheme="minorHAnsi"/>
        </w:rPr>
        <w:t xml:space="preserve"> </w:t>
      </w:r>
      <w:r w:rsidRPr="0068439A">
        <w:t xml:space="preserve">The FRM Protocols and Procedures </w:t>
      </w:r>
      <w:r>
        <w:t xml:space="preserve">documents are manuals </w:t>
      </w:r>
      <w:r w:rsidRPr="0068439A">
        <w:t>for calibrating field instrumentation, conducting field measurements in relation to both campaign and permanent field acquisitions, as well as describing how those measurements should be treated for upscaling to represent satellite pixels.</w:t>
      </w:r>
      <w:r>
        <w:t xml:space="preserve"> The FPP documents are accompanied by supporting </w:t>
      </w:r>
      <w:r w:rsidRPr="005C363F">
        <w:rPr>
          <w:b/>
          <w:bCs/>
          <w:i/>
          <w:iCs/>
        </w:rPr>
        <w:t>Technical handbooks</w:t>
      </w:r>
      <w:r>
        <w:rPr>
          <w:b/>
          <w:bCs/>
        </w:rPr>
        <w:t xml:space="preserve"> </w:t>
      </w:r>
      <w:r>
        <w:t>for the individual instruments that are used in both field campaigns and for deployment at permanent FRM field sites. Their purpose is to provide an instrument technical description, together with information about maintenance and calibration history, pre-deployment uncertainties estimates, and steps required to achieve the FRM status.</w:t>
      </w:r>
    </w:p>
    <w:p w14:paraId="6A355E1F" w14:textId="77777777" w:rsidR="00FD13C6" w:rsidRPr="00A3745A" w:rsidRDefault="00FD13C6" w:rsidP="00B13085">
      <w:pPr>
        <w:spacing w:line="360" w:lineRule="auto"/>
        <w:jc w:val="both"/>
      </w:pPr>
    </w:p>
    <w:p w14:paraId="6CBFDF73" w14:textId="77777777" w:rsidR="00E20802" w:rsidRPr="00644CE8" w:rsidRDefault="00E20802" w:rsidP="00E20802">
      <w:pPr>
        <w:rPr>
          <w:b/>
          <w:bCs/>
          <w:i/>
          <w:iCs/>
        </w:rPr>
      </w:pPr>
      <w:r>
        <w:rPr>
          <w:b/>
          <w:bCs/>
          <w:i/>
          <w:iCs/>
        </w:rPr>
        <w:t>FRM Validation Methodology (VM)</w:t>
      </w:r>
    </w:p>
    <w:p w14:paraId="5A929373" w14:textId="1C68BE6E" w:rsidR="00E20802" w:rsidRDefault="00E20802" w:rsidP="00315995">
      <w:pPr>
        <w:spacing w:line="360" w:lineRule="auto"/>
        <w:jc w:val="both"/>
      </w:pPr>
      <w:r>
        <w:t xml:space="preserve">Two living documents will be iteratively updated that detail the </w:t>
      </w:r>
      <w:r w:rsidRPr="0068439A">
        <w:t xml:space="preserve">Fiducial Reference Measurement (FRM) </w:t>
      </w:r>
      <w:r>
        <w:t>validation methodology</w:t>
      </w:r>
      <w:r w:rsidRPr="0068439A">
        <w:t xml:space="preserve"> for </w:t>
      </w:r>
      <w:r>
        <w:t xml:space="preserve">both </w:t>
      </w:r>
      <w:r w:rsidRPr="0068439A">
        <w:t xml:space="preserve">surface reflectance </w:t>
      </w:r>
      <w:r>
        <w:t xml:space="preserve">(VM-SR) and FAPAR and Canopy Chlorophyll Content (VM-FC) </w:t>
      </w:r>
      <w:r w:rsidRPr="0068439A">
        <w:t>over vegetated field sites.</w:t>
      </w:r>
      <w:r w:rsidRPr="0068439A">
        <w:rPr>
          <w:rFonts w:cstheme="minorHAnsi"/>
        </w:rPr>
        <w:t xml:space="preserve"> </w:t>
      </w:r>
      <w:r w:rsidRPr="00EA2760">
        <w:t xml:space="preserve">The </w:t>
      </w:r>
      <w:r>
        <w:t>VM documents will</w:t>
      </w:r>
      <w:r w:rsidRPr="00EA2760">
        <w:t xml:space="preserve"> provide a</w:t>
      </w:r>
      <w:r>
        <w:t>n overview of methodology for validating Copernicus land surface reflectance, LAI, fAPAR and CCC data products over vegetated FRM-compliant field sites.</w:t>
      </w:r>
    </w:p>
    <w:p w14:paraId="795E3C67" w14:textId="77777777" w:rsidR="00FD13C6" w:rsidRDefault="00FD13C6" w:rsidP="00315995">
      <w:pPr>
        <w:spacing w:line="360" w:lineRule="auto"/>
        <w:jc w:val="both"/>
      </w:pPr>
    </w:p>
    <w:p w14:paraId="442F909F" w14:textId="77777777" w:rsidR="00E20802" w:rsidRPr="005C363F" w:rsidRDefault="00E20802" w:rsidP="00E20802">
      <w:pPr>
        <w:jc w:val="both"/>
        <w:rPr>
          <w:b/>
          <w:bCs/>
          <w:i/>
          <w:iCs/>
        </w:rPr>
      </w:pPr>
      <w:r w:rsidRPr="005C363F">
        <w:rPr>
          <w:b/>
          <w:bCs/>
          <w:i/>
          <w:iCs/>
        </w:rPr>
        <w:t>Campaign Implementation Plans</w:t>
      </w:r>
    </w:p>
    <w:p w14:paraId="5347C0D3" w14:textId="2F402F55" w:rsidR="00E20802" w:rsidRDefault="00E20802" w:rsidP="00E20802">
      <w:pPr>
        <w:spacing w:line="360" w:lineRule="auto"/>
        <w:jc w:val="both"/>
      </w:pPr>
      <w:r>
        <w:t xml:space="preserve">The campaign implementation plans (CIPs) detail the field site characteristics, campaign aims and objectives, provide an overview of the </w:t>
      </w:r>
      <w:r w:rsidR="009071F0">
        <w:t>in-situ</w:t>
      </w:r>
      <w:r>
        <w:t xml:space="preserve"> sampling strategy and instrumentation to be adopted within the campaigns, as well as the logistical details to implement successful campaign execution.  The CIPs will utilise detail from the FPP and VM documentation and may be used as a field work execution template for the international community to implement in the future. </w:t>
      </w:r>
    </w:p>
    <w:p w14:paraId="4C64A9B8" w14:textId="4CCFC984" w:rsidR="00FD13C6" w:rsidRDefault="00FD13C6" w:rsidP="00E20802">
      <w:pPr>
        <w:spacing w:line="360" w:lineRule="auto"/>
        <w:jc w:val="both"/>
      </w:pPr>
    </w:p>
    <w:p w14:paraId="5A72A657" w14:textId="7B644C31" w:rsidR="00FD13C6" w:rsidRDefault="00FD13C6" w:rsidP="00E20802">
      <w:pPr>
        <w:spacing w:line="360" w:lineRule="auto"/>
        <w:jc w:val="both"/>
      </w:pPr>
    </w:p>
    <w:p w14:paraId="51CBE5EA" w14:textId="1640346D" w:rsidR="00FD13C6" w:rsidRDefault="00FD13C6" w:rsidP="00E20802">
      <w:pPr>
        <w:spacing w:line="360" w:lineRule="auto"/>
        <w:jc w:val="both"/>
      </w:pPr>
    </w:p>
    <w:p w14:paraId="3827FB16" w14:textId="77777777" w:rsidR="00FD13C6" w:rsidRPr="00315995" w:rsidRDefault="00FD13C6" w:rsidP="00E20802">
      <w:pPr>
        <w:spacing w:line="360" w:lineRule="auto"/>
        <w:jc w:val="both"/>
      </w:pPr>
    </w:p>
    <w:p w14:paraId="02BD3D38" w14:textId="77777777" w:rsidR="00E20802" w:rsidRPr="005A08B1" w:rsidRDefault="00E20802" w:rsidP="00E20802">
      <w:pPr>
        <w:spacing w:line="360" w:lineRule="auto"/>
        <w:jc w:val="both"/>
        <w:rPr>
          <w:b/>
          <w:bCs/>
          <w:i/>
          <w:iCs/>
        </w:rPr>
      </w:pPr>
      <w:r w:rsidRPr="005A08B1">
        <w:rPr>
          <w:b/>
          <w:bCs/>
          <w:i/>
          <w:iCs/>
        </w:rPr>
        <w:lastRenderedPageBreak/>
        <w:t>Round Robin Inter-Comparison Exercise Plans</w:t>
      </w:r>
    </w:p>
    <w:p w14:paraId="7028C921" w14:textId="70D84B63" w:rsidR="00E20802" w:rsidRDefault="00E20802" w:rsidP="00E20802">
      <w:pPr>
        <w:spacing w:line="360" w:lineRule="auto"/>
        <w:jc w:val="both"/>
      </w:pPr>
      <w:r w:rsidRPr="005A08B1">
        <w:t xml:space="preserve">The round robin inter-comparison exercise for surface reflectance (SRIX4Veg) will enable practical implementation of and test for user-based differences in the interpretation of the FRM4Veg FPP-SR. </w:t>
      </w:r>
    </w:p>
    <w:p w14:paraId="34D11159" w14:textId="77777777" w:rsidR="00FD13C6" w:rsidRPr="005A08B1" w:rsidRDefault="00FD13C6" w:rsidP="00E20802">
      <w:pPr>
        <w:spacing w:line="360" w:lineRule="auto"/>
        <w:jc w:val="both"/>
      </w:pPr>
    </w:p>
    <w:p w14:paraId="67B8E31C" w14:textId="77777777" w:rsidR="00E20802" w:rsidRPr="005A08B1" w:rsidRDefault="00E20802" w:rsidP="00E20802">
      <w:pPr>
        <w:spacing w:line="360" w:lineRule="auto"/>
        <w:jc w:val="both"/>
        <w:rPr>
          <w:rFonts w:cstheme="minorHAnsi"/>
          <w:b/>
          <w:bCs/>
          <w:i/>
          <w:iCs/>
        </w:rPr>
      </w:pPr>
      <w:r w:rsidRPr="005A08B1">
        <w:rPr>
          <w:rFonts w:cstheme="minorHAnsi"/>
          <w:b/>
          <w:bCs/>
          <w:i/>
          <w:iCs/>
        </w:rPr>
        <w:t>ESA LPV Supersites Framework</w:t>
      </w:r>
    </w:p>
    <w:p w14:paraId="3AED8735" w14:textId="53934AE3" w:rsidR="00E20802" w:rsidRDefault="00E20802" w:rsidP="00E20802">
      <w:pPr>
        <w:spacing w:line="360" w:lineRule="auto"/>
        <w:jc w:val="both"/>
      </w:pPr>
      <w:r w:rsidRPr="005A08B1">
        <w:t>The ESA Supersites Framework document will scope the requirements for both campaign and permanently equipped sites for validation of satellite derived land surface parameters that shall be considered to become part of the network of CEOS WGCV LPV supersites. The document will outline for key vegetation parameters, the measurements required, current and future instrumentation, field and laboratory calibrations as well as the frequency of calibrations required, infrastructure, temporal and spatial sampling, as well as the data processing and delivery of FRM compliant validation information.</w:t>
      </w:r>
    </w:p>
    <w:p w14:paraId="54ACD236" w14:textId="77777777" w:rsidR="00FD13C6" w:rsidRPr="005A08B1" w:rsidRDefault="00FD13C6" w:rsidP="00E20802">
      <w:pPr>
        <w:spacing w:line="360" w:lineRule="auto"/>
        <w:jc w:val="both"/>
      </w:pPr>
    </w:p>
    <w:p w14:paraId="1B98728B" w14:textId="4568D485" w:rsidR="00B13085" w:rsidRDefault="00B13085" w:rsidP="00B13085"/>
    <w:p w14:paraId="2154D5DD" w14:textId="02AB5D4A" w:rsidR="00DC488F" w:rsidRPr="00BC4ECC" w:rsidRDefault="00DC488F" w:rsidP="00DC488F">
      <w:pPr>
        <w:pStyle w:val="Heading1"/>
        <w:rPr>
          <w:color w:val="2F5496" w:themeColor="accent1" w:themeShade="BF"/>
        </w:rPr>
      </w:pPr>
      <w:bookmarkStart w:id="11" w:name="_Toc42182362"/>
      <w:r w:rsidRPr="00BC4ECC">
        <w:rPr>
          <w:color w:val="2F5496" w:themeColor="accent1" w:themeShade="BF"/>
        </w:rPr>
        <w:t>Metrological concepts and uncertainty in measurement</w:t>
      </w:r>
      <w:bookmarkEnd w:id="11"/>
    </w:p>
    <w:p w14:paraId="0326A139" w14:textId="7C03CA2B" w:rsidR="00DC488F" w:rsidRDefault="00DC488F" w:rsidP="00DC488F"/>
    <w:p w14:paraId="386FC8E1" w14:textId="639D68A5" w:rsidR="00DC488F" w:rsidRDefault="00A03042" w:rsidP="00FD13C6">
      <w:pPr>
        <w:spacing w:line="360" w:lineRule="auto"/>
        <w:jc w:val="both"/>
        <w:rPr>
          <w:rFonts w:cstheme="minorHAnsi"/>
        </w:rPr>
      </w:pPr>
      <w:r w:rsidRPr="003E51B2">
        <w:rPr>
          <w:rFonts w:cstheme="minorHAnsi"/>
        </w:rPr>
        <w:t>When reporting the result of a measurement of a physical quantity, it is obligatory that some quantitative indication of the quality of the result be given so that those who use it can assess its reliability. Without such an indication, measurement results cannot be compared, either among themselves or with reference values given in a specification or standard. It is therefore necessary that there be a readily implemented, easily understood and generally accepted procedure for characteri</w:t>
      </w:r>
      <w:r>
        <w:rPr>
          <w:rFonts w:cstheme="minorHAnsi"/>
        </w:rPr>
        <w:t>s</w:t>
      </w:r>
      <w:r w:rsidRPr="003E51B2">
        <w:rPr>
          <w:rFonts w:cstheme="minorHAnsi"/>
        </w:rPr>
        <w:t>ing the quality or a result of a measurement, that is, for evaluating and expressing its uncertainty. The ideal method for evaluating and expressing the uncertainty of the result of a measurement should be</w:t>
      </w:r>
      <w:r w:rsidR="00C41DDD">
        <w:rPr>
          <w:rFonts w:cstheme="minorHAnsi"/>
        </w:rPr>
        <w:t xml:space="preserve"> </w:t>
      </w:r>
      <w:r w:rsidR="00C41DDD">
        <w:rPr>
          <w:rFonts w:cstheme="minorHAnsi"/>
        </w:rPr>
        <w:fldChar w:fldCharType="begin" w:fldLock="1"/>
      </w:r>
      <w:r w:rsidR="000D5CCC">
        <w:rPr>
          <w:rFonts w:cstheme="minorHAnsi"/>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742c897d-7840-4b76-9626-1cf60b423326"]}],"mendeley":{"formattedCitation":"[7]","plainTextFormattedCitation":"[7]","previouslyFormattedCitation":"[7]"},"properties":{"noteIndex":0},"schema":"https://github.com/citation-style-language/schema/raw/master/csl-citation.json"}</w:instrText>
      </w:r>
      <w:r w:rsidR="00C41DDD">
        <w:rPr>
          <w:rFonts w:cstheme="minorHAnsi"/>
        </w:rPr>
        <w:fldChar w:fldCharType="separate"/>
      </w:r>
      <w:r w:rsidR="00E74EA1" w:rsidRPr="00E74EA1">
        <w:rPr>
          <w:rFonts w:cstheme="minorHAnsi"/>
          <w:noProof/>
        </w:rPr>
        <w:t>[7]</w:t>
      </w:r>
      <w:r w:rsidR="00C41DDD">
        <w:rPr>
          <w:rFonts w:cstheme="minorHAnsi"/>
        </w:rPr>
        <w:fldChar w:fldCharType="end"/>
      </w:r>
      <w:r>
        <w:rPr>
          <w:rFonts w:cstheme="minorHAnsi"/>
        </w:rPr>
        <w:t>:</w:t>
      </w:r>
    </w:p>
    <w:p w14:paraId="013353A5" w14:textId="77777777" w:rsidR="00855C23" w:rsidRPr="003E51B2" w:rsidRDefault="00855C23" w:rsidP="00855C23">
      <w:pPr>
        <w:pStyle w:val="ListParagraph"/>
        <w:numPr>
          <w:ilvl w:val="0"/>
          <w:numId w:val="7"/>
        </w:numPr>
        <w:spacing w:line="360" w:lineRule="auto"/>
        <w:jc w:val="both"/>
        <w:rPr>
          <w:rFonts w:cstheme="minorHAnsi"/>
        </w:rPr>
      </w:pPr>
      <w:r w:rsidRPr="003E51B2">
        <w:rPr>
          <w:rFonts w:cstheme="minorHAnsi"/>
          <w:i/>
          <w:iCs/>
        </w:rPr>
        <w:t>Universal</w:t>
      </w:r>
      <w:r w:rsidRPr="003E51B2">
        <w:rPr>
          <w:rFonts w:cstheme="minorHAnsi"/>
        </w:rPr>
        <w:t>: the method should be applicable to all kinds of measurements and to all types of input data used in measurements.</w:t>
      </w:r>
    </w:p>
    <w:p w14:paraId="291C9877" w14:textId="77777777" w:rsidR="00855C23" w:rsidRPr="003E51B2" w:rsidRDefault="00855C23" w:rsidP="00855C23">
      <w:pPr>
        <w:spacing w:line="360" w:lineRule="auto"/>
        <w:jc w:val="both"/>
        <w:rPr>
          <w:rFonts w:cstheme="minorHAnsi"/>
        </w:rPr>
      </w:pPr>
      <w:r w:rsidRPr="003E51B2">
        <w:rPr>
          <w:rFonts w:cstheme="minorHAnsi"/>
        </w:rPr>
        <w:t>The actual quantity used to express uncertainty should be:</w:t>
      </w:r>
    </w:p>
    <w:p w14:paraId="4911D78F" w14:textId="77777777" w:rsidR="00855C23" w:rsidRPr="003E51B2" w:rsidRDefault="00855C23" w:rsidP="00855C23">
      <w:pPr>
        <w:pStyle w:val="ListParagraph"/>
        <w:numPr>
          <w:ilvl w:val="0"/>
          <w:numId w:val="7"/>
        </w:numPr>
        <w:spacing w:line="360" w:lineRule="auto"/>
        <w:jc w:val="both"/>
        <w:rPr>
          <w:rFonts w:cstheme="minorHAnsi"/>
        </w:rPr>
      </w:pPr>
      <w:r w:rsidRPr="003E51B2">
        <w:rPr>
          <w:rFonts w:cstheme="minorHAnsi"/>
          <w:i/>
          <w:iCs/>
        </w:rPr>
        <w:t>Internally consistent</w:t>
      </w:r>
      <w:r w:rsidRPr="003E51B2">
        <w:rPr>
          <w:rFonts w:cstheme="minorHAnsi"/>
        </w:rPr>
        <w:t>: it should be directly derivable from the other components that contribute to it, as well as independent of how these components are grouped and of the decomposition of the components into subcomponents.</w:t>
      </w:r>
    </w:p>
    <w:p w14:paraId="4C87757B" w14:textId="77777777" w:rsidR="00855C23" w:rsidRPr="003E51B2" w:rsidRDefault="00855C23" w:rsidP="00855C23">
      <w:pPr>
        <w:pStyle w:val="ListParagraph"/>
        <w:numPr>
          <w:ilvl w:val="0"/>
          <w:numId w:val="7"/>
        </w:numPr>
        <w:spacing w:line="360" w:lineRule="auto"/>
        <w:jc w:val="both"/>
        <w:rPr>
          <w:rFonts w:cstheme="minorHAnsi"/>
        </w:rPr>
      </w:pPr>
      <w:r w:rsidRPr="003E51B2">
        <w:rPr>
          <w:rFonts w:cstheme="minorHAnsi"/>
          <w:i/>
          <w:iCs/>
        </w:rPr>
        <w:lastRenderedPageBreak/>
        <w:t>Transferable</w:t>
      </w:r>
      <w:r w:rsidRPr="003E51B2">
        <w:rPr>
          <w:rFonts w:cstheme="minorHAnsi"/>
        </w:rPr>
        <w:t>: it should be possible to use directly the uncertainty evaluated for one result as a component in evaluating the uncertainty of another measurement in which the first result is used.</w:t>
      </w:r>
    </w:p>
    <w:p w14:paraId="03B2E0D4" w14:textId="3E91468A" w:rsidR="00855C23" w:rsidRPr="003E51B2" w:rsidRDefault="00855C23" w:rsidP="00855C23">
      <w:pPr>
        <w:spacing w:line="360" w:lineRule="auto"/>
        <w:jc w:val="both"/>
        <w:rPr>
          <w:rFonts w:cstheme="minorHAnsi"/>
        </w:rPr>
      </w:pPr>
      <w:r w:rsidRPr="003E51B2">
        <w:rPr>
          <w:rFonts w:cstheme="minorHAnsi"/>
        </w:rPr>
        <w:t xml:space="preserve">All measurements are subject to </w:t>
      </w:r>
      <w:r w:rsidRPr="000B7D44">
        <w:rPr>
          <w:rFonts w:cstheme="minorHAnsi"/>
        </w:rPr>
        <w:t>error</w:t>
      </w:r>
      <w:r w:rsidR="006D39C9">
        <w:rPr>
          <w:rFonts w:cstheme="minorHAnsi"/>
        </w:rPr>
        <w:t xml:space="preserve"> that represents </w:t>
      </w:r>
      <w:r w:rsidRPr="003E51B2">
        <w:rPr>
          <w:rFonts w:cstheme="minorHAnsi"/>
        </w:rPr>
        <w:t xml:space="preserve">the difference between the value obtained and the theoretical true value (or measurand). </w:t>
      </w:r>
    </w:p>
    <w:p w14:paraId="44B9B630" w14:textId="41EA909B" w:rsidR="00C41DDD" w:rsidRDefault="00855C23" w:rsidP="00855C23">
      <w:pPr>
        <w:rPr>
          <w:rFonts w:cstheme="minorHAnsi"/>
        </w:rPr>
      </w:pPr>
      <w:r w:rsidRPr="003E51B2">
        <w:rPr>
          <w:rFonts w:cstheme="minorHAnsi"/>
        </w:rPr>
        <w:t>Five classifications of error by source are proposed in</w:t>
      </w:r>
      <w:r w:rsidR="00AD02F2">
        <w:rPr>
          <w:rFonts w:cstheme="minorHAnsi"/>
        </w:rPr>
        <w:t xml:space="preserve"> </w:t>
      </w:r>
      <w:r w:rsidR="00652D75">
        <w:rPr>
          <w:rFonts w:cstheme="minorHAnsi"/>
        </w:rPr>
        <w:fldChar w:fldCharType="begin" w:fldLock="1"/>
      </w:r>
      <w:r w:rsidR="000D5CCC">
        <w:rPr>
          <w:rFonts w:cstheme="minorHAnsi"/>
        </w:rPr>
        <w:instrText>ADDIN CSL_CITATION {"citationItems":[{"id":"ITEM-1","itemData":{"DOI":"10.5194/amt-8-4699-2015","ISSN":"18678548","abstract":"This paper discusses a best-practice representation of uncertainty in satellite remote sensing data. An estimate of uncertainty is necessary to make appropriate use of the information conveyed by a measurement. Traditional error propagation quantifies the uncertainty in a measurement due to well-understood perturbations in a measurement and in auxiliary data - known, quantified \"unknowns\". The under-constrained nature of most satellite remote sensing observations requires the use of various approximations and assumptions that produce non-linear systematic errors that are not readily assessed - known, unquantifiable \"unknowns\". Additional errors result from the inability to resolve all scales of variation in the measured quantity - unknown \"unknowns\". The latter two categories of error are dominant in under-constrained remote sensing retrievals, and the difficulty of their quantification limits the utility of existing uncertainty estimates, degrading confidence in such data. This paper proposes the use of ensemble techniques to present multiple self-consistent realisations of a data set as a means of depicting unquantified uncertainties. These are generated using various systems (different algorithms or forward models) believed to be appropriate to the conditions observed. Benefiting from the experience of the climate modelling community, an ensemble provides a user with a more complete representation of the uncertainty as understood by the data producer and greater freedom to consider different realisations of the data.","author":[{"dropping-particle":"","family":"Povey","given":"A. C.","non-dropping-particle":"","parse-names":false,"suffix":""},{"dropping-particle":"","family":"Grainger","given":"R. G.","non-dropping-particle":"","parse-names":false,"suffix":""}],"container-title":"Atmospheric Measurement Techniques","id":"ITEM-1","issue":"11","issued":{"date-parts":[["2015"]]},"page":"4699-4718","title":"Known and unknown unknowns: Uncertainty estimation in satellite remote sensing","type":"article-journal","volume":"8"},"uris":["http://www.mendeley.com/documents/?uuid=4c055845-23a7-4158-843d-4c492103c1c4"]}],"mendeley":{"formattedCitation":"[23]","plainTextFormattedCitation":"[23]","previouslyFormattedCitation":"[23]"},"properties":{"noteIndex":0},"schema":"https://github.com/citation-style-language/schema/raw/master/csl-citation.json"}</w:instrText>
      </w:r>
      <w:r w:rsidR="00652D75">
        <w:rPr>
          <w:rFonts w:cstheme="minorHAnsi"/>
        </w:rPr>
        <w:fldChar w:fldCharType="separate"/>
      </w:r>
      <w:r w:rsidR="00E74EA1" w:rsidRPr="00E74EA1">
        <w:rPr>
          <w:rFonts w:cstheme="minorHAnsi"/>
          <w:noProof/>
        </w:rPr>
        <w:t>[23]</w:t>
      </w:r>
      <w:r w:rsidR="00652D75">
        <w:rPr>
          <w:rFonts w:cstheme="minorHAnsi"/>
        </w:rPr>
        <w:fldChar w:fldCharType="end"/>
      </w:r>
      <w:r>
        <w:rPr>
          <w:rFonts w:cstheme="minorHAnsi"/>
        </w:rPr>
        <w:t>:</w:t>
      </w:r>
    </w:p>
    <w:p w14:paraId="2CFC4FDF" w14:textId="77777777" w:rsidR="00AD02F2" w:rsidRPr="003E51B2" w:rsidRDefault="00AD02F2" w:rsidP="00AD02F2">
      <w:pPr>
        <w:pStyle w:val="ListParagraph"/>
        <w:numPr>
          <w:ilvl w:val="0"/>
          <w:numId w:val="8"/>
        </w:numPr>
        <w:autoSpaceDE w:val="0"/>
        <w:autoSpaceDN w:val="0"/>
        <w:adjustRightInd w:val="0"/>
        <w:spacing w:after="0" w:line="360" w:lineRule="auto"/>
        <w:jc w:val="both"/>
        <w:rPr>
          <w:rFonts w:cstheme="minorHAnsi"/>
        </w:rPr>
      </w:pPr>
      <w:r w:rsidRPr="003E51B2">
        <w:rPr>
          <w:rFonts w:cstheme="minorHAnsi"/>
          <w:i/>
          <w:iCs/>
        </w:rPr>
        <w:t>Measurement errors</w:t>
      </w:r>
      <w:r w:rsidRPr="003E51B2">
        <w:rPr>
          <w:rFonts w:cstheme="minorHAnsi"/>
        </w:rPr>
        <w:t>: result from statistical variation in the measurand or random fluctuations in the detector and electronics. To assess these accurately, it is important that a measurement is traceable to a well-documented standard.</w:t>
      </w:r>
    </w:p>
    <w:p w14:paraId="6690D935" w14:textId="77777777" w:rsidR="00AD02F2" w:rsidRPr="003E51B2" w:rsidRDefault="00AD02F2" w:rsidP="00AD02F2">
      <w:pPr>
        <w:pStyle w:val="ListParagraph"/>
        <w:numPr>
          <w:ilvl w:val="0"/>
          <w:numId w:val="8"/>
        </w:numPr>
        <w:autoSpaceDE w:val="0"/>
        <w:autoSpaceDN w:val="0"/>
        <w:adjustRightInd w:val="0"/>
        <w:spacing w:after="0" w:line="360" w:lineRule="auto"/>
        <w:jc w:val="both"/>
        <w:rPr>
          <w:rFonts w:cstheme="minorHAnsi"/>
        </w:rPr>
      </w:pPr>
      <w:r w:rsidRPr="003E51B2">
        <w:rPr>
          <w:rFonts w:cstheme="minorHAnsi"/>
          <w:i/>
          <w:iCs/>
        </w:rPr>
        <w:t>Parameter errors</w:t>
      </w:r>
      <w:r w:rsidRPr="003E51B2">
        <w:rPr>
          <w:rFonts w:cstheme="minorHAnsi"/>
        </w:rPr>
        <w:t>: retrievals using satellite observations virtually always require auxiliary information as there is insufficient information available to retrieve all parameters of the atmosphere and the surface simultaneously.</w:t>
      </w:r>
    </w:p>
    <w:p w14:paraId="5DE9A3C3" w14:textId="77777777" w:rsidR="00AD02F2" w:rsidRPr="003E51B2" w:rsidRDefault="00AD02F2" w:rsidP="00AD02F2">
      <w:pPr>
        <w:pStyle w:val="ListParagraph"/>
        <w:numPr>
          <w:ilvl w:val="0"/>
          <w:numId w:val="8"/>
        </w:numPr>
        <w:autoSpaceDE w:val="0"/>
        <w:autoSpaceDN w:val="0"/>
        <w:adjustRightInd w:val="0"/>
        <w:spacing w:after="0" w:line="360" w:lineRule="auto"/>
        <w:jc w:val="both"/>
        <w:rPr>
          <w:rFonts w:cstheme="minorHAnsi"/>
        </w:rPr>
      </w:pPr>
      <w:r w:rsidRPr="003E51B2">
        <w:rPr>
          <w:rFonts w:cstheme="minorHAnsi"/>
          <w:i/>
          <w:iCs/>
        </w:rPr>
        <w:t>Approximation errors</w:t>
      </w:r>
      <w:r w:rsidRPr="003E51B2">
        <w:rPr>
          <w:rFonts w:cstheme="minorHAnsi"/>
        </w:rPr>
        <w:t xml:space="preserve">: it is not always practical to evaluate the most precise formulation of a forward model. For example, the atmosphere may be approximated as plane parallel to simplify the equations or look-up tables (LUTs) may be used rather than solving the equations of radiative transfer. </w:t>
      </w:r>
    </w:p>
    <w:p w14:paraId="673C640D" w14:textId="77777777" w:rsidR="00AD02F2" w:rsidRPr="003E51B2" w:rsidRDefault="00AD02F2" w:rsidP="00AD02F2">
      <w:pPr>
        <w:pStyle w:val="ListParagraph"/>
        <w:numPr>
          <w:ilvl w:val="0"/>
          <w:numId w:val="8"/>
        </w:numPr>
        <w:autoSpaceDE w:val="0"/>
        <w:autoSpaceDN w:val="0"/>
        <w:adjustRightInd w:val="0"/>
        <w:spacing w:after="0" w:line="360" w:lineRule="auto"/>
        <w:jc w:val="both"/>
        <w:rPr>
          <w:rFonts w:cstheme="minorHAnsi"/>
        </w:rPr>
      </w:pPr>
      <w:r w:rsidRPr="003E51B2">
        <w:rPr>
          <w:rFonts w:cstheme="minorHAnsi"/>
          <w:i/>
          <w:iCs/>
        </w:rPr>
        <w:t>Resolution errors</w:t>
      </w:r>
      <w:r w:rsidRPr="003E51B2">
        <w:rPr>
          <w:rFonts w:cstheme="minorHAnsi"/>
        </w:rPr>
        <w:t>: Resolution errors are a function of the pixel size and the variability of the measured quantity.</w:t>
      </w:r>
    </w:p>
    <w:p w14:paraId="12D73C5D" w14:textId="77777777" w:rsidR="00AD02F2" w:rsidRPr="003E51B2" w:rsidRDefault="00AD02F2" w:rsidP="00AD02F2">
      <w:pPr>
        <w:pStyle w:val="ListParagraph"/>
        <w:numPr>
          <w:ilvl w:val="0"/>
          <w:numId w:val="8"/>
        </w:numPr>
        <w:autoSpaceDE w:val="0"/>
        <w:autoSpaceDN w:val="0"/>
        <w:adjustRightInd w:val="0"/>
        <w:spacing w:after="0" w:line="360" w:lineRule="auto"/>
        <w:jc w:val="both"/>
        <w:rPr>
          <w:rFonts w:cstheme="minorHAnsi"/>
        </w:rPr>
      </w:pPr>
      <w:r w:rsidRPr="003E51B2">
        <w:rPr>
          <w:rFonts w:cstheme="minorHAnsi"/>
          <w:i/>
          <w:iCs/>
        </w:rPr>
        <w:t>System errors</w:t>
      </w:r>
      <w:r w:rsidRPr="003E51B2">
        <w:rPr>
          <w:rFonts w:cstheme="minorHAnsi"/>
        </w:rPr>
        <w:t xml:space="preserve">: results from the difference between the assumed system and reality. </w:t>
      </w:r>
    </w:p>
    <w:p w14:paraId="66337601" w14:textId="77777777" w:rsidR="00AD02F2" w:rsidRPr="003E51B2" w:rsidRDefault="00AD02F2" w:rsidP="00AD02F2">
      <w:pPr>
        <w:autoSpaceDE w:val="0"/>
        <w:autoSpaceDN w:val="0"/>
        <w:adjustRightInd w:val="0"/>
        <w:spacing w:after="0" w:line="360" w:lineRule="auto"/>
        <w:jc w:val="both"/>
        <w:rPr>
          <w:rFonts w:cstheme="minorHAnsi"/>
        </w:rPr>
      </w:pPr>
    </w:p>
    <w:p w14:paraId="241999A4" w14:textId="19241633" w:rsidR="00AD02F2" w:rsidRDefault="00AD02F2" w:rsidP="00AD02F2">
      <w:pPr>
        <w:autoSpaceDE w:val="0"/>
        <w:autoSpaceDN w:val="0"/>
        <w:adjustRightInd w:val="0"/>
        <w:spacing w:after="0" w:line="360" w:lineRule="auto"/>
        <w:jc w:val="both"/>
        <w:rPr>
          <w:rFonts w:cstheme="minorHAnsi"/>
        </w:rPr>
      </w:pPr>
      <w:r w:rsidRPr="003E51B2">
        <w:rPr>
          <w:rFonts w:cstheme="minorHAnsi"/>
        </w:rPr>
        <w:t>Measurement and parameter errors are both intrinsic sources of uncertainty in a retrieval. Measurement errors affect the quantities measured and analysed by the retrieval. Parameter errors are propagated from auxiliary inputs, such as meteorological data or empirical constants. Resolution errors result from finite sampling of a constantly varying system; these can be especially important as satellites do not sample the environment randomly but with a systematic bias due to the satellite’s orbit and quality control or filtering.</w:t>
      </w:r>
    </w:p>
    <w:p w14:paraId="187459E7" w14:textId="77777777" w:rsidR="00AD02F2" w:rsidRPr="003E51B2" w:rsidRDefault="00AD02F2" w:rsidP="00AD02F2">
      <w:pPr>
        <w:autoSpaceDE w:val="0"/>
        <w:autoSpaceDN w:val="0"/>
        <w:adjustRightInd w:val="0"/>
        <w:spacing w:after="0" w:line="360" w:lineRule="auto"/>
        <w:jc w:val="both"/>
        <w:rPr>
          <w:rFonts w:cstheme="minorHAnsi"/>
        </w:rPr>
      </w:pPr>
    </w:p>
    <w:p w14:paraId="6881D09B" w14:textId="26596764" w:rsidR="00AD02F2" w:rsidRPr="003E51B2" w:rsidRDefault="00AD02F2" w:rsidP="00AD02F2">
      <w:pPr>
        <w:spacing w:line="360" w:lineRule="auto"/>
        <w:jc w:val="both"/>
      </w:pPr>
      <w:r w:rsidRPr="003E51B2">
        <w:t xml:space="preserve">The exact error of a result of a measurement is, in general, </w:t>
      </w:r>
      <w:r w:rsidRPr="005850F8">
        <w:rPr>
          <w:i/>
          <w:iCs/>
        </w:rPr>
        <w:t>unknown and unknowable</w:t>
      </w:r>
      <w:r w:rsidRPr="003E51B2">
        <w:t xml:space="preserve">. All one can do is estimate the values of input quantities, including corrections for recognized systematic effects, together with their </w:t>
      </w:r>
      <w:r w:rsidRPr="000B7D44">
        <w:t>standard uncertainties</w:t>
      </w:r>
      <w:r w:rsidRPr="003E51B2">
        <w:t xml:space="preserve">, either from unknown probability distributions that are sampled by means of repeated observations, or from subjective or a priori distributions based on the pool of available information; and then calculate the measurement result from the estimated values </w:t>
      </w:r>
      <w:r w:rsidRPr="003E51B2">
        <w:lastRenderedPageBreak/>
        <w:t>of the input quantities and the combined standard uncertainty of that result from the standard uncertainties of those estimated values.</w:t>
      </w:r>
    </w:p>
    <w:p w14:paraId="572CAF9C" w14:textId="77777777" w:rsidR="00AD02F2" w:rsidRPr="003E51B2" w:rsidRDefault="00AD02F2" w:rsidP="00AD02F2">
      <w:pPr>
        <w:spacing w:line="360" w:lineRule="auto"/>
        <w:jc w:val="both"/>
        <w:rPr>
          <w:rFonts w:cstheme="minorHAnsi"/>
        </w:rPr>
      </w:pPr>
      <w:r w:rsidRPr="003E51B2">
        <w:rPr>
          <w:rFonts w:cstheme="minorHAnsi"/>
        </w:rPr>
        <w:t>The uncertainty on a measurement describes the dispersion of the values that could reasonably be attributed to the measurand</w:t>
      </w:r>
      <w:r>
        <w:rPr>
          <w:rFonts w:cstheme="minorHAnsi"/>
        </w:rPr>
        <w:t xml:space="preserve"> and it </w:t>
      </w:r>
      <w:r w:rsidRPr="003E51B2">
        <w:rPr>
          <w:rFonts w:cstheme="minorHAnsi"/>
        </w:rPr>
        <w:t>may be, for example, a standard deviation or the half-width of an interval having a stated level of confidence.</w:t>
      </w:r>
    </w:p>
    <w:p w14:paraId="2B166CC5" w14:textId="77777777" w:rsidR="00383199" w:rsidRDefault="00AD02F2" w:rsidP="00383199">
      <w:pPr>
        <w:keepNext/>
        <w:spacing w:line="360" w:lineRule="auto"/>
        <w:jc w:val="center"/>
      </w:pPr>
      <w:r w:rsidRPr="005A1E98">
        <w:rPr>
          <w:rFonts w:cstheme="minorHAnsi"/>
          <w:noProof/>
          <w:sz w:val="18"/>
          <w:szCs w:val="18"/>
        </w:rPr>
        <w:drawing>
          <wp:inline distT="0" distB="0" distL="0" distR="0" wp14:anchorId="76380F5D" wp14:editId="5FB2532D">
            <wp:extent cx="3251594" cy="180066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8.PNG"/>
                    <pic:cNvPicPr/>
                  </pic:nvPicPr>
                  <pic:blipFill rotWithShape="1">
                    <a:blip r:embed="rId16">
                      <a:extLst>
                        <a:ext uri="{28A0092B-C50C-407E-A947-70E740481C1C}">
                          <a14:useLocalDpi xmlns:a14="http://schemas.microsoft.com/office/drawing/2010/main" val="0"/>
                        </a:ext>
                      </a:extLst>
                    </a:blip>
                    <a:srcRect l="7494" t="5888" r="4823"/>
                    <a:stretch/>
                  </pic:blipFill>
                  <pic:spPr bwMode="auto">
                    <a:xfrm>
                      <a:off x="0" y="0"/>
                      <a:ext cx="3374505" cy="1868731"/>
                    </a:xfrm>
                    <a:prstGeom prst="rect">
                      <a:avLst/>
                    </a:prstGeom>
                    <a:ln>
                      <a:noFill/>
                    </a:ln>
                    <a:extLst>
                      <a:ext uri="{53640926-AAD7-44D8-BBD7-CCE9431645EC}">
                        <a14:shadowObscured xmlns:a14="http://schemas.microsoft.com/office/drawing/2010/main"/>
                      </a:ext>
                    </a:extLst>
                  </pic:spPr>
                </pic:pic>
              </a:graphicData>
            </a:graphic>
          </wp:inline>
        </w:drawing>
      </w:r>
    </w:p>
    <w:p w14:paraId="512950A3" w14:textId="29724997" w:rsidR="00383199" w:rsidRPr="00383199" w:rsidRDefault="00383199" w:rsidP="00383199">
      <w:pPr>
        <w:pStyle w:val="Caption"/>
        <w:spacing w:line="360" w:lineRule="auto"/>
        <w:jc w:val="both"/>
        <w:rPr>
          <w:rFonts w:cstheme="minorHAnsi"/>
          <w:color w:val="4472C4" w:themeColor="accent1"/>
        </w:rPr>
      </w:pPr>
      <w:bookmarkStart w:id="12" w:name="_Toc42180694"/>
      <w:r w:rsidRPr="00383199">
        <w:rPr>
          <w:color w:val="4472C4" w:themeColor="accent1"/>
        </w:rPr>
        <w:t xml:space="preserve">Figure </w:t>
      </w:r>
      <w:r w:rsidRPr="00383199">
        <w:rPr>
          <w:color w:val="4472C4" w:themeColor="accent1"/>
        </w:rPr>
        <w:fldChar w:fldCharType="begin"/>
      </w:r>
      <w:r w:rsidRPr="00383199">
        <w:rPr>
          <w:color w:val="4472C4" w:themeColor="accent1"/>
        </w:rPr>
        <w:instrText xml:space="preserve"> SEQ Figure \* ARABIC </w:instrText>
      </w:r>
      <w:r w:rsidRPr="00383199">
        <w:rPr>
          <w:color w:val="4472C4" w:themeColor="accent1"/>
        </w:rPr>
        <w:fldChar w:fldCharType="separate"/>
      </w:r>
      <w:r w:rsidR="00003B86">
        <w:rPr>
          <w:noProof/>
          <w:color w:val="4472C4" w:themeColor="accent1"/>
        </w:rPr>
        <w:t>2</w:t>
      </w:r>
      <w:r w:rsidRPr="00383199">
        <w:rPr>
          <w:color w:val="4472C4" w:themeColor="accent1"/>
        </w:rPr>
        <w:fldChar w:fldCharType="end"/>
      </w:r>
      <w:r w:rsidRPr="00383199">
        <w:rPr>
          <w:color w:val="4472C4" w:themeColor="accent1"/>
        </w:rPr>
        <w:t>: An illustration of error and uncertainty. The error (purple arrow) is the difference between the true value of the measurand (solid blue) and the value measured (dashed red).</w:t>
      </w:r>
      <w:r w:rsidRPr="00383199">
        <w:rPr>
          <w:rFonts w:cstheme="minorHAnsi"/>
          <w:color w:val="4472C4" w:themeColor="accent1"/>
        </w:rPr>
        <w:t xml:space="preserve"> The black line shows the frequency distribution of values that would be obtained if the measurement were infinitely repeated, referred to as the distribution of an error. (a) A conventional random error. b) An error with a systematic component. This cannot be characterised with a single value. </w:t>
      </w:r>
      <w:r w:rsidRPr="00383199">
        <w:rPr>
          <w:rFonts w:cstheme="minorHAnsi"/>
          <w:color w:val="4472C4" w:themeColor="accent1"/>
        </w:rPr>
        <w:fldChar w:fldCharType="begin" w:fldLock="1"/>
      </w:r>
      <w:r w:rsidR="000D5CCC">
        <w:rPr>
          <w:rFonts w:cstheme="minorHAnsi"/>
          <w:color w:val="4472C4" w:themeColor="accent1"/>
        </w:rPr>
        <w:instrText>ADDIN CSL_CITATION {"citationItems":[{"id":"ITEM-1","itemData":{"DOI":"10.5194/amt-8-4699-2015","ISSN":"18678548","abstract":"This paper discusses a best-practice representation of uncertainty in satellite remote sensing data. An estimate of uncertainty is necessary to make appropriate use of the information conveyed by a measurement. Traditional error propagation quantifies the uncertainty in a measurement due to well-understood perturbations in a measurement and in auxiliary data - known, quantified \"unknowns\". The under-constrained nature of most satellite remote sensing observations requires the use of various approximations and assumptions that produce non-linear systematic errors that are not readily assessed - known, unquantifiable \"unknowns\". Additional errors result from the inability to resolve all scales of variation in the measured quantity - unknown \"unknowns\". The latter two categories of error are dominant in under-constrained remote sensing retrievals, and the difficulty of their quantification limits the utility of existing uncertainty estimates, degrading confidence in such data. This paper proposes the use of ensemble techniques to present multiple self-consistent realisations of a data set as a means of depicting unquantified uncertainties. These are generated using various systems (different algorithms or forward models) believed to be appropriate to the conditions observed. Benefiting from the experience of the climate modelling community, an ensemble provides a user with a more complete representation of the uncertainty as understood by the data producer and greater freedom to consider different realisations of the data.","author":[{"dropping-particle":"","family":"Povey","given":"A. C.","non-dropping-particle":"","parse-names":false,"suffix":""},{"dropping-particle":"","family":"Grainger","given":"R. G.","non-dropping-particle":"","parse-names":false,"suffix":""}],"container-title":"Atmospheric Measurement Techniques","id":"ITEM-1","issue":"11","issued":{"date-parts":[["2015"]]},"page":"4699-4718","title":"Known and unknown unknowns: Uncertainty estimation in satellite remote sensing","type":"article-journal","volume":"8"},"uris":["http://www.mendeley.com/documents/?uuid=4c055845-23a7-4158-843d-4c492103c1c4"]}],"mendeley":{"formattedCitation":"[23]","plainTextFormattedCitation":"[23]","previouslyFormattedCitation":"[23]"},"properties":{"noteIndex":0},"schema":"https://github.com/citation-style-language/schema/raw/master/csl-citation.json"}</w:instrText>
      </w:r>
      <w:r w:rsidRPr="00383199">
        <w:rPr>
          <w:rFonts w:cstheme="minorHAnsi"/>
          <w:color w:val="4472C4" w:themeColor="accent1"/>
        </w:rPr>
        <w:fldChar w:fldCharType="separate"/>
      </w:r>
      <w:r w:rsidR="00E74EA1" w:rsidRPr="00E74EA1">
        <w:rPr>
          <w:rFonts w:cstheme="minorHAnsi"/>
          <w:i w:val="0"/>
          <w:noProof/>
          <w:color w:val="4472C4" w:themeColor="accent1"/>
        </w:rPr>
        <w:t>[23]</w:t>
      </w:r>
      <w:bookmarkEnd w:id="12"/>
      <w:r w:rsidRPr="00383199">
        <w:rPr>
          <w:rFonts w:cstheme="minorHAnsi"/>
          <w:color w:val="4472C4" w:themeColor="accent1"/>
        </w:rPr>
        <w:fldChar w:fldCharType="end"/>
      </w:r>
    </w:p>
    <w:p w14:paraId="6859E3B0" w14:textId="225556B1" w:rsidR="00AD02F2" w:rsidRPr="005A1E98" w:rsidRDefault="00AD02F2" w:rsidP="00383199">
      <w:pPr>
        <w:pStyle w:val="Caption"/>
        <w:jc w:val="center"/>
        <w:rPr>
          <w:rFonts w:cstheme="minorHAnsi"/>
        </w:rPr>
      </w:pPr>
    </w:p>
    <w:p w14:paraId="2A43A8FC" w14:textId="77777777" w:rsidR="00383199" w:rsidRDefault="00FD6B9B" w:rsidP="00383199">
      <w:pPr>
        <w:keepNext/>
        <w:jc w:val="center"/>
      </w:pPr>
      <w:r w:rsidRPr="00C85190">
        <w:rPr>
          <w:noProof/>
          <w:sz w:val="20"/>
          <w:szCs w:val="20"/>
        </w:rPr>
        <w:lastRenderedPageBreak/>
        <w:drawing>
          <wp:inline distT="0" distB="0" distL="0" distR="0" wp14:anchorId="2929D849" wp14:editId="19B880E5">
            <wp:extent cx="3425483" cy="4524856"/>
            <wp:effectExtent l="0" t="0" r="3810" b="9525"/>
            <wp:docPr id="19" name="Picture 19"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PNG"/>
                    <pic:cNvPicPr/>
                  </pic:nvPicPr>
                  <pic:blipFill rotWithShape="1">
                    <a:blip r:embed="rId17">
                      <a:extLst>
                        <a:ext uri="{28A0092B-C50C-407E-A947-70E740481C1C}">
                          <a14:useLocalDpi xmlns:a14="http://schemas.microsoft.com/office/drawing/2010/main" val="0"/>
                        </a:ext>
                      </a:extLst>
                    </a:blip>
                    <a:srcRect l="-1" r="804" b="5316"/>
                    <a:stretch/>
                  </pic:blipFill>
                  <pic:spPr bwMode="auto">
                    <a:xfrm>
                      <a:off x="0" y="0"/>
                      <a:ext cx="3484077" cy="4602255"/>
                    </a:xfrm>
                    <a:prstGeom prst="rect">
                      <a:avLst/>
                    </a:prstGeom>
                    <a:ln>
                      <a:noFill/>
                    </a:ln>
                    <a:extLst>
                      <a:ext uri="{53640926-AAD7-44D8-BBD7-CCE9431645EC}">
                        <a14:shadowObscured xmlns:a14="http://schemas.microsoft.com/office/drawing/2010/main"/>
                      </a:ext>
                    </a:extLst>
                  </pic:spPr>
                </pic:pic>
              </a:graphicData>
            </a:graphic>
          </wp:inline>
        </w:drawing>
      </w:r>
    </w:p>
    <w:p w14:paraId="2CC30F9F" w14:textId="4449A72F" w:rsidR="00E33DF7" w:rsidRPr="00ED55C3" w:rsidRDefault="00383199" w:rsidP="00ED55C3">
      <w:pPr>
        <w:keepNext/>
        <w:jc w:val="center"/>
        <w:rPr>
          <w:i/>
          <w:iCs/>
          <w:color w:val="4472C4" w:themeColor="accent1"/>
          <w:sz w:val="18"/>
          <w:szCs w:val="18"/>
        </w:rPr>
      </w:pPr>
      <w:bookmarkStart w:id="13" w:name="_Toc42180695"/>
      <w:r w:rsidRPr="00383199">
        <w:rPr>
          <w:i/>
          <w:iCs/>
          <w:color w:val="4472C4" w:themeColor="accent1"/>
          <w:sz w:val="18"/>
          <w:szCs w:val="18"/>
        </w:rPr>
        <w:t xml:space="preserve">Figure </w:t>
      </w:r>
      <w:r w:rsidRPr="00383199">
        <w:rPr>
          <w:i/>
          <w:iCs/>
          <w:color w:val="4472C4" w:themeColor="accent1"/>
          <w:sz w:val="18"/>
          <w:szCs w:val="18"/>
        </w:rPr>
        <w:fldChar w:fldCharType="begin"/>
      </w:r>
      <w:r w:rsidRPr="00383199">
        <w:rPr>
          <w:i/>
          <w:iCs/>
          <w:color w:val="4472C4" w:themeColor="accent1"/>
          <w:sz w:val="18"/>
          <w:szCs w:val="18"/>
        </w:rPr>
        <w:instrText xml:space="preserve"> SEQ Figure \* ARABIC </w:instrText>
      </w:r>
      <w:r w:rsidRPr="00383199">
        <w:rPr>
          <w:i/>
          <w:iCs/>
          <w:color w:val="4472C4" w:themeColor="accent1"/>
          <w:sz w:val="18"/>
          <w:szCs w:val="18"/>
        </w:rPr>
        <w:fldChar w:fldCharType="separate"/>
      </w:r>
      <w:r w:rsidR="00003B86">
        <w:rPr>
          <w:i/>
          <w:iCs/>
          <w:noProof/>
          <w:color w:val="4472C4" w:themeColor="accent1"/>
          <w:sz w:val="18"/>
          <w:szCs w:val="18"/>
        </w:rPr>
        <w:t>3</w:t>
      </w:r>
      <w:r w:rsidRPr="00383199">
        <w:rPr>
          <w:i/>
          <w:iCs/>
          <w:color w:val="4472C4" w:themeColor="accent1"/>
          <w:sz w:val="18"/>
          <w:szCs w:val="18"/>
        </w:rPr>
        <w:fldChar w:fldCharType="end"/>
      </w:r>
      <w:r w:rsidRPr="00383199">
        <w:rPr>
          <w:i/>
          <w:iCs/>
          <w:color w:val="4472C4" w:themeColor="accent1"/>
          <w:sz w:val="18"/>
          <w:szCs w:val="18"/>
        </w:rPr>
        <w:t xml:space="preserve">: Graphical illustration of value, error and uncertainty </w:t>
      </w:r>
      <w:r w:rsidRPr="00383199">
        <w:rPr>
          <w:i/>
          <w:iCs/>
          <w:color w:val="4472C4" w:themeColor="accent1"/>
          <w:sz w:val="18"/>
          <w:szCs w:val="18"/>
        </w:rPr>
        <w:fldChar w:fldCharType="begin" w:fldLock="1"/>
      </w:r>
      <w:r w:rsidR="000D5CCC">
        <w:rPr>
          <w:i/>
          <w:iCs/>
          <w:color w:val="4472C4" w:themeColor="accent1"/>
          <w:sz w:val="18"/>
          <w:szCs w:val="18"/>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742c897d-7840-4b76-9626-1cf60b423326"]}],"mendeley":{"formattedCitation":"[7]","plainTextFormattedCitation":"[7]","previouslyFormattedCitation":"[7]"},"properties":{"noteIndex":0},"schema":"https://github.com/citation-style-language/schema/raw/master/csl-citation.json"}</w:instrText>
      </w:r>
      <w:r w:rsidRPr="00383199">
        <w:rPr>
          <w:i/>
          <w:iCs/>
          <w:color w:val="4472C4" w:themeColor="accent1"/>
          <w:sz w:val="18"/>
          <w:szCs w:val="18"/>
        </w:rPr>
        <w:fldChar w:fldCharType="separate"/>
      </w:r>
      <w:r w:rsidR="00E74EA1" w:rsidRPr="00E74EA1">
        <w:rPr>
          <w:iCs/>
          <w:noProof/>
          <w:color w:val="4472C4" w:themeColor="accent1"/>
          <w:sz w:val="18"/>
          <w:szCs w:val="18"/>
        </w:rPr>
        <w:t>[7]</w:t>
      </w:r>
      <w:bookmarkEnd w:id="13"/>
      <w:r w:rsidRPr="00383199">
        <w:rPr>
          <w:i/>
          <w:iCs/>
          <w:color w:val="4472C4" w:themeColor="accent1"/>
          <w:sz w:val="18"/>
          <w:szCs w:val="18"/>
        </w:rPr>
        <w:fldChar w:fldCharType="end"/>
      </w:r>
    </w:p>
    <w:p w14:paraId="543B89AA" w14:textId="0B1D26D6" w:rsidR="00454BC5" w:rsidRDefault="00454BC5" w:rsidP="00454BC5"/>
    <w:p w14:paraId="0F295757" w14:textId="15D2B503" w:rsidR="00767504" w:rsidRDefault="00FD4085" w:rsidP="00454BC5">
      <w:pPr>
        <w:rPr>
          <w:rFonts w:cstheme="minorHAnsi"/>
        </w:rPr>
      </w:pPr>
      <w:r w:rsidRPr="00EB355A">
        <w:rPr>
          <w:rFonts w:cstheme="minorHAnsi"/>
        </w:rPr>
        <w:t>In practice, there are many possible sources of uncertainty in a measurement, including</w:t>
      </w:r>
      <w:r w:rsidR="00767504">
        <w:rPr>
          <w:rFonts w:cstheme="minorHAnsi"/>
        </w:rPr>
        <w:t xml:space="preserve"> </w:t>
      </w:r>
      <w:r w:rsidR="00767504">
        <w:rPr>
          <w:rFonts w:cstheme="minorHAnsi"/>
        </w:rPr>
        <w:fldChar w:fldCharType="begin" w:fldLock="1"/>
      </w:r>
      <w:r w:rsidR="000D5CCC">
        <w:rPr>
          <w:rFonts w:cstheme="minorHAnsi"/>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742c897d-7840-4b76-9626-1cf60b423326"]}],"mendeley":{"formattedCitation":"[7]","plainTextFormattedCitation":"[7]","previouslyFormattedCitation":"[7]"},"properties":{"noteIndex":0},"schema":"https://github.com/citation-style-language/schema/raw/master/csl-citation.json"}</w:instrText>
      </w:r>
      <w:r w:rsidR="00767504">
        <w:rPr>
          <w:rFonts w:cstheme="minorHAnsi"/>
        </w:rPr>
        <w:fldChar w:fldCharType="separate"/>
      </w:r>
      <w:r w:rsidR="00E74EA1" w:rsidRPr="00E74EA1">
        <w:rPr>
          <w:rFonts w:cstheme="minorHAnsi"/>
          <w:noProof/>
        </w:rPr>
        <w:t>[7]</w:t>
      </w:r>
      <w:r w:rsidR="00767504">
        <w:rPr>
          <w:rFonts w:cstheme="minorHAnsi"/>
        </w:rPr>
        <w:fldChar w:fldCharType="end"/>
      </w:r>
      <w:r w:rsidR="00767504">
        <w:rPr>
          <w:rFonts w:cstheme="minorHAnsi"/>
        </w:rPr>
        <w:t>:</w:t>
      </w:r>
    </w:p>
    <w:p w14:paraId="4044D75E" w14:textId="77777777" w:rsidR="00A96FB3" w:rsidRPr="00EB355A" w:rsidRDefault="00A96FB3" w:rsidP="00A96FB3">
      <w:pPr>
        <w:pStyle w:val="ListParagraph"/>
        <w:numPr>
          <w:ilvl w:val="0"/>
          <w:numId w:val="9"/>
        </w:numPr>
        <w:spacing w:line="360" w:lineRule="auto"/>
        <w:jc w:val="both"/>
        <w:rPr>
          <w:rFonts w:cstheme="minorHAnsi"/>
        </w:rPr>
      </w:pPr>
      <w:r>
        <w:rPr>
          <w:rFonts w:cstheme="minorHAnsi"/>
        </w:rPr>
        <w:t>I</w:t>
      </w:r>
      <w:r w:rsidRPr="00EB355A">
        <w:rPr>
          <w:rFonts w:cstheme="minorHAnsi"/>
        </w:rPr>
        <w:t>ncomplete or imperfect definition of the measurand</w:t>
      </w:r>
    </w:p>
    <w:p w14:paraId="2C06FF4D" w14:textId="77777777" w:rsidR="00A96FB3" w:rsidRPr="00EB355A" w:rsidRDefault="00A96FB3" w:rsidP="00A96FB3">
      <w:pPr>
        <w:pStyle w:val="ListParagraph"/>
        <w:numPr>
          <w:ilvl w:val="0"/>
          <w:numId w:val="9"/>
        </w:numPr>
        <w:spacing w:line="360" w:lineRule="auto"/>
        <w:jc w:val="both"/>
        <w:rPr>
          <w:rFonts w:cstheme="minorHAnsi"/>
        </w:rPr>
      </w:pPr>
      <w:r>
        <w:rPr>
          <w:rFonts w:cstheme="minorHAnsi"/>
        </w:rPr>
        <w:t>N</w:t>
      </w:r>
      <w:r w:rsidRPr="00EB355A">
        <w:rPr>
          <w:rFonts w:cstheme="minorHAnsi"/>
        </w:rPr>
        <w:t>on-representative sampling</w:t>
      </w:r>
    </w:p>
    <w:p w14:paraId="237CF1C2" w14:textId="77777777" w:rsidR="00A96FB3" w:rsidRPr="00EB355A" w:rsidRDefault="00A96FB3" w:rsidP="00A96FB3">
      <w:pPr>
        <w:pStyle w:val="ListParagraph"/>
        <w:numPr>
          <w:ilvl w:val="0"/>
          <w:numId w:val="9"/>
        </w:numPr>
        <w:spacing w:line="360" w:lineRule="auto"/>
        <w:jc w:val="both"/>
        <w:rPr>
          <w:rFonts w:cstheme="minorHAnsi"/>
        </w:rPr>
      </w:pPr>
      <w:r>
        <w:rPr>
          <w:rFonts w:cstheme="minorHAnsi"/>
        </w:rPr>
        <w:t>I</w:t>
      </w:r>
      <w:r w:rsidRPr="00EB355A">
        <w:rPr>
          <w:rFonts w:cstheme="minorHAnsi"/>
        </w:rPr>
        <w:t xml:space="preserve">nadequate knowledge of the effects of environmental conditions on the measurement </w:t>
      </w:r>
    </w:p>
    <w:p w14:paraId="0B536F94" w14:textId="77777777" w:rsidR="00A96FB3" w:rsidRPr="00EB355A" w:rsidRDefault="00A96FB3" w:rsidP="00A96FB3">
      <w:pPr>
        <w:pStyle w:val="ListParagraph"/>
        <w:numPr>
          <w:ilvl w:val="0"/>
          <w:numId w:val="9"/>
        </w:numPr>
        <w:spacing w:line="360" w:lineRule="auto"/>
        <w:jc w:val="both"/>
        <w:rPr>
          <w:rFonts w:cstheme="minorHAnsi"/>
        </w:rPr>
      </w:pPr>
      <w:r>
        <w:rPr>
          <w:rFonts w:cstheme="minorHAnsi"/>
        </w:rPr>
        <w:t>P</w:t>
      </w:r>
      <w:r w:rsidRPr="00EB355A">
        <w:rPr>
          <w:rFonts w:cstheme="minorHAnsi"/>
        </w:rPr>
        <w:t>ersonal bias in reading analogue instruments</w:t>
      </w:r>
    </w:p>
    <w:p w14:paraId="1AEC3AEA" w14:textId="77777777" w:rsidR="00A96FB3" w:rsidRPr="00EB355A" w:rsidRDefault="00A96FB3" w:rsidP="00A96FB3">
      <w:pPr>
        <w:pStyle w:val="ListParagraph"/>
        <w:numPr>
          <w:ilvl w:val="0"/>
          <w:numId w:val="9"/>
        </w:numPr>
        <w:spacing w:line="360" w:lineRule="auto"/>
        <w:jc w:val="both"/>
        <w:rPr>
          <w:rFonts w:cstheme="minorHAnsi"/>
        </w:rPr>
      </w:pPr>
      <w:r>
        <w:rPr>
          <w:rFonts w:cstheme="minorHAnsi"/>
        </w:rPr>
        <w:t>F</w:t>
      </w:r>
      <w:r w:rsidRPr="00EB355A">
        <w:rPr>
          <w:rFonts w:cstheme="minorHAnsi"/>
        </w:rPr>
        <w:t>inite instrument resolution or discrimination threshold</w:t>
      </w:r>
    </w:p>
    <w:p w14:paraId="739CD4AF" w14:textId="77777777" w:rsidR="00A96FB3" w:rsidRPr="00EB355A" w:rsidRDefault="00A96FB3" w:rsidP="00A96FB3">
      <w:pPr>
        <w:pStyle w:val="ListParagraph"/>
        <w:numPr>
          <w:ilvl w:val="0"/>
          <w:numId w:val="9"/>
        </w:numPr>
        <w:spacing w:line="360" w:lineRule="auto"/>
        <w:jc w:val="both"/>
        <w:rPr>
          <w:rFonts w:cstheme="minorHAnsi"/>
        </w:rPr>
      </w:pPr>
      <w:r>
        <w:rPr>
          <w:rFonts w:cstheme="minorHAnsi"/>
        </w:rPr>
        <w:t>I</w:t>
      </w:r>
      <w:r w:rsidRPr="00EB355A">
        <w:rPr>
          <w:rFonts w:cstheme="minorHAnsi"/>
        </w:rPr>
        <w:t>nexact values of measurement standards and reference materials</w:t>
      </w:r>
    </w:p>
    <w:p w14:paraId="629827D2" w14:textId="77777777" w:rsidR="00A96FB3" w:rsidRPr="00EB355A" w:rsidRDefault="00A96FB3" w:rsidP="00A96FB3">
      <w:pPr>
        <w:pStyle w:val="ListParagraph"/>
        <w:numPr>
          <w:ilvl w:val="0"/>
          <w:numId w:val="9"/>
        </w:numPr>
        <w:spacing w:line="360" w:lineRule="auto"/>
        <w:jc w:val="both"/>
        <w:rPr>
          <w:rFonts w:cstheme="minorHAnsi"/>
        </w:rPr>
      </w:pPr>
      <w:r>
        <w:rPr>
          <w:rFonts w:cstheme="minorHAnsi"/>
        </w:rPr>
        <w:t>I</w:t>
      </w:r>
      <w:r w:rsidRPr="00EB355A">
        <w:rPr>
          <w:rFonts w:cstheme="minorHAnsi"/>
        </w:rPr>
        <w:t>nexact values of constants and other parameters obtained from external sources and used in the data-reduction algorithm</w:t>
      </w:r>
    </w:p>
    <w:p w14:paraId="023C9303" w14:textId="77777777" w:rsidR="00A96FB3" w:rsidRPr="00EB355A" w:rsidRDefault="00A96FB3" w:rsidP="00A96FB3">
      <w:pPr>
        <w:pStyle w:val="ListParagraph"/>
        <w:numPr>
          <w:ilvl w:val="0"/>
          <w:numId w:val="9"/>
        </w:numPr>
        <w:spacing w:line="360" w:lineRule="auto"/>
        <w:jc w:val="both"/>
        <w:rPr>
          <w:rFonts w:cstheme="minorHAnsi"/>
        </w:rPr>
      </w:pPr>
      <w:r>
        <w:rPr>
          <w:rFonts w:cstheme="minorHAnsi"/>
        </w:rPr>
        <w:t>A</w:t>
      </w:r>
      <w:r w:rsidRPr="00EB355A">
        <w:rPr>
          <w:rFonts w:cstheme="minorHAnsi"/>
        </w:rPr>
        <w:t>pproximations and assumptions in the measurement method</w:t>
      </w:r>
    </w:p>
    <w:p w14:paraId="08A3F0DD" w14:textId="27ACB005" w:rsidR="00A96FB3" w:rsidRDefault="00A96FB3" w:rsidP="00A96FB3">
      <w:pPr>
        <w:pStyle w:val="ListParagraph"/>
        <w:numPr>
          <w:ilvl w:val="0"/>
          <w:numId w:val="9"/>
        </w:numPr>
        <w:spacing w:line="360" w:lineRule="auto"/>
        <w:jc w:val="both"/>
        <w:rPr>
          <w:rFonts w:cstheme="minorHAnsi"/>
        </w:rPr>
      </w:pPr>
      <w:r>
        <w:rPr>
          <w:rFonts w:cstheme="minorHAnsi"/>
        </w:rPr>
        <w:t>V</w:t>
      </w:r>
      <w:r w:rsidRPr="00EB355A">
        <w:rPr>
          <w:rFonts w:cstheme="minorHAnsi"/>
        </w:rPr>
        <w:t xml:space="preserve">ariations in repeated observations of the measurand under apparently identical conditions.  </w:t>
      </w:r>
    </w:p>
    <w:p w14:paraId="26E96B03" w14:textId="77777777" w:rsidR="005F0425" w:rsidRPr="00A96FB3" w:rsidRDefault="005F0425" w:rsidP="005F0425">
      <w:pPr>
        <w:pStyle w:val="ListParagraph"/>
        <w:spacing w:line="360" w:lineRule="auto"/>
        <w:jc w:val="both"/>
        <w:rPr>
          <w:rFonts w:cstheme="minorHAnsi"/>
        </w:rPr>
      </w:pPr>
    </w:p>
    <w:p w14:paraId="425EF957" w14:textId="13A1B511" w:rsidR="003E74A0" w:rsidRDefault="00A96FB3" w:rsidP="003E74A0">
      <w:pPr>
        <w:keepNext/>
        <w:spacing w:line="360" w:lineRule="auto"/>
        <w:jc w:val="both"/>
        <w:rPr>
          <w:rFonts w:cstheme="minorHAnsi"/>
        </w:rPr>
      </w:pPr>
      <w:r w:rsidRPr="00EB355A">
        <w:rPr>
          <w:rFonts w:cstheme="minorHAnsi"/>
        </w:rPr>
        <w:lastRenderedPageBreak/>
        <w:t xml:space="preserve">The classification of an uncertainty is based on </w:t>
      </w:r>
      <w:r w:rsidRPr="00EB355A">
        <w:rPr>
          <w:rFonts w:cstheme="minorHAnsi"/>
          <w:i/>
          <w:iCs/>
        </w:rPr>
        <w:t>probability distributions</w:t>
      </w:r>
      <w:r w:rsidRPr="00EB355A">
        <w:rPr>
          <w:rFonts w:cstheme="minorHAnsi"/>
        </w:rPr>
        <w:t xml:space="preserve"> and quantified by variances or standard deviations. The estimated standard deviation is calculated from series of repeated observations (</w:t>
      </w:r>
      <w:r w:rsidRPr="009C6EDA">
        <w:rPr>
          <w:rFonts w:cstheme="minorHAnsi"/>
        </w:rPr>
        <w:t>Type A standard uncertainty</w:t>
      </w:r>
      <w:r w:rsidRPr="00EB355A">
        <w:rPr>
          <w:rFonts w:cstheme="minorHAnsi"/>
        </w:rPr>
        <w:t xml:space="preserve"> obtained from a probability density function derived from an observed frequency distribution, it focuses on the repeatability and on the reproducibility of measurements) or using available knowledge (</w:t>
      </w:r>
      <w:r w:rsidRPr="009C6EDA">
        <w:rPr>
          <w:rFonts w:cstheme="minorHAnsi"/>
        </w:rPr>
        <w:t>Type B standard uncertainty</w:t>
      </w:r>
      <w:r w:rsidRPr="00EB355A">
        <w:rPr>
          <w:rFonts w:cstheme="minorHAnsi"/>
        </w:rPr>
        <w:t xml:space="preserve"> obtained from an assumed probability density function based on the degree of belief that an event will occur and it involves the use of other means, e.g. previous measurement data, data provided in calibration or other certificates). Once all influential uncertainty components have been evaluated, the general procedure to derive the combined standard uncertainty of the in-situ measurement involves propagating these components through the associated measurement equation. For more information about this see</w:t>
      </w:r>
      <w:r>
        <w:rPr>
          <w:rFonts w:cstheme="minorHAnsi"/>
        </w:rPr>
        <w:t xml:space="preserve"> </w:t>
      </w:r>
      <w:r>
        <w:rPr>
          <w:rFonts w:cstheme="minorHAnsi"/>
        </w:rPr>
        <w:fldChar w:fldCharType="begin" w:fldLock="1"/>
      </w:r>
      <w:r w:rsidR="000D5CCC">
        <w:rPr>
          <w:rFonts w:cstheme="minorHAnsi"/>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742c897d-7840-4b76-9626-1cf60b423326"]}],"mendeley":{"formattedCitation":"[7]","plainTextFormattedCitation":"[7]","previouslyFormattedCitation":"[7]"},"properties":{"noteIndex":0},"schema":"https://github.com/citation-style-language/schema/raw/master/csl-citation.json"}</w:instrText>
      </w:r>
      <w:r>
        <w:rPr>
          <w:rFonts w:cstheme="minorHAnsi"/>
        </w:rPr>
        <w:fldChar w:fldCharType="separate"/>
      </w:r>
      <w:r w:rsidR="00E74EA1" w:rsidRPr="00E74EA1">
        <w:rPr>
          <w:rFonts w:cstheme="minorHAnsi"/>
          <w:noProof/>
        </w:rPr>
        <w:t>[7]</w:t>
      </w:r>
      <w:r>
        <w:rPr>
          <w:rFonts w:cstheme="minorHAnsi"/>
        </w:rPr>
        <w:fldChar w:fldCharType="end"/>
      </w:r>
      <w:r w:rsidR="003E74A0">
        <w:rPr>
          <w:rFonts w:cstheme="minorHAnsi"/>
        </w:rPr>
        <w:t xml:space="preserve">. </w:t>
      </w:r>
    </w:p>
    <w:p w14:paraId="433BF965" w14:textId="77777777" w:rsidR="00383199" w:rsidRDefault="003E74A0" w:rsidP="00383199">
      <w:pPr>
        <w:keepNext/>
        <w:spacing w:line="360" w:lineRule="auto"/>
        <w:jc w:val="center"/>
      </w:pPr>
      <w:r w:rsidRPr="00C85190">
        <w:rPr>
          <w:rFonts w:cstheme="minorHAnsi"/>
          <w:noProof/>
          <w:sz w:val="20"/>
          <w:szCs w:val="20"/>
        </w:rPr>
        <w:drawing>
          <wp:inline distT="0" distB="0" distL="0" distR="0" wp14:anchorId="34EAAFF5" wp14:editId="2A6D189B">
            <wp:extent cx="3554789" cy="1849902"/>
            <wp:effectExtent l="0" t="0" r="7620"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18" cstate="print">
                      <a:extLst>
                        <a:ext uri="{28A0092B-C50C-407E-A947-70E740481C1C}">
                          <a14:useLocalDpi xmlns:a14="http://schemas.microsoft.com/office/drawing/2010/main" val="0"/>
                        </a:ext>
                      </a:extLst>
                    </a:blip>
                    <a:srcRect l="1915" r="4240"/>
                    <a:stretch/>
                  </pic:blipFill>
                  <pic:spPr bwMode="auto">
                    <a:xfrm>
                      <a:off x="0" y="0"/>
                      <a:ext cx="3649538" cy="1899209"/>
                    </a:xfrm>
                    <a:prstGeom prst="rect">
                      <a:avLst/>
                    </a:prstGeom>
                    <a:ln>
                      <a:noFill/>
                    </a:ln>
                    <a:extLst>
                      <a:ext uri="{53640926-AAD7-44D8-BBD7-CCE9431645EC}">
                        <a14:shadowObscured xmlns:a14="http://schemas.microsoft.com/office/drawing/2010/main"/>
                      </a:ext>
                    </a:extLst>
                  </pic:spPr>
                </pic:pic>
              </a:graphicData>
            </a:graphic>
          </wp:inline>
        </w:drawing>
      </w:r>
    </w:p>
    <w:p w14:paraId="36E1B43C" w14:textId="2C1BD996" w:rsidR="003E74A0" w:rsidRPr="000D694F" w:rsidRDefault="00383199" w:rsidP="00383199">
      <w:pPr>
        <w:pStyle w:val="Caption"/>
        <w:jc w:val="center"/>
        <w:rPr>
          <w:color w:val="4472C4" w:themeColor="accent1"/>
        </w:rPr>
      </w:pPr>
      <w:bookmarkStart w:id="14" w:name="_Toc42180696"/>
      <w:r w:rsidRPr="000D694F">
        <w:rPr>
          <w:color w:val="4472C4" w:themeColor="accent1"/>
        </w:rPr>
        <w:t xml:space="preserve">Figure </w:t>
      </w:r>
      <w:r w:rsidR="000D694F" w:rsidRPr="000D694F">
        <w:rPr>
          <w:color w:val="4472C4" w:themeColor="accent1"/>
        </w:rPr>
        <w:fldChar w:fldCharType="begin"/>
      </w:r>
      <w:r w:rsidR="000D694F" w:rsidRPr="000D694F">
        <w:rPr>
          <w:color w:val="4472C4" w:themeColor="accent1"/>
        </w:rPr>
        <w:instrText xml:space="preserve"> SEQ Figure \* ARABIC </w:instrText>
      </w:r>
      <w:r w:rsidR="000D694F" w:rsidRPr="000D694F">
        <w:rPr>
          <w:color w:val="4472C4" w:themeColor="accent1"/>
        </w:rPr>
        <w:fldChar w:fldCharType="separate"/>
      </w:r>
      <w:r w:rsidR="00003B86">
        <w:rPr>
          <w:noProof/>
          <w:color w:val="4472C4" w:themeColor="accent1"/>
        </w:rPr>
        <w:t>4</w:t>
      </w:r>
      <w:r w:rsidR="000D694F" w:rsidRPr="000D694F">
        <w:rPr>
          <w:noProof/>
          <w:color w:val="4472C4" w:themeColor="accent1"/>
        </w:rPr>
        <w:fldChar w:fldCharType="end"/>
      </w:r>
      <w:r w:rsidRPr="000D694F">
        <w:rPr>
          <w:color w:val="4472C4" w:themeColor="accent1"/>
        </w:rPr>
        <w:t>: Graphical illustration of evaluating the standards uncertainty of an input quantity from repeated observations of the temperature t [8]</w:t>
      </w:r>
      <w:bookmarkEnd w:id="14"/>
    </w:p>
    <w:p w14:paraId="4C6D0149" w14:textId="00541480" w:rsidR="003E74A0" w:rsidRDefault="003E74A0" w:rsidP="00A96FB3">
      <w:pPr>
        <w:rPr>
          <w:rFonts w:cstheme="minorHAnsi"/>
        </w:rPr>
      </w:pPr>
    </w:p>
    <w:p w14:paraId="34A31D23" w14:textId="7EA04B17" w:rsidR="003E74A0" w:rsidRDefault="001010BC" w:rsidP="00A96FB3">
      <w:r w:rsidRPr="00F02591">
        <w:t>Summary of procedure for evaluating and expressing uncertainty</w:t>
      </w:r>
      <w:r w:rsidRPr="0059766A">
        <w:t xml:space="preserve"> as presented in</w:t>
      </w:r>
      <w:r w:rsidR="00700ACE">
        <w:fldChar w:fldCharType="begin" w:fldLock="1"/>
      </w:r>
      <w:r w:rsidR="000D5CCC">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742c897d-7840-4b76-9626-1cf60b423326"]}],"mendeley":{"formattedCitation":"[7]","plainTextFormattedCitation":"[7]","previouslyFormattedCitation":"[7]"},"properties":{"noteIndex":0},"schema":"https://github.com/citation-style-language/schema/raw/master/csl-citation.json"}</w:instrText>
      </w:r>
      <w:r w:rsidR="00700ACE">
        <w:fldChar w:fldCharType="separate"/>
      </w:r>
      <w:r w:rsidR="00E74EA1" w:rsidRPr="00E74EA1">
        <w:rPr>
          <w:noProof/>
        </w:rPr>
        <w:t>[7]</w:t>
      </w:r>
      <w:r w:rsidR="00700ACE">
        <w:fldChar w:fldCharType="end"/>
      </w:r>
      <w:r w:rsidR="00700ACE">
        <w:t>:</w:t>
      </w:r>
    </w:p>
    <w:p w14:paraId="31902D70" w14:textId="77777777" w:rsidR="006C15F2" w:rsidRPr="0059766A" w:rsidRDefault="006C15F2" w:rsidP="006C15F2">
      <w:pPr>
        <w:pStyle w:val="ListParagraph"/>
        <w:numPr>
          <w:ilvl w:val="0"/>
          <w:numId w:val="10"/>
        </w:numPr>
        <w:spacing w:line="360" w:lineRule="auto"/>
        <w:jc w:val="both"/>
      </w:pPr>
      <w:r w:rsidRPr="0059766A">
        <w:t xml:space="preserve">Express mathematically the relationship between the measurand </w:t>
      </w:r>
      <w:r w:rsidRPr="0059766A">
        <w:rPr>
          <w:i/>
          <w:iCs/>
        </w:rPr>
        <w:t>Y</w:t>
      </w:r>
      <w:r w:rsidRPr="0059766A">
        <w:t xml:space="preserve"> and the input quantities </w:t>
      </w:r>
      <w:r w:rsidRPr="0059766A">
        <w:rPr>
          <w:i/>
          <w:iCs/>
        </w:rPr>
        <w:t>X</w:t>
      </w:r>
      <w:r w:rsidRPr="0059766A">
        <w:rPr>
          <w:i/>
          <w:iCs/>
          <w:vertAlign w:val="subscript"/>
        </w:rPr>
        <w:t>i</w:t>
      </w:r>
      <w:r w:rsidRPr="0059766A">
        <w:rPr>
          <w:vertAlign w:val="subscript"/>
        </w:rPr>
        <w:t xml:space="preserve"> </w:t>
      </w:r>
      <w:r w:rsidRPr="0059766A">
        <w:t xml:space="preserve">on which </w:t>
      </w:r>
      <w:r w:rsidRPr="0059766A">
        <w:rPr>
          <w:i/>
          <w:iCs/>
        </w:rPr>
        <w:t>Y</w:t>
      </w:r>
      <w:r w:rsidRPr="0059766A">
        <w:t xml:space="preserve"> depends:</w:t>
      </w:r>
      <w:r w:rsidRPr="0059766A">
        <w:rPr>
          <w:i/>
          <w:iCs/>
        </w:rPr>
        <w:t xml:space="preserve"> Y=f (X</w:t>
      </w:r>
      <w:r w:rsidRPr="0059766A">
        <w:rPr>
          <w:i/>
          <w:iCs/>
          <w:vertAlign w:val="subscript"/>
        </w:rPr>
        <w:t>1 ,</w:t>
      </w:r>
      <w:r w:rsidRPr="0059766A">
        <w:rPr>
          <w:i/>
          <w:iCs/>
        </w:rPr>
        <w:t>X</w:t>
      </w:r>
      <w:r w:rsidRPr="0059766A">
        <w:rPr>
          <w:i/>
          <w:iCs/>
          <w:vertAlign w:val="subscript"/>
        </w:rPr>
        <w:t xml:space="preserve">2 </w:t>
      </w:r>
      <w:r w:rsidRPr="0059766A">
        <w:rPr>
          <w:i/>
          <w:iCs/>
        </w:rPr>
        <w:t>,…,X</w:t>
      </w:r>
      <w:r w:rsidRPr="0059766A">
        <w:rPr>
          <w:i/>
          <w:iCs/>
          <w:vertAlign w:val="subscript"/>
        </w:rPr>
        <w:t>N</w:t>
      </w:r>
      <w:r w:rsidRPr="0059766A">
        <w:rPr>
          <w:i/>
          <w:iCs/>
        </w:rPr>
        <w:t>)</w:t>
      </w:r>
      <w:r w:rsidRPr="0059766A">
        <w:t>. The function</w:t>
      </w:r>
      <w:r w:rsidRPr="0059766A">
        <w:rPr>
          <w:i/>
          <w:iCs/>
        </w:rPr>
        <w:t xml:space="preserve"> f </w:t>
      </w:r>
      <w:r w:rsidRPr="0059766A">
        <w:t>should contain every quantity, including all corrections and correction factors that can contribute a significant component of uncertainty to the result of the measurement.</w:t>
      </w:r>
    </w:p>
    <w:p w14:paraId="032BE042" w14:textId="77777777" w:rsidR="006C15F2" w:rsidRPr="0059766A" w:rsidRDefault="006C15F2" w:rsidP="006C15F2">
      <w:pPr>
        <w:pStyle w:val="ListParagraph"/>
        <w:numPr>
          <w:ilvl w:val="0"/>
          <w:numId w:val="10"/>
        </w:numPr>
        <w:spacing w:line="360" w:lineRule="auto"/>
        <w:jc w:val="both"/>
      </w:pPr>
      <w:r w:rsidRPr="0059766A">
        <w:t xml:space="preserve">Determine </w:t>
      </w:r>
      <w:r w:rsidRPr="0059766A">
        <w:rPr>
          <w:i/>
          <w:iCs/>
        </w:rPr>
        <w:t>x</w:t>
      </w:r>
      <w:r w:rsidRPr="0059766A">
        <w:rPr>
          <w:i/>
          <w:iCs/>
          <w:vertAlign w:val="subscript"/>
        </w:rPr>
        <w:t>i</w:t>
      </w:r>
      <w:r w:rsidRPr="0059766A">
        <w:rPr>
          <w:i/>
          <w:iCs/>
        </w:rPr>
        <w:t>,</w:t>
      </w:r>
      <w:r w:rsidRPr="0059766A">
        <w:t xml:space="preserve"> the estimate value of the input quantity </w:t>
      </w:r>
      <w:r w:rsidRPr="0059766A">
        <w:rPr>
          <w:i/>
          <w:iCs/>
        </w:rPr>
        <w:t>X</w:t>
      </w:r>
      <w:r w:rsidRPr="0059766A">
        <w:rPr>
          <w:i/>
          <w:iCs/>
          <w:vertAlign w:val="subscript"/>
        </w:rPr>
        <w:t>i</w:t>
      </w:r>
      <w:r w:rsidRPr="0059766A">
        <w:t>, either on the basis of the statistical analysis of series of observations or by other means.</w:t>
      </w:r>
    </w:p>
    <w:p w14:paraId="4546EACA" w14:textId="77777777" w:rsidR="006C15F2" w:rsidRPr="0059766A" w:rsidRDefault="006C15F2" w:rsidP="006C15F2">
      <w:pPr>
        <w:pStyle w:val="ListParagraph"/>
        <w:numPr>
          <w:ilvl w:val="0"/>
          <w:numId w:val="10"/>
        </w:numPr>
        <w:spacing w:line="360" w:lineRule="auto"/>
        <w:jc w:val="both"/>
      </w:pPr>
      <w:r w:rsidRPr="0059766A">
        <w:t xml:space="preserve">Evaluate the standard uncertainty </w:t>
      </w:r>
      <w:r w:rsidRPr="0059766A">
        <w:rPr>
          <w:i/>
          <w:iCs/>
        </w:rPr>
        <w:t>u(x</w:t>
      </w:r>
      <w:r w:rsidRPr="0059766A">
        <w:rPr>
          <w:i/>
          <w:iCs/>
          <w:vertAlign w:val="subscript"/>
        </w:rPr>
        <w:t>i</w:t>
      </w:r>
      <w:r w:rsidRPr="0059766A">
        <w:rPr>
          <w:i/>
          <w:iCs/>
        </w:rPr>
        <w:t>)</w:t>
      </w:r>
      <w:r w:rsidRPr="0059766A">
        <w:t xml:space="preserve"> of each input estimate </w:t>
      </w:r>
      <w:r w:rsidRPr="0059766A">
        <w:rPr>
          <w:i/>
          <w:iCs/>
        </w:rPr>
        <w:t>x</w:t>
      </w:r>
      <w:r w:rsidRPr="0059766A">
        <w:rPr>
          <w:i/>
          <w:iCs/>
          <w:vertAlign w:val="subscript"/>
        </w:rPr>
        <w:t>i</w:t>
      </w:r>
      <w:r w:rsidRPr="0059766A">
        <w:t>. For an input estimate obtained from the statistical analysis of series of observations, the standard uncertainty is evaluated as Type A. For an input estimate obtained by other means, the standard uncertainty is evaluated as Type B.</w:t>
      </w:r>
    </w:p>
    <w:p w14:paraId="4CAA24AC" w14:textId="77777777" w:rsidR="006C15F2" w:rsidRPr="0059766A" w:rsidRDefault="006C15F2" w:rsidP="006C15F2">
      <w:pPr>
        <w:pStyle w:val="ListParagraph"/>
        <w:numPr>
          <w:ilvl w:val="0"/>
          <w:numId w:val="10"/>
        </w:numPr>
        <w:spacing w:line="360" w:lineRule="auto"/>
        <w:jc w:val="both"/>
      </w:pPr>
      <w:r w:rsidRPr="0059766A">
        <w:t>Evaluate the covariances associated with any input estimates that are correlated.</w:t>
      </w:r>
    </w:p>
    <w:p w14:paraId="364DAA6F" w14:textId="77777777" w:rsidR="006C15F2" w:rsidRPr="0059766A" w:rsidRDefault="006C15F2" w:rsidP="006C15F2">
      <w:pPr>
        <w:pStyle w:val="ListParagraph"/>
        <w:numPr>
          <w:ilvl w:val="0"/>
          <w:numId w:val="10"/>
        </w:numPr>
        <w:spacing w:line="360" w:lineRule="auto"/>
        <w:jc w:val="both"/>
      </w:pPr>
      <w:r w:rsidRPr="0059766A">
        <w:lastRenderedPageBreak/>
        <w:t xml:space="preserve">Calculate the result of the measurement, that is, the estimate </w:t>
      </w:r>
      <w:r w:rsidRPr="0059766A">
        <w:rPr>
          <w:i/>
          <w:iCs/>
        </w:rPr>
        <w:t xml:space="preserve">y </w:t>
      </w:r>
      <w:r w:rsidRPr="0059766A">
        <w:t xml:space="preserve">of the measurand </w:t>
      </w:r>
      <w:r w:rsidRPr="0059766A">
        <w:rPr>
          <w:i/>
          <w:iCs/>
        </w:rPr>
        <w:t xml:space="preserve">Y </w:t>
      </w:r>
      <w:r w:rsidRPr="0059766A">
        <w:t xml:space="preserve">from the functional relationship </w:t>
      </w:r>
      <w:r w:rsidRPr="0059766A">
        <w:rPr>
          <w:i/>
          <w:iCs/>
        </w:rPr>
        <w:t>f</w:t>
      </w:r>
      <w:r w:rsidRPr="0059766A">
        <w:t xml:space="preserve"> using for the input quantities </w:t>
      </w:r>
      <w:r w:rsidRPr="0059766A">
        <w:rPr>
          <w:i/>
          <w:iCs/>
        </w:rPr>
        <w:t>X</w:t>
      </w:r>
      <w:r w:rsidRPr="0059766A">
        <w:rPr>
          <w:i/>
          <w:iCs/>
          <w:vertAlign w:val="subscript"/>
        </w:rPr>
        <w:t>i</w:t>
      </w:r>
      <w:r w:rsidRPr="0059766A">
        <w:t xml:space="preserve"> the estimates </w:t>
      </w:r>
      <w:r w:rsidRPr="0059766A">
        <w:rPr>
          <w:i/>
          <w:iCs/>
        </w:rPr>
        <w:t>x</w:t>
      </w:r>
      <w:r w:rsidRPr="0059766A">
        <w:rPr>
          <w:i/>
          <w:iCs/>
          <w:vertAlign w:val="subscript"/>
        </w:rPr>
        <w:t>i</w:t>
      </w:r>
      <w:r w:rsidRPr="0059766A">
        <w:rPr>
          <w:vertAlign w:val="subscript"/>
        </w:rPr>
        <w:t xml:space="preserve"> </w:t>
      </w:r>
      <w:r w:rsidRPr="0059766A">
        <w:t>obtained in step 2.</w:t>
      </w:r>
    </w:p>
    <w:p w14:paraId="5C9036E5" w14:textId="77777777" w:rsidR="006C15F2" w:rsidRPr="0059766A" w:rsidRDefault="006C15F2" w:rsidP="006C15F2">
      <w:pPr>
        <w:pStyle w:val="ListParagraph"/>
        <w:numPr>
          <w:ilvl w:val="0"/>
          <w:numId w:val="10"/>
        </w:numPr>
        <w:spacing w:line="360" w:lineRule="auto"/>
        <w:jc w:val="both"/>
      </w:pPr>
      <w:r w:rsidRPr="0059766A">
        <w:t xml:space="preserve">Determine the combined standard uncertainty </w:t>
      </w:r>
      <w:r w:rsidRPr="0059766A">
        <w:rPr>
          <w:i/>
          <w:iCs/>
        </w:rPr>
        <w:t>u</w:t>
      </w:r>
      <w:r w:rsidRPr="0059766A">
        <w:rPr>
          <w:i/>
          <w:iCs/>
          <w:vertAlign w:val="subscript"/>
        </w:rPr>
        <w:t>c</w:t>
      </w:r>
      <w:r w:rsidRPr="0059766A">
        <w:rPr>
          <w:i/>
          <w:iCs/>
        </w:rPr>
        <w:t>(y)</w:t>
      </w:r>
      <w:r w:rsidRPr="0059766A">
        <w:t xml:space="preserve"> of the measurement result </w:t>
      </w:r>
      <w:r w:rsidRPr="0059766A">
        <w:rPr>
          <w:i/>
          <w:iCs/>
        </w:rPr>
        <w:t>y</w:t>
      </w:r>
      <w:r w:rsidRPr="0059766A">
        <w:t xml:space="preserve"> from the standard uncertainties and covariances associated with the input estimates. If the measurement determines simultaneously more than one output quantity, calculate the covariances.</w:t>
      </w:r>
    </w:p>
    <w:p w14:paraId="2396CF7A" w14:textId="77777777" w:rsidR="006C15F2" w:rsidRPr="0059766A" w:rsidRDefault="006C15F2" w:rsidP="006C15F2">
      <w:pPr>
        <w:pStyle w:val="ListParagraph"/>
        <w:numPr>
          <w:ilvl w:val="0"/>
          <w:numId w:val="10"/>
        </w:numPr>
        <w:spacing w:line="360" w:lineRule="auto"/>
        <w:jc w:val="both"/>
      </w:pPr>
      <w:r w:rsidRPr="0059766A">
        <w:t xml:space="preserve">If it is necessary to give an expanded uncertainty </w:t>
      </w:r>
      <w:r w:rsidRPr="0059766A">
        <w:rPr>
          <w:i/>
          <w:iCs/>
        </w:rPr>
        <w:t>U</w:t>
      </w:r>
      <w:r w:rsidRPr="0059766A">
        <w:t xml:space="preserve">, whose purpose is to provide an interval </w:t>
      </w:r>
      <w:r w:rsidRPr="0059766A">
        <w:rPr>
          <w:i/>
          <w:iCs/>
        </w:rPr>
        <w:t>y-U</w:t>
      </w:r>
      <w:r w:rsidRPr="0059766A">
        <w:t xml:space="preserve"> to </w:t>
      </w:r>
      <w:r w:rsidRPr="0059766A">
        <w:rPr>
          <w:i/>
          <w:iCs/>
        </w:rPr>
        <w:t>y+U</w:t>
      </w:r>
      <w:r w:rsidRPr="0059766A">
        <w:t xml:space="preserve"> that may be expected to encompass a large fraction of the distribution of values that could reasonably be attributed to the measurand </w:t>
      </w:r>
      <w:r w:rsidRPr="0059766A">
        <w:rPr>
          <w:i/>
          <w:iCs/>
        </w:rPr>
        <w:t>Y</w:t>
      </w:r>
      <w:r w:rsidRPr="0059766A">
        <w:t xml:space="preserve">, multiply the combined standard uncertainty </w:t>
      </w:r>
      <w:r w:rsidRPr="0059766A">
        <w:rPr>
          <w:i/>
          <w:iCs/>
        </w:rPr>
        <w:t>u</w:t>
      </w:r>
      <w:r w:rsidRPr="0059766A">
        <w:rPr>
          <w:i/>
          <w:iCs/>
          <w:vertAlign w:val="subscript"/>
        </w:rPr>
        <w:t>c</w:t>
      </w:r>
      <w:r w:rsidRPr="0059766A">
        <w:rPr>
          <w:i/>
          <w:iCs/>
        </w:rPr>
        <w:t>(y)</w:t>
      </w:r>
      <w:r w:rsidRPr="0059766A">
        <w:t xml:space="preserve"> by a coverage factor </w:t>
      </w:r>
      <w:r w:rsidRPr="0059766A">
        <w:rPr>
          <w:i/>
          <w:iCs/>
        </w:rPr>
        <w:t>k</w:t>
      </w:r>
      <w:r w:rsidRPr="0059766A">
        <w:t xml:space="preserve">, typically in the range 2 to 3. Select </w:t>
      </w:r>
      <w:r w:rsidRPr="0059766A">
        <w:rPr>
          <w:i/>
          <w:iCs/>
        </w:rPr>
        <w:t>k</w:t>
      </w:r>
      <w:r w:rsidRPr="0059766A">
        <w:t xml:space="preserve"> on the basis of the level of confidence required of the interval.</w:t>
      </w:r>
    </w:p>
    <w:p w14:paraId="6BA23E74" w14:textId="1B554448" w:rsidR="006C15F2" w:rsidRDefault="006C15F2" w:rsidP="006C15F2">
      <w:pPr>
        <w:pStyle w:val="ListParagraph"/>
        <w:numPr>
          <w:ilvl w:val="0"/>
          <w:numId w:val="10"/>
        </w:numPr>
        <w:spacing w:line="360" w:lineRule="auto"/>
        <w:jc w:val="both"/>
      </w:pPr>
      <w:r w:rsidRPr="0059766A">
        <w:t xml:space="preserve">Report the result of the measurement </w:t>
      </w:r>
      <w:r w:rsidRPr="0059766A">
        <w:rPr>
          <w:i/>
          <w:iCs/>
        </w:rPr>
        <w:t>y</w:t>
      </w:r>
      <w:r w:rsidRPr="0059766A">
        <w:t xml:space="preserve"> together with its combined standard uncertainty </w:t>
      </w:r>
      <w:r w:rsidRPr="0059766A">
        <w:rPr>
          <w:i/>
          <w:iCs/>
        </w:rPr>
        <w:t>u</w:t>
      </w:r>
      <w:r w:rsidRPr="0059766A">
        <w:rPr>
          <w:i/>
          <w:iCs/>
          <w:vertAlign w:val="subscript"/>
        </w:rPr>
        <w:t>c</w:t>
      </w:r>
      <w:r w:rsidRPr="0059766A">
        <w:rPr>
          <w:i/>
          <w:iCs/>
        </w:rPr>
        <w:t>(y)</w:t>
      </w:r>
      <w:r w:rsidRPr="0059766A">
        <w:t xml:space="preserve"> or expanded uncertainty </w:t>
      </w:r>
      <w:r w:rsidRPr="0059766A">
        <w:rPr>
          <w:i/>
          <w:iCs/>
        </w:rPr>
        <w:t>U</w:t>
      </w:r>
      <w:r w:rsidRPr="0059766A">
        <w:t xml:space="preserve"> and discuss how they were obtained.</w:t>
      </w:r>
    </w:p>
    <w:p w14:paraId="02AF7755" w14:textId="24CDF92F" w:rsidR="00D30D68" w:rsidRDefault="00D30D68" w:rsidP="005A77A5">
      <w:pPr>
        <w:pStyle w:val="ListParagraph"/>
        <w:spacing w:line="360" w:lineRule="auto"/>
        <w:jc w:val="both"/>
        <w:rPr>
          <w:color w:val="4472C4" w:themeColor="accent1"/>
        </w:rPr>
      </w:pPr>
    </w:p>
    <w:p w14:paraId="0CDD42D7" w14:textId="77777777" w:rsidR="007B592A" w:rsidRPr="005A77A5" w:rsidRDefault="007B592A" w:rsidP="005A77A5">
      <w:pPr>
        <w:pStyle w:val="ListParagraph"/>
        <w:spacing w:line="360" w:lineRule="auto"/>
        <w:jc w:val="both"/>
        <w:rPr>
          <w:color w:val="4472C4" w:themeColor="accent1"/>
        </w:rPr>
      </w:pPr>
    </w:p>
    <w:p w14:paraId="5AAF8A30" w14:textId="3FB39399" w:rsidR="005A77A5" w:rsidRDefault="005A77A5" w:rsidP="005A77A5">
      <w:pPr>
        <w:pStyle w:val="Heading2"/>
        <w:rPr>
          <w:rFonts w:cstheme="majorHAnsi"/>
          <w:color w:val="4472C4" w:themeColor="accent1"/>
          <w:sz w:val="28"/>
          <w:szCs w:val="28"/>
        </w:rPr>
      </w:pPr>
      <w:bookmarkStart w:id="15" w:name="_Toc42182363"/>
      <w:r w:rsidRPr="005A77A5">
        <w:rPr>
          <w:rFonts w:cstheme="majorHAnsi"/>
          <w:color w:val="4472C4" w:themeColor="accent1"/>
          <w:sz w:val="28"/>
          <w:szCs w:val="28"/>
        </w:rPr>
        <w:t>Useful definitions from the JCGM Guide to the expression of uncertainty in measurement</w:t>
      </w:r>
      <w:bookmarkEnd w:id="15"/>
      <w:r w:rsidRPr="005A77A5">
        <w:rPr>
          <w:rFonts w:cstheme="majorHAnsi"/>
          <w:color w:val="4472C4" w:themeColor="accent1"/>
          <w:sz w:val="28"/>
          <w:szCs w:val="28"/>
        </w:rPr>
        <w:t xml:space="preserve"> </w:t>
      </w:r>
    </w:p>
    <w:p w14:paraId="67322C9F" w14:textId="0AE6BA03" w:rsidR="005A77A5" w:rsidRDefault="005A77A5" w:rsidP="005A77A5"/>
    <w:p w14:paraId="470B9B15"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Measurable quantity</w:t>
      </w:r>
      <w:r w:rsidRPr="00EB355A">
        <w:rPr>
          <w:rFonts w:cstheme="minorHAnsi"/>
        </w:rPr>
        <w:t>: attribute of a phenomenon, body or substance that may be distinguished qualitatively and determined quantitatively.</w:t>
      </w:r>
    </w:p>
    <w:p w14:paraId="23493EBC"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Value of a quantity</w:t>
      </w:r>
      <w:r w:rsidRPr="00EB355A">
        <w:rPr>
          <w:rFonts w:cstheme="minorHAnsi"/>
        </w:rPr>
        <w:t>: magnitude of a particular quantity generally expressed as a unit of measurement multiplied by a number</w:t>
      </w:r>
    </w:p>
    <w:p w14:paraId="4BF87E6C"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True value of a quantity</w:t>
      </w:r>
      <w:r w:rsidRPr="00EB355A">
        <w:rPr>
          <w:rFonts w:cstheme="minorHAnsi"/>
        </w:rPr>
        <w:t>: value consistent with the definition of a given particular quantity</w:t>
      </w:r>
    </w:p>
    <w:p w14:paraId="1716E40E"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Conventional true value of a quantity</w:t>
      </w:r>
      <w:r w:rsidRPr="00EB355A">
        <w:rPr>
          <w:rFonts w:cstheme="minorHAnsi"/>
        </w:rPr>
        <w:t>: value attributed to a particular quantity and accepted, sometimes by convention, as having an uncertainty appropriate for a given purpose</w:t>
      </w:r>
    </w:p>
    <w:p w14:paraId="6437B95C"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Measurement</w:t>
      </w:r>
      <w:r w:rsidRPr="00EB355A">
        <w:rPr>
          <w:rFonts w:cstheme="minorHAnsi"/>
        </w:rPr>
        <w:t>: set of operations having the object of determining a value of a quantity</w:t>
      </w:r>
    </w:p>
    <w:p w14:paraId="48CEFB2D"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Principle of measurement</w:t>
      </w:r>
      <w:r w:rsidRPr="00EB355A">
        <w:rPr>
          <w:rFonts w:cstheme="minorHAnsi"/>
        </w:rPr>
        <w:t>: scientific basis of a measurement</w:t>
      </w:r>
    </w:p>
    <w:p w14:paraId="4786D7BF"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Method of measurement</w:t>
      </w:r>
      <w:r w:rsidRPr="00EB355A">
        <w:rPr>
          <w:rFonts w:cstheme="minorHAnsi"/>
        </w:rPr>
        <w:t>: logical sequence of operations, described generically, used in the performance of measurements</w:t>
      </w:r>
    </w:p>
    <w:p w14:paraId="1B0F9188"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Measurement procedure</w:t>
      </w:r>
      <w:r w:rsidRPr="00EB355A">
        <w:rPr>
          <w:rFonts w:cstheme="minorHAnsi"/>
        </w:rPr>
        <w:t>: set of operations, described specifically, used in the performance of particular measurements according to a given method</w:t>
      </w:r>
    </w:p>
    <w:p w14:paraId="3F4ECB66"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Measurand</w:t>
      </w:r>
      <w:r w:rsidRPr="00EB355A">
        <w:rPr>
          <w:rFonts w:cstheme="minorHAnsi"/>
        </w:rPr>
        <w:t>: particular quantity subject to measurement</w:t>
      </w:r>
    </w:p>
    <w:p w14:paraId="4CDDDC59"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Influence quantity</w:t>
      </w:r>
      <w:r w:rsidRPr="00EB355A">
        <w:rPr>
          <w:rFonts w:cstheme="minorHAnsi"/>
        </w:rPr>
        <w:t>: quantity that is not the measurand but that affects the result of the measurement</w:t>
      </w:r>
    </w:p>
    <w:p w14:paraId="765B296E"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lastRenderedPageBreak/>
        <w:t>Result of a measurement</w:t>
      </w:r>
      <w:r w:rsidRPr="00EB355A">
        <w:rPr>
          <w:rFonts w:cstheme="minorHAnsi"/>
        </w:rPr>
        <w:t>: value attributed to a measurand, obtained by measurement</w:t>
      </w:r>
    </w:p>
    <w:p w14:paraId="22515EC5"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Uncorrected result</w:t>
      </w:r>
      <w:r w:rsidRPr="00EB355A">
        <w:rPr>
          <w:rFonts w:cstheme="minorHAnsi"/>
        </w:rPr>
        <w:t>: result of a measurement before correction for systematic error</w:t>
      </w:r>
    </w:p>
    <w:p w14:paraId="26AD5E25"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Corrected result</w:t>
      </w:r>
      <w:r w:rsidRPr="00EB355A">
        <w:rPr>
          <w:rFonts w:cstheme="minorHAnsi"/>
        </w:rPr>
        <w:t>: result of a measurement after correction for systematic error</w:t>
      </w:r>
    </w:p>
    <w:p w14:paraId="64017C38"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Accuracy of measurement</w:t>
      </w:r>
      <w:r w:rsidRPr="00EB355A">
        <w:rPr>
          <w:rFonts w:cstheme="minorHAnsi"/>
        </w:rPr>
        <w:t>: closeness of the agreement between the result of a measurement and a true value of the measurement</w:t>
      </w:r>
    </w:p>
    <w:p w14:paraId="280754D3"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Repeatability of results of measurements</w:t>
      </w:r>
      <w:r w:rsidRPr="00EB355A">
        <w:rPr>
          <w:rFonts w:cstheme="minorHAnsi"/>
        </w:rPr>
        <w:t>: closeness of the agreement between the results of successive measurements of the same measurand carried out under the same conditions of measurement</w:t>
      </w:r>
    </w:p>
    <w:p w14:paraId="3C4DEC62"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Reproducibility of results of measurements</w:t>
      </w:r>
      <w:r w:rsidRPr="00EB355A">
        <w:rPr>
          <w:rFonts w:cstheme="minorHAnsi"/>
        </w:rPr>
        <w:t>:</w:t>
      </w:r>
      <w:r w:rsidRPr="00EB355A">
        <w:rPr>
          <w:rFonts w:cstheme="minorHAnsi"/>
          <w:b/>
          <w:bCs/>
        </w:rPr>
        <w:t xml:space="preserve"> </w:t>
      </w:r>
      <w:r w:rsidRPr="00EB355A">
        <w:rPr>
          <w:rFonts w:cstheme="minorHAnsi"/>
        </w:rPr>
        <w:t>closeness of the agreement between the results of measurements of the same measurand carried out under changed conditions of measurement</w:t>
      </w:r>
    </w:p>
    <w:p w14:paraId="14723B41"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Experimental standard deviation</w:t>
      </w:r>
      <w:r w:rsidRPr="00EB355A">
        <w:rPr>
          <w:rFonts w:cstheme="minorHAnsi"/>
        </w:rPr>
        <w:t xml:space="preserve">: for a series of n measurements of the same measurand, the quantity </w:t>
      </w:r>
      <m:oMath>
        <m:r>
          <w:rPr>
            <w:rFonts w:ascii="Cambria Math" w:hAnsi="Cambria Math" w:cstheme="minorHAnsi"/>
          </w:rPr>
          <m:t>s</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k</m:t>
                </m:r>
              </m:sub>
            </m:sSub>
          </m:e>
        </m:d>
        <m:r>
          <w:rPr>
            <w:rFonts w:ascii="Cambria Math" w:hAnsi="Cambria Math" w:cstheme="minorHAnsi"/>
          </w:rPr>
          <m:t xml:space="preserve"> </m:t>
        </m:r>
      </m:oMath>
      <w:r w:rsidRPr="00EB355A">
        <w:rPr>
          <w:rFonts w:cstheme="minorHAnsi"/>
        </w:rPr>
        <w:t>characterizing the dispersion of the results and given by the formula:</w:t>
      </w:r>
    </w:p>
    <w:p w14:paraId="7D57E34F" w14:textId="77777777" w:rsidR="00B9299A" w:rsidRPr="00EB355A" w:rsidRDefault="00B9299A" w:rsidP="00B9299A">
      <w:pPr>
        <w:pStyle w:val="ListParagraph"/>
        <w:spacing w:line="360" w:lineRule="auto"/>
        <w:ind w:left="432"/>
        <w:jc w:val="both"/>
        <w:rPr>
          <w:rFonts w:cstheme="minorHAnsi"/>
        </w:rPr>
      </w:pPr>
      <m:oMathPara>
        <m:oMath>
          <m:r>
            <w:rPr>
              <w:rFonts w:ascii="Cambria Math" w:hAnsi="Cambria Math" w:cstheme="minorHAnsi"/>
            </w:rPr>
            <m:t>s</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k</m:t>
                  </m:r>
                </m:sub>
              </m:sSub>
            </m:e>
          </m:d>
          <m:r>
            <w:rPr>
              <w:rFonts w:ascii="Cambria Math" w:hAnsi="Cambria Math" w:cstheme="minorHAnsi"/>
            </w:rPr>
            <m:t xml:space="preserve">= </m:t>
          </m:r>
          <m:rad>
            <m:radPr>
              <m:degHide m:val="1"/>
              <m:ctrlPr>
                <w:rPr>
                  <w:rFonts w:ascii="Cambria Math" w:hAnsi="Cambria Math" w:cstheme="minorHAnsi"/>
                  <w:i/>
                </w:rPr>
              </m:ctrlPr>
            </m:radPr>
            <m:deg/>
            <m:e>
              <m:f>
                <m:fPr>
                  <m:ctrlPr>
                    <w:rPr>
                      <w:rFonts w:ascii="Cambria Math" w:hAnsi="Cambria Math" w:cstheme="minorHAnsi"/>
                      <w:i/>
                    </w:rPr>
                  </m:ctrlPr>
                </m:fPr>
                <m:num>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n</m:t>
                      </m:r>
                    </m:sup>
                    <m:e>
                      <m:sSup>
                        <m:sSupPr>
                          <m:ctrlPr>
                            <w:rPr>
                              <w:rFonts w:ascii="Cambria Math" w:hAnsi="Cambria Math" w:cstheme="minorHAnsi"/>
                              <w:i/>
                            </w:rPr>
                          </m:ctrlPr>
                        </m:sSupPr>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j</m:t>
                              </m:r>
                            </m:sub>
                          </m:sSub>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q</m:t>
                              </m:r>
                            </m:e>
                          </m:acc>
                          <m:r>
                            <w:rPr>
                              <w:rFonts w:ascii="Cambria Math" w:hAnsi="Cambria Math" w:cstheme="minorHAnsi"/>
                            </w:rPr>
                            <m:t>)</m:t>
                          </m:r>
                        </m:e>
                        <m:sup>
                          <m:r>
                            <w:rPr>
                              <w:rFonts w:ascii="Cambria Math" w:hAnsi="Cambria Math" w:cstheme="minorHAnsi"/>
                            </w:rPr>
                            <m:t>2</m:t>
                          </m:r>
                        </m:sup>
                      </m:sSup>
                    </m:e>
                  </m:nary>
                </m:num>
                <m:den>
                  <m:r>
                    <w:rPr>
                      <w:rFonts w:ascii="Cambria Math" w:hAnsi="Cambria Math" w:cstheme="minorHAnsi"/>
                    </w:rPr>
                    <m:t>n-1</m:t>
                  </m:r>
                </m:den>
              </m:f>
            </m:e>
          </m:rad>
        </m:oMath>
      </m:oMathPara>
    </w:p>
    <w:p w14:paraId="2FB83E78" w14:textId="77777777" w:rsidR="00B9299A" w:rsidRPr="00EB355A" w:rsidRDefault="00A933BF" w:rsidP="00B9299A">
      <w:pPr>
        <w:pStyle w:val="ListParagraph"/>
        <w:spacing w:line="360" w:lineRule="auto"/>
        <w:ind w:left="432"/>
        <w:jc w:val="both"/>
        <w:rPr>
          <w:rFonts w:cstheme="minorHAnsi"/>
        </w:rPr>
      </w:pPr>
      <m:oMath>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k</m:t>
            </m:r>
          </m:sub>
        </m:sSub>
      </m:oMath>
      <w:r w:rsidR="00B9299A" w:rsidRPr="00EB355A">
        <w:rPr>
          <w:rFonts w:cstheme="minorHAnsi"/>
        </w:rPr>
        <w:t xml:space="preserve"> being the result of the </w:t>
      </w:r>
      <w:r w:rsidR="00B9299A" w:rsidRPr="00EB355A">
        <w:rPr>
          <w:rFonts w:cstheme="minorHAnsi"/>
          <w:i/>
          <w:iCs/>
        </w:rPr>
        <w:t>k</w:t>
      </w:r>
      <w:r w:rsidR="00B9299A" w:rsidRPr="00EB355A">
        <w:rPr>
          <w:rFonts w:cstheme="minorHAnsi"/>
        </w:rPr>
        <w:t>th measurement and</w:t>
      </w:r>
      <m:oMath>
        <m:acc>
          <m:accPr>
            <m:chr m:val="̅"/>
            <m:ctrlPr>
              <w:rPr>
                <w:rFonts w:ascii="Cambria Math" w:hAnsi="Cambria Math" w:cstheme="minorHAnsi"/>
                <w:i/>
              </w:rPr>
            </m:ctrlPr>
          </m:accPr>
          <m:e>
            <m:r>
              <w:rPr>
                <w:rFonts w:ascii="Cambria Math" w:hAnsi="Cambria Math" w:cstheme="minorHAnsi"/>
              </w:rPr>
              <m:t xml:space="preserve"> q</m:t>
            </m:r>
          </m:e>
        </m:acc>
      </m:oMath>
      <w:r w:rsidR="00B9299A" w:rsidRPr="00EB355A">
        <w:rPr>
          <w:rFonts w:cstheme="minorHAnsi"/>
        </w:rPr>
        <w:t xml:space="preserve"> being the arithmetic mean of the </w:t>
      </w:r>
      <w:r w:rsidR="00B9299A" w:rsidRPr="00EB355A">
        <w:rPr>
          <w:rFonts w:cstheme="minorHAnsi"/>
          <w:i/>
          <w:iCs/>
        </w:rPr>
        <w:t>n</w:t>
      </w:r>
      <w:r w:rsidR="00B9299A" w:rsidRPr="00EB355A">
        <w:rPr>
          <w:rFonts w:cstheme="minorHAnsi"/>
        </w:rPr>
        <w:t xml:space="preserve"> results considered.</w:t>
      </w:r>
    </w:p>
    <w:p w14:paraId="4A41434E"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Uncertainty of measurement</w:t>
      </w:r>
      <w:r w:rsidRPr="00EB355A">
        <w:rPr>
          <w:rFonts w:cstheme="minorHAnsi"/>
        </w:rPr>
        <w:t>: parameter, associated with the result of a measurement, that characterizes the dispersion of the values that could reasonably be attributed to the measurand</w:t>
      </w:r>
    </w:p>
    <w:p w14:paraId="44BFECA4"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Error of a measurement</w:t>
      </w:r>
      <w:r w:rsidRPr="00EB355A">
        <w:rPr>
          <w:rFonts w:cstheme="minorHAnsi"/>
        </w:rPr>
        <w:t>: result of a measurement minus a true value of the measurand</w:t>
      </w:r>
    </w:p>
    <w:p w14:paraId="11E6193C"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Relative error</w:t>
      </w:r>
      <w:r w:rsidRPr="00EB355A">
        <w:rPr>
          <w:rFonts w:cstheme="minorHAnsi"/>
        </w:rPr>
        <w:t>: error of measurement divided by a true value of the measurand</w:t>
      </w:r>
    </w:p>
    <w:p w14:paraId="4362DB7A"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Random error</w:t>
      </w:r>
      <w:r w:rsidRPr="00EB355A">
        <w:rPr>
          <w:rFonts w:cstheme="minorHAnsi"/>
        </w:rPr>
        <w:t>: result of a measurement minus the mean that would result from an infinite number of measurements of the same measurand carried out under repeatability conditions</w:t>
      </w:r>
    </w:p>
    <w:p w14:paraId="428AB881"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Systematic error</w:t>
      </w:r>
      <w:r w:rsidRPr="00EB355A">
        <w:rPr>
          <w:rFonts w:cstheme="minorHAnsi"/>
        </w:rPr>
        <w:t>: mean that would result from an infinite number of measurements of the same measurand carried out under repeatability conditions minus a true value of the measurand</w:t>
      </w:r>
    </w:p>
    <w:p w14:paraId="5ED4F6E4"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Correction</w:t>
      </w:r>
      <w:r w:rsidRPr="00EB355A">
        <w:rPr>
          <w:rFonts w:cstheme="minorHAnsi"/>
        </w:rPr>
        <w:t>: value added algebraically to the uncorrected result of a measurement to compensate for systematic error</w:t>
      </w:r>
    </w:p>
    <w:p w14:paraId="2B10745A" w14:textId="77777777" w:rsidR="00B9299A" w:rsidRPr="00EB355A" w:rsidRDefault="00B9299A" w:rsidP="00B9299A">
      <w:pPr>
        <w:pStyle w:val="ListParagraph"/>
        <w:numPr>
          <w:ilvl w:val="0"/>
          <w:numId w:val="11"/>
        </w:numPr>
        <w:spacing w:line="360" w:lineRule="auto"/>
        <w:jc w:val="both"/>
        <w:rPr>
          <w:rFonts w:cstheme="minorHAnsi"/>
        </w:rPr>
      </w:pPr>
      <w:r w:rsidRPr="00EB355A">
        <w:rPr>
          <w:rFonts w:cstheme="minorHAnsi"/>
          <w:b/>
          <w:bCs/>
        </w:rPr>
        <w:t>Correction factor</w:t>
      </w:r>
      <w:r w:rsidRPr="00EB355A">
        <w:rPr>
          <w:rFonts w:cstheme="minorHAnsi"/>
        </w:rPr>
        <w:t>: numerical factor by which the uncorrected result of a measurement is multiplied to compensate for systematic error.</w:t>
      </w:r>
    </w:p>
    <w:p w14:paraId="507ACE4B" w14:textId="6CDA4E79" w:rsidR="005A77A5" w:rsidRDefault="00B9299A" w:rsidP="00113D9D">
      <w:pPr>
        <w:spacing w:line="360" w:lineRule="auto"/>
        <w:rPr>
          <w:rFonts w:cstheme="minorHAnsi"/>
        </w:rPr>
      </w:pPr>
      <w:r w:rsidRPr="00EB355A">
        <w:rPr>
          <w:rFonts w:cstheme="minorHAnsi"/>
        </w:rPr>
        <w:t>Additional guidance on evaluating and expressing uncertainty components and definitions may be found in</w:t>
      </w:r>
      <w:r>
        <w:rPr>
          <w:rFonts w:cstheme="minorHAnsi"/>
        </w:rPr>
        <w:t xml:space="preserve"> </w:t>
      </w:r>
      <w:r>
        <w:rPr>
          <w:rFonts w:cstheme="minorHAnsi"/>
        </w:rPr>
        <w:fldChar w:fldCharType="begin" w:fldLock="1"/>
      </w:r>
      <w:r w:rsidR="000D5CCC">
        <w:rPr>
          <w:rFonts w:cstheme="minorHAnsi"/>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742c897d-7840-4b76-9626-1cf60b423326"]}],"mendeley":{"formattedCitation":"[7]","plainTextFormattedCitation":"[7]","previouslyFormattedCitation":"[7]"},"properties":{"noteIndex":0},"schema":"https://github.com/citation-style-language/schema/raw/master/csl-citation.json"}</w:instrText>
      </w:r>
      <w:r>
        <w:rPr>
          <w:rFonts w:cstheme="minorHAnsi"/>
        </w:rPr>
        <w:fldChar w:fldCharType="separate"/>
      </w:r>
      <w:r w:rsidR="00E74EA1" w:rsidRPr="00E74EA1">
        <w:rPr>
          <w:rFonts w:cstheme="minorHAnsi"/>
          <w:noProof/>
        </w:rPr>
        <w:t>[7]</w:t>
      </w:r>
      <w:r>
        <w:rPr>
          <w:rFonts w:cstheme="minorHAnsi"/>
        </w:rPr>
        <w:fldChar w:fldCharType="end"/>
      </w:r>
      <w:r>
        <w:rPr>
          <w:rFonts w:cstheme="minorHAnsi"/>
        </w:rPr>
        <w:t>.</w:t>
      </w:r>
    </w:p>
    <w:p w14:paraId="498D7F50" w14:textId="28379D7C" w:rsidR="00B9299A" w:rsidRDefault="00B9299A" w:rsidP="00B9299A"/>
    <w:p w14:paraId="78A1545E" w14:textId="602E8E6F" w:rsidR="001007D4" w:rsidRDefault="001007D4" w:rsidP="00B9299A"/>
    <w:p w14:paraId="751B34ED" w14:textId="2FCA6AEC" w:rsidR="001007D4" w:rsidRDefault="001007D4" w:rsidP="00B9299A"/>
    <w:p w14:paraId="73DB40F4" w14:textId="1E693203" w:rsidR="008464AC" w:rsidRPr="00A11B2A" w:rsidRDefault="008464AC" w:rsidP="008464AC">
      <w:pPr>
        <w:pStyle w:val="Heading2"/>
        <w:rPr>
          <w:color w:val="4472C4" w:themeColor="accent1"/>
        </w:rPr>
      </w:pPr>
      <w:bookmarkStart w:id="16" w:name="_Toc42182364"/>
      <w:r w:rsidRPr="00A11B2A">
        <w:rPr>
          <w:color w:val="4472C4" w:themeColor="accent1"/>
        </w:rPr>
        <w:lastRenderedPageBreak/>
        <w:t>Uncertainty propagation</w:t>
      </w:r>
      <w:bookmarkEnd w:id="16"/>
    </w:p>
    <w:p w14:paraId="0EA78E52" w14:textId="4D0B8720" w:rsidR="001007D4" w:rsidRDefault="001007D4" w:rsidP="001007D4"/>
    <w:p w14:paraId="3E9255E0" w14:textId="3A3D5116" w:rsidR="00E718F3" w:rsidRPr="004E1603" w:rsidRDefault="00E718F3" w:rsidP="00E718F3">
      <w:pPr>
        <w:spacing w:line="360" w:lineRule="auto"/>
        <w:jc w:val="both"/>
        <w:rPr>
          <w:rFonts w:cstheme="minorHAnsi"/>
        </w:rPr>
      </w:pPr>
      <w:r w:rsidRPr="004E1603">
        <w:rPr>
          <w:rFonts w:cstheme="minorHAnsi"/>
        </w:rPr>
        <w:t>The</w:t>
      </w:r>
      <w:r w:rsidRPr="004E1603">
        <w:rPr>
          <w:rFonts w:cstheme="minorHAnsi"/>
          <w:i/>
          <w:iCs/>
        </w:rPr>
        <w:t xml:space="preserve"> </w:t>
      </w:r>
      <w:r w:rsidRPr="004E1603">
        <w:rPr>
          <w:rFonts w:cstheme="minorHAnsi"/>
        </w:rPr>
        <w:t>uncertainty associated with a measured value can generally be attributed to many components</w:t>
      </w:r>
      <w:r>
        <w:rPr>
          <w:rFonts w:cstheme="minorHAnsi"/>
        </w:rPr>
        <w:t>: the measuring instrument, the item being measured, the measurement procedure, operator skills, sampling issues, the ambient conditions, etc</w:t>
      </w:r>
      <w:r w:rsidRPr="004E1603">
        <w:rPr>
          <w:rFonts w:cstheme="minorHAnsi"/>
        </w:rPr>
        <w:t>. Some of these components may be evaluated from the statistical distribution of the results of series of measurements and can be characterized by experimental standard deviations</w:t>
      </w:r>
      <w:r>
        <w:rPr>
          <w:rFonts w:cstheme="minorHAnsi"/>
        </w:rPr>
        <w:t>. A</w:t>
      </w:r>
      <w:r w:rsidRPr="004E1603">
        <w:rPr>
          <w:rFonts w:cstheme="minorHAnsi"/>
        </w:rPr>
        <w:t>ll components of uncertainty, including those arising from systematic effects, such as components associated with corrections and reference standards, contribute to the dispersion.</w:t>
      </w:r>
    </w:p>
    <w:p w14:paraId="6F84C051" w14:textId="10ACF568" w:rsidR="00E718F3" w:rsidRPr="004E1603" w:rsidRDefault="00E718F3" w:rsidP="00E718F3">
      <w:pPr>
        <w:spacing w:line="360" w:lineRule="auto"/>
        <w:jc w:val="both"/>
        <w:rPr>
          <w:rFonts w:cstheme="minorHAnsi"/>
        </w:rPr>
      </w:pPr>
      <w:r w:rsidRPr="004E1603">
        <w:rPr>
          <w:rFonts w:cstheme="minorHAnsi"/>
        </w:rPr>
        <w:t xml:space="preserve">Once all influential uncertainty components have been evaluated, the general procedure to derive the </w:t>
      </w:r>
      <w:r w:rsidRPr="00BA29AC">
        <w:rPr>
          <w:rFonts w:cstheme="minorHAnsi"/>
        </w:rPr>
        <w:t>combined standard uncertainty</w:t>
      </w:r>
      <w:r w:rsidRPr="004E1603">
        <w:rPr>
          <w:rFonts w:cstheme="minorHAnsi"/>
        </w:rPr>
        <w:t xml:space="preserve"> of the in-situ measurement involves propagating these components through the associated measurement equation (and any subsequent treatment of the data).  In </w:t>
      </w:r>
      <w:r w:rsidR="00E74EA1">
        <w:rPr>
          <w:rFonts w:cstheme="minorHAnsi"/>
        </w:rPr>
        <w:fldChar w:fldCharType="begin" w:fldLock="1"/>
      </w:r>
      <w:r w:rsidR="000D5CCC">
        <w:rPr>
          <w:rFonts w:cstheme="minorHAnsi"/>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4c5ce197-d488-4634-8978-f025058fd091"]}],"mendeley":{"formattedCitation":"[7]","plainTextFormattedCitation":"[7]","previouslyFormattedCitation":"[7]"},"properties":{"noteIndex":0},"schema":"https://github.com/citation-style-language/schema/raw/master/csl-citation.json"}</w:instrText>
      </w:r>
      <w:r w:rsidR="00E74EA1">
        <w:rPr>
          <w:rFonts w:cstheme="minorHAnsi"/>
        </w:rPr>
        <w:fldChar w:fldCharType="separate"/>
      </w:r>
      <w:r w:rsidR="00E74EA1" w:rsidRPr="00E74EA1">
        <w:rPr>
          <w:rFonts w:cstheme="minorHAnsi"/>
          <w:noProof/>
        </w:rPr>
        <w:t>[7]</w:t>
      </w:r>
      <w:r w:rsidR="00E74EA1">
        <w:rPr>
          <w:rFonts w:cstheme="minorHAnsi"/>
        </w:rPr>
        <w:fldChar w:fldCharType="end"/>
      </w:r>
      <w:r w:rsidRPr="004E1603">
        <w:rPr>
          <w:rFonts w:cstheme="minorHAnsi"/>
        </w:rPr>
        <w:t xml:space="preserve"> a combined standard uncertainty is defined as “</w:t>
      </w:r>
      <w:r w:rsidRPr="004E1603">
        <w:rPr>
          <w:rFonts w:cstheme="minorHAnsi"/>
          <w:i/>
          <w:iCs/>
        </w:rPr>
        <w:t>a standard uncertainty of the result of a measurement when that result is obtained from the values of a number of other quantities, equal to the positive square root of a sum of terms, the terms being the variances of covariances of these other quantities weighted according to how the measurement result varies with changes in these quantities”</w:t>
      </w:r>
      <w:r w:rsidRPr="004E1603">
        <w:rPr>
          <w:rFonts w:cstheme="minorHAnsi"/>
        </w:rPr>
        <w:t xml:space="preserve">. This is achieved using the </w:t>
      </w:r>
      <w:r w:rsidRPr="004E1603">
        <w:rPr>
          <w:rFonts w:cstheme="minorHAnsi"/>
          <w:b/>
          <w:bCs/>
        </w:rPr>
        <w:t>law of propagation of uncertainty</w:t>
      </w:r>
      <w:r w:rsidRPr="004E1603">
        <w:rPr>
          <w:rFonts w:cstheme="minorHAnsi"/>
        </w:rPr>
        <w:t xml:space="preserve"> </w:t>
      </w:r>
      <w:r w:rsidRPr="004E1603">
        <w:rPr>
          <w:rFonts w:cstheme="minorHAnsi"/>
        </w:rPr>
        <w:fldChar w:fldCharType="begin" w:fldLock="1"/>
      </w:r>
      <w:r w:rsidR="000D5CCC">
        <w:rPr>
          <w:rFonts w:cstheme="minorHAnsi"/>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4c5ce197-d488-4634-8978-f025058fd091"]}],"mendeley":{"formattedCitation":"[7]","plainTextFormattedCitation":"[7]","previouslyFormattedCitation":"[7]"},"properties":{"noteIndex":0},"schema":"https://github.com/citation-style-language/schema/raw/master/csl-citation.json"}</w:instrText>
      </w:r>
      <w:r w:rsidRPr="004E1603">
        <w:rPr>
          <w:rFonts w:cstheme="minorHAnsi"/>
        </w:rPr>
        <w:fldChar w:fldCharType="separate"/>
      </w:r>
      <w:r w:rsidR="00E74EA1" w:rsidRPr="00E74EA1">
        <w:rPr>
          <w:rFonts w:cstheme="minorHAnsi"/>
          <w:noProof/>
        </w:rPr>
        <w:t>[7]</w:t>
      </w:r>
      <w:r w:rsidRPr="004E1603">
        <w:rPr>
          <w:rFonts w:cstheme="minorHAnsi"/>
        </w:rPr>
        <w:fldChar w:fldCharType="end"/>
      </w:r>
      <w:r w:rsidRPr="004E1603">
        <w:rPr>
          <w:rFonts w:cstheme="minorHAnsi"/>
        </w:rPr>
        <w:t>, which states that for the measurement equation:</w:t>
      </w:r>
    </w:p>
    <w:p w14:paraId="52D2CCB3" w14:textId="77777777" w:rsidR="00E718F3" w:rsidRPr="004E1603" w:rsidRDefault="00E718F3" w:rsidP="00E718F3">
      <w:pPr>
        <w:spacing w:line="360" w:lineRule="auto"/>
        <w:jc w:val="both"/>
        <w:rPr>
          <w:rFonts w:eastAsiaTheme="minorEastAsia" w:cstheme="minorHAnsi"/>
        </w:rPr>
      </w:pPr>
      <m:oMathPara>
        <m:oMath>
          <m:r>
            <w:rPr>
              <w:rFonts w:ascii="Cambria Math" w:hAnsi="Cambria Math" w:cstheme="minorHAnsi"/>
            </w:rPr>
            <m:t>y=f</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n</m:t>
                  </m:r>
                </m:sub>
              </m:sSub>
            </m:e>
          </m:d>
        </m:oMath>
      </m:oMathPara>
    </w:p>
    <w:p w14:paraId="3E47D566" w14:textId="77777777" w:rsidR="00003B86" w:rsidRDefault="00E718F3" w:rsidP="00003B86">
      <w:pPr>
        <w:keepNext/>
        <w:spacing w:line="360" w:lineRule="auto"/>
        <w:jc w:val="center"/>
      </w:pPr>
      <w:r w:rsidRPr="004E1603">
        <w:rPr>
          <w:rFonts w:eastAsiaTheme="minorEastAsia" w:cstheme="minorHAnsi"/>
          <w:noProof/>
        </w:rPr>
        <w:drawing>
          <wp:inline distT="0" distB="0" distL="0" distR="0" wp14:anchorId="0A47E379" wp14:editId="1AEFA661">
            <wp:extent cx="4208018" cy="1934308"/>
            <wp:effectExtent l="0" t="0" r="2540" b="889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put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6802" cy="1952136"/>
                    </a:xfrm>
                    <a:prstGeom prst="rect">
                      <a:avLst/>
                    </a:prstGeom>
                  </pic:spPr>
                </pic:pic>
              </a:graphicData>
            </a:graphic>
          </wp:inline>
        </w:drawing>
      </w:r>
    </w:p>
    <w:p w14:paraId="4E93AD54" w14:textId="5F222C89" w:rsidR="00003B86" w:rsidRDefault="00003B86" w:rsidP="00CB411A">
      <w:pPr>
        <w:pStyle w:val="Caption"/>
        <w:jc w:val="center"/>
        <w:rPr>
          <w:color w:val="4472C4" w:themeColor="accent1"/>
        </w:rPr>
      </w:pPr>
      <w:bookmarkStart w:id="17" w:name="_Toc42180697"/>
      <w:r w:rsidRPr="00EE0F88">
        <w:rPr>
          <w:color w:val="4472C4" w:themeColor="accent1"/>
        </w:rPr>
        <w:t xml:space="preserve">Figure </w:t>
      </w:r>
      <w:r w:rsidRPr="00EE0F88">
        <w:rPr>
          <w:color w:val="4472C4" w:themeColor="accent1"/>
        </w:rPr>
        <w:fldChar w:fldCharType="begin"/>
      </w:r>
      <w:r w:rsidRPr="00EE0F88">
        <w:rPr>
          <w:color w:val="4472C4" w:themeColor="accent1"/>
        </w:rPr>
        <w:instrText xml:space="preserve"> SEQ Figure \* ARABIC </w:instrText>
      </w:r>
      <w:r w:rsidRPr="00EE0F88">
        <w:rPr>
          <w:color w:val="4472C4" w:themeColor="accent1"/>
        </w:rPr>
        <w:fldChar w:fldCharType="separate"/>
      </w:r>
      <w:r w:rsidRPr="00EE0F88">
        <w:rPr>
          <w:noProof/>
          <w:color w:val="4472C4" w:themeColor="accent1"/>
        </w:rPr>
        <w:t>5</w:t>
      </w:r>
      <w:r w:rsidRPr="00EE0F88">
        <w:rPr>
          <w:color w:val="4472C4" w:themeColor="accent1"/>
        </w:rPr>
        <w:fldChar w:fldCharType="end"/>
      </w:r>
      <w:r w:rsidRPr="00EE0F88">
        <w:rPr>
          <w:color w:val="4472C4" w:themeColor="accent1"/>
        </w:rPr>
        <w:t>: Measurement function [24]</w:t>
      </w:r>
      <w:bookmarkEnd w:id="17"/>
    </w:p>
    <w:p w14:paraId="3D137FC7" w14:textId="5B627639" w:rsidR="00CB411A" w:rsidRDefault="00CB411A" w:rsidP="00CB411A"/>
    <w:p w14:paraId="6B5E611D" w14:textId="1EC091C5" w:rsidR="00636F70" w:rsidRDefault="00636F70" w:rsidP="00CB411A"/>
    <w:p w14:paraId="5CA4EC56" w14:textId="3E0B7ACE" w:rsidR="00636F70" w:rsidRDefault="00636F70" w:rsidP="00CB411A"/>
    <w:p w14:paraId="59730953" w14:textId="564F5798" w:rsidR="00636F70" w:rsidRDefault="00636F70" w:rsidP="00CB411A"/>
    <w:p w14:paraId="3CE040A1" w14:textId="77777777" w:rsidR="000A0608" w:rsidRPr="00CB411A" w:rsidRDefault="000A0608" w:rsidP="00CB411A"/>
    <w:p w14:paraId="5CE30196" w14:textId="77777777" w:rsidR="00E718F3" w:rsidRDefault="00E718F3" w:rsidP="00E718F3">
      <w:pPr>
        <w:spacing w:line="360" w:lineRule="auto"/>
        <w:jc w:val="both"/>
        <w:rPr>
          <w:rFonts w:eastAsiaTheme="minorEastAsia" w:cstheme="minorHAnsi"/>
        </w:rPr>
      </w:pPr>
      <w:r w:rsidRPr="004E1603">
        <w:rPr>
          <w:rFonts w:eastAsiaTheme="minorEastAsia" w:cstheme="minorHAnsi"/>
        </w:rPr>
        <w:lastRenderedPageBreak/>
        <w:t>The combined standard uncertainty can be obtained as:</w:t>
      </w:r>
    </w:p>
    <w:p w14:paraId="0BC0CD6F" w14:textId="77777777" w:rsidR="00E718F3" w:rsidRPr="004E1603" w:rsidRDefault="00E718F3" w:rsidP="00E718F3">
      <w:pPr>
        <w:spacing w:line="360" w:lineRule="auto"/>
        <w:jc w:val="both"/>
        <w:rPr>
          <w:rFonts w:eastAsiaTheme="minorEastAsia" w:cstheme="minorHAnsi"/>
        </w:rPr>
      </w:pPr>
      <m:oMathPara>
        <m:oMath>
          <m:r>
            <m:rPr>
              <m:sty m:val="p"/>
            </m:rPr>
            <w:rPr>
              <w:rFonts w:ascii="Cambria Math" w:hAnsi="Cambria Math" w:cstheme="minorHAnsi"/>
            </w:rPr>
            <w:br/>
          </m:r>
        </m:oMath>
        <m:oMath>
          <m:r>
            <w:rPr>
              <w:rFonts w:ascii="Cambria Math" w:hAnsi="Cambria Math" w:cstheme="minorHAnsi"/>
              <w:sz w:val="20"/>
              <w:szCs w:val="20"/>
            </w:rPr>
            <m:t>u</m:t>
          </m:r>
          <m:d>
            <m:dPr>
              <m:ctrlPr>
                <w:rPr>
                  <w:rFonts w:ascii="Cambria Math" w:hAnsi="Cambria Math" w:cstheme="minorHAnsi"/>
                  <w:i/>
                  <w:sz w:val="20"/>
                  <w:szCs w:val="20"/>
                </w:rPr>
              </m:ctrlPr>
            </m:dPr>
            <m:e>
              <m:r>
                <w:rPr>
                  <w:rFonts w:ascii="Cambria Math" w:hAnsi="Cambria Math" w:cstheme="minorHAnsi"/>
                  <w:sz w:val="20"/>
                  <w:szCs w:val="20"/>
                </w:rPr>
                <m:t>y</m:t>
              </m:r>
            </m:e>
          </m:d>
          <m:r>
            <w:rPr>
              <w:rFonts w:ascii="Cambria Math" w:hAnsi="Cambria Math" w:cstheme="minorHAnsi"/>
              <w:sz w:val="20"/>
              <w:szCs w:val="20"/>
            </w:rPr>
            <m:t>=</m:t>
          </m:r>
          <m:rad>
            <m:radPr>
              <m:degHide m:val="1"/>
              <m:ctrlPr>
                <w:rPr>
                  <w:rFonts w:ascii="Cambria Math" w:hAnsi="Cambria Math" w:cstheme="minorHAnsi"/>
                  <w:i/>
                  <w:sz w:val="20"/>
                  <w:szCs w:val="20"/>
                </w:rPr>
              </m:ctrlPr>
            </m:radPr>
            <m:deg/>
            <m:e>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m:t>
                  </m:r>
                </m:sup>
                <m:e>
                  <m:sSup>
                    <m:sSupPr>
                      <m:ctrlPr>
                        <w:rPr>
                          <w:rFonts w:ascii="Cambria Math" w:hAnsi="Cambria Math" w:cstheme="minorHAnsi"/>
                          <w:i/>
                          <w:sz w:val="20"/>
                          <w:szCs w:val="20"/>
                        </w:rPr>
                      </m:ctrlPr>
                    </m:sSupPr>
                    <m:e>
                      <m:d>
                        <m:dPr>
                          <m:begChr m:val="["/>
                          <m:endChr m:val="]"/>
                          <m:ctrlPr>
                            <w:rPr>
                              <w:rFonts w:ascii="Cambria Math" w:hAnsi="Cambria Math" w:cstheme="minorHAnsi"/>
                              <w:i/>
                              <w:sz w:val="20"/>
                              <w:szCs w:val="20"/>
                            </w:rPr>
                          </m:ctrlPr>
                        </m:dPr>
                        <m:e>
                          <m:f>
                            <m:fPr>
                              <m:ctrlPr>
                                <w:rPr>
                                  <w:rFonts w:ascii="Cambria Math" w:hAnsi="Cambria Math" w:cstheme="minorHAnsi"/>
                                  <w:i/>
                                  <w:sz w:val="20"/>
                                  <w:szCs w:val="20"/>
                                </w:rPr>
                              </m:ctrlPr>
                            </m:fPr>
                            <m:num>
                              <m:r>
                                <w:rPr>
                                  <w:rFonts w:ascii="Cambria Math" w:hAnsi="Cambria Math" w:cstheme="minorHAnsi"/>
                                  <w:sz w:val="20"/>
                                  <w:szCs w:val="20"/>
                                </w:rPr>
                                <m:t>∂f</m:t>
                              </m:r>
                            </m:num>
                            <m:den>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den>
                          </m:f>
                          <m:r>
                            <w:rPr>
                              <w:rFonts w:ascii="Cambria Math" w:hAnsi="Cambria Math" w:cstheme="minorHAnsi"/>
                              <w:sz w:val="20"/>
                              <w:szCs w:val="20"/>
                            </w:rPr>
                            <m:t xml:space="preserve"> u(</m:t>
                          </m:r>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r>
                            <w:rPr>
                              <w:rFonts w:ascii="Cambria Math" w:hAnsi="Cambria Math" w:cstheme="minorHAnsi"/>
                              <w:sz w:val="20"/>
                              <w:szCs w:val="20"/>
                            </w:rPr>
                            <m:t>)</m:t>
                          </m:r>
                        </m:e>
                      </m:d>
                    </m:e>
                    <m:sup>
                      <m:r>
                        <w:rPr>
                          <w:rFonts w:ascii="Cambria Math" w:hAnsi="Cambria Math" w:cstheme="minorHAnsi"/>
                          <w:sz w:val="20"/>
                          <w:szCs w:val="20"/>
                        </w:rPr>
                        <m:t>2</m:t>
                      </m:r>
                    </m:sup>
                  </m:sSup>
                  <m:r>
                    <w:rPr>
                      <w:rFonts w:ascii="Cambria Math" w:hAnsi="Cambria Math" w:cstheme="minorHAnsi"/>
                      <w:sz w:val="20"/>
                      <w:szCs w:val="20"/>
                    </w:rPr>
                    <m:t>+2</m:t>
                  </m:r>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n-1</m:t>
                      </m:r>
                    </m:sup>
                    <m:e>
                      <m:nary>
                        <m:naryPr>
                          <m:chr m:val="∑"/>
                          <m:limLoc m:val="undOvr"/>
                          <m:ctrlPr>
                            <w:rPr>
                              <w:rFonts w:ascii="Cambria Math" w:hAnsi="Cambria Math" w:cstheme="minorHAnsi"/>
                              <w:i/>
                              <w:sz w:val="20"/>
                              <w:szCs w:val="20"/>
                            </w:rPr>
                          </m:ctrlPr>
                        </m:naryPr>
                        <m:sub>
                          <m:r>
                            <w:rPr>
                              <w:rFonts w:ascii="Cambria Math" w:hAnsi="Cambria Math" w:cstheme="minorHAnsi"/>
                              <w:sz w:val="20"/>
                              <w:szCs w:val="20"/>
                            </w:rPr>
                            <m:t>j=i+1</m:t>
                          </m:r>
                        </m:sub>
                        <m:sup>
                          <m:r>
                            <w:rPr>
                              <w:rFonts w:ascii="Cambria Math" w:hAnsi="Cambria Math" w:cstheme="minorHAnsi"/>
                              <w:sz w:val="20"/>
                              <w:szCs w:val="20"/>
                            </w:rPr>
                            <m:t>n</m:t>
                          </m:r>
                        </m:sup>
                        <m:e>
                          <m:f>
                            <m:fPr>
                              <m:ctrlPr>
                                <w:rPr>
                                  <w:rFonts w:ascii="Cambria Math" w:hAnsi="Cambria Math" w:cstheme="minorHAnsi"/>
                                  <w:i/>
                                  <w:sz w:val="20"/>
                                  <w:szCs w:val="20"/>
                                </w:rPr>
                              </m:ctrlPr>
                            </m:fPr>
                            <m:num>
                              <m:r>
                                <w:rPr>
                                  <w:rFonts w:ascii="Cambria Math" w:hAnsi="Cambria Math" w:cstheme="minorHAnsi"/>
                                  <w:sz w:val="20"/>
                                  <w:szCs w:val="20"/>
                                </w:rPr>
                                <m:t>∂f</m:t>
                              </m:r>
                            </m:num>
                            <m:den>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den>
                          </m:f>
                          <m:r>
                            <w:rPr>
                              <w:rFonts w:ascii="Cambria Math" w:hAnsi="Cambria Math" w:cstheme="minorHAnsi"/>
                              <w:sz w:val="20"/>
                              <w:szCs w:val="20"/>
                            </w:rPr>
                            <m:t xml:space="preserve"> </m:t>
                          </m:r>
                          <m:f>
                            <m:fPr>
                              <m:ctrlPr>
                                <w:rPr>
                                  <w:rFonts w:ascii="Cambria Math" w:hAnsi="Cambria Math" w:cstheme="minorHAnsi"/>
                                  <w:i/>
                                  <w:sz w:val="20"/>
                                  <w:szCs w:val="20"/>
                                </w:rPr>
                              </m:ctrlPr>
                            </m:fPr>
                            <m:num>
                              <m:r>
                                <w:rPr>
                                  <w:rFonts w:ascii="Cambria Math" w:hAnsi="Cambria Math" w:cstheme="minorHAnsi"/>
                                  <w:sz w:val="20"/>
                                  <w:szCs w:val="20"/>
                                </w:rPr>
                                <m:t>∂f</m:t>
                              </m:r>
                            </m:num>
                            <m:den>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j</m:t>
                                  </m:r>
                                </m:sub>
                              </m:sSub>
                            </m:den>
                          </m:f>
                          <m:r>
                            <w:rPr>
                              <w:rFonts w:ascii="Cambria Math" w:hAnsi="Cambria Math" w:cstheme="minorHAnsi"/>
                              <w:sz w:val="20"/>
                              <w:szCs w:val="20"/>
                            </w:rPr>
                            <m:t xml:space="preserve"> u(</m:t>
                          </m:r>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j</m:t>
                              </m:r>
                            </m:sub>
                          </m:sSub>
                          <m:r>
                            <w:rPr>
                              <w:rFonts w:ascii="Cambria Math" w:hAnsi="Cambria Math" w:cstheme="minorHAnsi"/>
                              <w:sz w:val="20"/>
                              <w:szCs w:val="20"/>
                            </w:rPr>
                            <m:t>)</m:t>
                          </m:r>
                        </m:e>
                      </m:nary>
                    </m:e>
                  </m:nary>
                </m:e>
              </m:nary>
            </m:e>
          </m:rad>
        </m:oMath>
      </m:oMathPara>
    </w:p>
    <w:p w14:paraId="539BA69C" w14:textId="7205968A" w:rsidR="00E718F3" w:rsidRPr="004E1603" w:rsidRDefault="00E718F3" w:rsidP="00E718F3">
      <w:pPr>
        <w:spacing w:line="360" w:lineRule="auto"/>
        <w:jc w:val="both"/>
        <w:rPr>
          <w:rFonts w:eastAsiaTheme="minorEastAsia" w:cstheme="minorHAnsi"/>
        </w:rPr>
      </w:pPr>
      <w:r w:rsidRPr="004E1603">
        <w:rPr>
          <w:rFonts w:eastAsiaTheme="minorEastAsia" w:cstheme="minorHAnsi"/>
        </w:rPr>
        <w:br/>
        <w:t xml:space="preserve">where </w:t>
      </w:r>
      <m:oMath>
        <m:r>
          <w:rPr>
            <w:rFonts w:ascii="Cambria Math" w:eastAsiaTheme="minorEastAsia" w:hAnsi="Cambria Math" w:cstheme="minorHAnsi"/>
          </w:rPr>
          <m:t>y</m:t>
        </m:r>
      </m:oMath>
      <w:r w:rsidRPr="004E1603">
        <w:rPr>
          <w:rFonts w:eastAsiaTheme="minorEastAsia" w:cstheme="minorHAnsi"/>
        </w:rPr>
        <w:t xml:space="preserve"> is the output quantity, whilst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oMath>
      <w:r w:rsidRPr="004E1603">
        <w:rPr>
          <w:rFonts w:eastAsiaTheme="minorEastAsia" w:cstheme="minorHAnsi"/>
        </w:rPr>
        <w:t xml:space="preserve"> represents an input quantity, and </w:t>
      </w:r>
      <m:oMath>
        <m:r>
          <w:rPr>
            <w:rFonts w:ascii="Cambria Math" w:hAnsi="Cambria Math" w:cstheme="minorHAnsi"/>
          </w:rPr>
          <m:t>u(</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oMath>
      <w:r w:rsidRPr="004E1603">
        <w:rPr>
          <w:rFonts w:eastAsiaTheme="minorEastAsia" w:cstheme="minorHAnsi"/>
        </w:rPr>
        <w:t xml:space="preserve"> its standard uncertainty</w:t>
      </w:r>
      <w:r>
        <w:rPr>
          <w:rFonts w:eastAsiaTheme="minorEastAsia" w:cstheme="minorHAnsi"/>
        </w:rPr>
        <w:t>.</w:t>
      </w:r>
    </w:p>
    <w:p w14:paraId="1553964D" w14:textId="77777777" w:rsidR="00E718F3" w:rsidRPr="004E1603" w:rsidRDefault="00E718F3" w:rsidP="00E718F3">
      <w:pPr>
        <w:keepNext/>
        <w:spacing w:line="360" w:lineRule="auto"/>
        <w:jc w:val="center"/>
        <w:rPr>
          <w:rFonts w:cstheme="minorHAnsi"/>
        </w:rPr>
      </w:pPr>
      <w:r w:rsidRPr="004E1603">
        <w:rPr>
          <w:rFonts w:eastAsiaTheme="minorEastAsia" w:cstheme="minorHAnsi"/>
          <w:noProof/>
        </w:rPr>
        <w:drawing>
          <wp:inline distT="0" distB="0" distL="0" distR="0" wp14:anchorId="097BA112" wp14:editId="1BB0F840">
            <wp:extent cx="4579034" cy="1575318"/>
            <wp:effectExtent l="0" t="0" r="0" b="6350"/>
            <wp:docPr id="23" name="Picture 2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ncertainty.PNG"/>
                    <pic:cNvPicPr/>
                  </pic:nvPicPr>
                  <pic:blipFill rotWithShape="1">
                    <a:blip r:embed="rId20">
                      <a:extLst>
                        <a:ext uri="{28A0092B-C50C-407E-A947-70E740481C1C}">
                          <a14:useLocalDpi xmlns:a14="http://schemas.microsoft.com/office/drawing/2010/main" val="0"/>
                        </a:ext>
                      </a:extLst>
                    </a:blip>
                    <a:srcRect l="554" t="12719"/>
                    <a:stretch/>
                  </pic:blipFill>
                  <pic:spPr bwMode="auto">
                    <a:xfrm>
                      <a:off x="0" y="0"/>
                      <a:ext cx="4610071" cy="1585996"/>
                    </a:xfrm>
                    <a:prstGeom prst="rect">
                      <a:avLst/>
                    </a:prstGeom>
                    <a:ln>
                      <a:noFill/>
                    </a:ln>
                    <a:extLst>
                      <a:ext uri="{53640926-AAD7-44D8-BBD7-CCE9431645EC}">
                        <a14:shadowObscured xmlns:a14="http://schemas.microsoft.com/office/drawing/2010/main"/>
                      </a:ext>
                    </a:extLst>
                  </pic:spPr>
                </pic:pic>
              </a:graphicData>
            </a:graphic>
          </wp:inline>
        </w:drawing>
      </w:r>
    </w:p>
    <w:p w14:paraId="42B9C377" w14:textId="5A9F094D" w:rsidR="00E718F3" w:rsidRPr="00EE0F88" w:rsidRDefault="00E718F3" w:rsidP="00E718F3">
      <w:pPr>
        <w:pStyle w:val="Caption"/>
        <w:spacing w:line="360" w:lineRule="auto"/>
        <w:jc w:val="center"/>
        <w:rPr>
          <w:rFonts w:cstheme="minorHAnsi"/>
          <w:color w:val="4472C4" w:themeColor="accent1"/>
        </w:rPr>
      </w:pPr>
      <w:bookmarkStart w:id="18" w:name="_Toc37082469"/>
      <w:bookmarkStart w:id="19" w:name="_Toc38121119"/>
      <w:bookmarkStart w:id="20" w:name="_Toc42180698"/>
      <w:r w:rsidRPr="00EE0F88">
        <w:rPr>
          <w:rFonts w:cstheme="minorHAnsi"/>
          <w:color w:val="4472C4" w:themeColor="accent1"/>
        </w:rPr>
        <w:t xml:space="preserve">Figure </w:t>
      </w:r>
      <w:r w:rsidRPr="00EE0F88">
        <w:rPr>
          <w:rFonts w:cstheme="minorHAnsi"/>
          <w:color w:val="4472C4" w:themeColor="accent1"/>
        </w:rPr>
        <w:fldChar w:fldCharType="begin"/>
      </w:r>
      <w:r w:rsidRPr="00EE0F88">
        <w:rPr>
          <w:rFonts w:cstheme="minorHAnsi"/>
          <w:color w:val="4472C4" w:themeColor="accent1"/>
        </w:rPr>
        <w:instrText xml:space="preserve"> SEQ Figure \* ARABIC </w:instrText>
      </w:r>
      <w:r w:rsidRPr="00EE0F88">
        <w:rPr>
          <w:rFonts w:cstheme="minorHAnsi"/>
          <w:color w:val="4472C4" w:themeColor="accent1"/>
        </w:rPr>
        <w:fldChar w:fldCharType="separate"/>
      </w:r>
      <w:r w:rsidR="00003B86" w:rsidRPr="00EE0F88">
        <w:rPr>
          <w:rFonts w:cstheme="minorHAnsi"/>
          <w:noProof/>
          <w:color w:val="4472C4" w:themeColor="accent1"/>
        </w:rPr>
        <w:t>6</w:t>
      </w:r>
      <w:r w:rsidRPr="00EE0F88">
        <w:rPr>
          <w:rFonts w:cstheme="minorHAnsi"/>
          <w:noProof/>
          <w:color w:val="4472C4" w:themeColor="accent1"/>
        </w:rPr>
        <w:fldChar w:fldCharType="end"/>
      </w:r>
      <w:r w:rsidRPr="00EE0F88">
        <w:rPr>
          <w:rFonts w:cstheme="minorHAnsi"/>
          <w:color w:val="4472C4" w:themeColor="accent1"/>
        </w:rPr>
        <w:t>: A summary of the uncertainty analysis</w:t>
      </w:r>
      <w:r w:rsidRPr="00E06EDD">
        <w:rPr>
          <w:rFonts w:cstheme="minorHAnsi"/>
          <w:i w:val="0"/>
          <w:iCs w:val="0"/>
          <w:color w:val="4472C4" w:themeColor="accent1"/>
        </w:rPr>
        <w:t xml:space="preserve"> </w:t>
      </w:r>
      <w:bookmarkEnd w:id="18"/>
      <w:bookmarkEnd w:id="19"/>
      <w:r w:rsidR="006D7FFA" w:rsidRPr="00E06EDD">
        <w:rPr>
          <w:rFonts w:cstheme="minorHAnsi"/>
          <w:color w:val="4472C4" w:themeColor="accent1"/>
        </w:rPr>
        <w:fldChar w:fldCharType="begin" w:fldLock="1"/>
      </w:r>
      <w:r w:rsidR="008D2F33" w:rsidRPr="00E06EDD">
        <w:rPr>
          <w:rFonts w:cstheme="minorHAnsi"/>
          <w:color w:val="4472C4" w:themeColor="accent1"/>
        </w:rPr>
        <w:instrText>ADDIN CSL_CITATION {"citationItems":[{"id":"ITEM-1","itemData":{"URL":"http://www.fiduceo.eu/tutorial/introducing-measurement-function","accessed":{"date-parts":[["2020","6","4"]]},"author":[{"dropping-particle":"","family":"FIDUCEO","given":"","non-dropping-particle":"","parse-names":false,"suffix":""}],"id":"ITEM-1","issued":{"date-parts":[["0"]]},"title":"Introducing the measurement function","type":"webpage"},"uris":["http://www.mendeley.com/documents/?uuid=2c90d517-795e-3735-9c27-ff8157c97f5c"]}],"mendeley":{"formattedCitation":"[24]","plainTextFormattedCitation":"[24]","previouslyFormattedCitation":"[24]"},"properties":{"noteIndex":0},"schema":"https://github.com/citation-style-language/schema/raw/master/csl-citation.json"}</w:instrText>
      </w:r>
      <w:r w:rsidR="006D7FFA" w:rsidRPr="00E06EDD">
        <w:rPr>
          <w:rFonts w:cstheme="minorHAnsi"/>
          <w:color w:val="4472C4" w:themeColor="accent1"/>
        </w:rPr>
        <w:fldChar w:fldCharType="separate"/>
      </w:r>
      <w:r w:rsidR="006D7FFA" w:rsidRPr="00E06EDD">
        <w:rPr>
          <w:rFonts w:cstheme="minorHAnsi"/>
          <w:noProof/>
          <w:color w:val="4472C4" w:themeColor="accent1"/>
        </w:rPr>
        <w:t>[24]</w:t>
      </w:r>
      <w:bookmarkEnd w:id="20"/>
      <w:r w:rsidR="006D7FFA" w:rsidRPr="00E06EDD">
        <w:rPr>
          <w:rFonts w:cstheme="minorHAnsi"/>
          <w:color w:val="4472C4" w:themeColor="accent1"/>
        </w:rPr>
        <w:fldChar w:fldCharType="end"/>
      </w:r>
    </w:p>
    <w:p w14:paraId="76F1D29D" w14:textId="77777777" w:rsidR="006D7FFA" w:rsidRPr="006D7FFA" w:rsidRDefault="006D7FFA" w:rsidP="006D7FFA"/>
    <w:p w14:paraId="18AF2766" w14:textId="1142C875" w:rsidR="00DE6F77" w:rsidRDefault="00E718F3" w:rsidP="000A0608">
      <w:pPr>
        <w:spacing w:line="360" w:lineRule="auto"/>
        <w:jc w:val="both"/>
      </w:pPr>
      <w:r w:rsidRPr="004E1603">
        <w:rPr>
          <w:rFonts w:eastAsiaTheme="minorEastAsia" w:cstheme="minorHAnsi"/>
        </w:rPr>
        <w:t xml:space="preserve">The result of the measurement is obtained by using different input estimates </w:t>
      </w:r>
      <w:r w:rsidRPr="00FA3C24">
        <w:rPr>
          <w:rFonts w:eastAsiaTheme="minorEastAsia" w:cstheme="minorHAnsi"/>
          <w:i/>
          <w:iCs/>
        </w:rPr>
        <w:t>x</w:t>
      </w:r>
      <w:r w:rsidRPr="00FA3C24">
        <w:rPr>
          <w:rFonts w:eastAsiaTheme="minorEastAsia" w:cstheme="minorHAnsi"/>
          <w:i/>
          <w:iCs/>
          <w:vertAlign w:val="subscript"/>
        </w:rPr>
        <w:t>1</w:t>
      </w:r>
      <w:r w:rsidRPr="00FA3C24">
        <w:rPr>
          <w:rFonts w:eastAsiaTheme="minorEastAsia" w:cstheme="minorHAnsi"/>
          <w:i/>
          <w:iCs/>
        </w:rPr>
        <w:t>, x</w:t>
      </w:r>
      <w:r w:rsidRPr="00FA3C24">
        <w:rPr>
          <w:rFonts w:eastAsiaTheme="minorEastAsia" w:cstheme="minorHAnsi"/>
          <w:i/>
          <w:iCs/>
          <w:vertAlign w:val="subscript"/>
        </w:rPr>
        <w:t>2</w:t>
      </w:r>
      <w:r w:rsidRPr="00FA3C24">
        <w:rPr>
          <w:rFonts w:eastAsiaTheme="minorEastAsia" w:cstheme="minorHAnsi"/>
          <w:i/>
          <w:iCs/>
        </w:rPr>
        <w:t>, … x</w:t>
      </w:r>
      <w:r w:rsidRPr="00FA3C24">
        <w:rPr>
          <w:rFonts w:eastAsiaTheme="minorEastAsia" w:cstheme="minorHAnsi"/>
          <w:i/>
          <w:iCs/>
          <w:vertAlign w:val="subscript"/>
        </w:rPr>
        <w:t>N</w:t>
      </w:r>
      <w:r w:rsidRPr="00FA3C24">
        <w:rPr>
          <w:rFonts w:eastAsiaTheme="minorEastAsia" w:cstheme="minorHAnsi"/>
        </w:rPr>
        <w:t xml:space="preserve"> </w:t>
      </w:r>
      <w:r w:rsidRPr="004E1603">
        <w:rPr>
          <w:rFonts w:eastAsiaTheme="minorEastAsia" w:cstheme="minorHAnsi"/>
        </w:rPr>
        <w:t xml:space="preserve">for the values of the </w:t>
      </w:r>
      <w:r w:rsidRPr="004E1603">
        <w:rPr>
          <w:rFonts w:eastAsiaTheme="minorEastAsia" w:cstheme="minorHAnsi"/>
          <w:i/>
          <w:iCs/>
        </w:rPr>
        <w:t xml:space="preserve">N </w:t>
      </w:r>
      <w:r w:rsidRPr="004E1603">
        <w:rPr>
          <w:rFonts w:eastAsiaTheme="minorEastAsia" w:cstheme="minorHAnsi"/>
        </w:rPr>
        <w:t xml:space="preserve">quantities. </w:t>
      </w:r>
      <w:r>
        <w:rPr>
          <w:rFonts w:eastAsiaTheme="minorEastAsia" w:cstheme="minorHAnsi"/>
        </w:rPr>
        <w:t>T</w:t>
      </w:r>
      <w:r w:rsidRPr="004E1603">
        <w:rPr>
          <w:rFonts w:eastAsiaTheme="minorEastAsia" w:cstheme="minorHAnsi"/>
        </w:rPr>
        <w:t xml:space="preserve">he </w:t>
      </w:r>
      <w:r w:rsidRPr="00B11561">
        <w:rPr>
          <w:rFonts w:eastAsiaTheme="minorEastAsia" w:cstheme="minorHAnsi"/>
        </w:rPr>
        <w:t>combined standard uncertainty</w:t>
      </w:r>
      <w:r w:rsidRPr="004E1603">
        <w:rPr>
          <w:rFonts w:eastAsiaTheme="minorEastAsia" w:cstheme="minorHAnsi"/>
        </w:rPr>
        <w:t xml:space="preserve"> is determined from the estimated standard deviation associated with each input estimate </w:t>
      </w:r>
      <w:r w:rsidRPr="004E1603">
        <w:rPr>
          <w:rFonts w:eastAsiaTheme="minorEastAsia" w:cstheme="minorHAnsi"/>
          <w:i/>
          <w:iCs/>
        </w:rPr>
        <w:t>x</w:t>
      </w:r>
      <w:r w:rsidRPr="004E1603">
        <w:rPr>
          <w:rFonts w:eastAsiaTheme="minorEastAsia" w:cstheme="minorHAnsi"/>
          <w:i/>
          <w:iCs/>
          <w:vertAlign w:val="subscript"/>
        </w:rPr>
        <w:t>i</w:t>
      </w:r>
      <w:r w:rsidRPr="004E1603">
        <w:rPr>
          <w:rFonts w:eastAsiaTheme="minorEastAsia" w:cstheme="minorHAnsi"/>
        </w:rPr>
        <w:t xml:space="preserve">, termed the </w:t>
      </w:r>
      <w:r w:rsidRPr="004E1603">
        <w:rPr>
          <w:rFonts w:eastAsiaTheme="minorEastAsia" w:cstheme="minorHAnsi"/>
          <w:i/>
          <w:iCs/>
        </w:rPr>
        <w:t>standard uncertainty</w:t>
      </w:r>
      <w:r w:rsidRPr="004E1603">
        <w:rPr>
          <w:rFonts w:eastAsiaTheme="minorEastAsia" w:cstheme="minorHAnsi"/>
        </w:rPr>
        <w:t xml:space="preserve"> and denoted by </w:t>
      </w:r>
      <w:r w:rsidRPr="004E1603">
        <w:rPr>
          <w:rFonts w:eastAsiaTheme="minorEastAsia" w:cstheme="minorHAnsi"/>
          <w:i/>
          <w:iCs/>
        </w:rPr>
        <w:t>u(x</w:t>
      </w:r>
      <w:r w:rsidRPr="004E1603">
        <w:rPr>
          <w:rFonts w:eastAsiaTheme="minorEastAsia" w:cstheme="minorHAnsi"/>
          <w:i/>
          <w:iCs/>
          <w:vertAlign w:val="subscript"/>
        </w:rPr>
        <w:t>i</w:t>
      </w:r>
      <w:r w:rsidRPr="004E1603">
        <w:rPr>
          <w:rFonts w:eastAsiaTheme="minorEastAsia" w:cstheme="minorHAnsi"/>
          <w:i/>
          <w:iCs/>
        </w:rPr>
        <w:t>)</w:t>
      </w:r>
      <w:r w:rsidRPr="004E1603">
        <w:rPr>
          <w:rFonts w:eastAsiaTheme="minorEastAsia" w:cstheme="minorHAnsi"/>
        </w:rPr>
        <w:t>.</w:t>
      </w:r>
      <w:r w:rsidR="000A0608">
        <w:rPr>
          <w:rFonts w:eastAsiaTheme="minorEastAsia" w:cstheme="minorHAnsi"/>
        </w:rPr>
        <w:t xml:space="preserve"> </w:t>
      </w:r>
      <w:r w:rsidR="00816C18">
        <w:t>Alternatively,</w:t>
      </w:r>
      <w:r w:rsidR="007C3B39">
        <w:t xml:space="preserve"> </w:t>
      </w:r>
      <w:r w:rsidR="007C3B39">
        <w:fldChar w:fldCharType="begin" w:fldLock="1"/>
      </w:r>
      <w:r w:rsidR="00747EB7">
        <w:instrText>ADDIN CSL_CITATION {"citationItems":[{"id":"ITEM-1","itemData":{"DOI":"10.3390/rs11050474","ISSN":"2072-4292","abstract":"&lt;p&gt;The uncertainty in a climate data records (CDRs) derived from Earth observations in part derives from the propagated uncertainty in the radiance record (the fundamental climate data record, FCDR) from which the geophysical estimates in the CDR are derived. A common barrier to providing uncertainty-quantified CDRs is the inaccessibility to CDR creators of appropriate radiance uncertainty information in the FCDR. Here, we propose radiance uncertainty information designed directly to facilitate estimation of propagated uncertainty in derived CDRs at full resolution and in gridded products. Errors in Earth observations are typically highly structured and complex, and the uncertainty information we propose is of intermediate complexity, sufficient to capture the main variability in propagated uncertainty in a CDR, while avoiding unfeasible complexity or data volume. The uncertainty and error correlation characteristics of uncertainty are quantified for three classes of error with different propagation properties: independent, structured and common radiance errors. The meaning, mathematical derivations, practical evaluation and example applications of this set of uncertainty information are presented.&lt;/p&gt;","author":[{"dropping-particle":"","family":"Merchant","given":"Christopher","non-dropping-particle":"","parse-names":false,"suffix":""},{"dropping-particle":"","family":"Holl","given":"Gerrit","non-dropping-particle":"","parse-names":false,"suffix":""},{"dropping-particle":"","family":"Mittaz","given":"Jonathan","non-dropping-particle":"","parse-names":false,"suffix":""},{"dropping-particle":"","family":"Woolliams","given":"Emma","non-dropping-particle":"","parse-names":false,"suffix":""}],"container-title":"Remote Sensing","id":"ITEM-1","issue":"5","issued":{"date-parts":[["2019","2","26"]]},"page":"474","publisher":"MDPI AG","title":"Radiance Uncertainty Characterisation to Facilitate Climate Data Record Creation","type":"article-journal","volume":"11"},"uris":["http://www.mendeley.com/documents/?uuid=b932c661-c09c-32c3-a923-83a246a1751e"]}],"mendeley":{"formattedCitation":"[25]","plainTextFormattedCitation":"[25]","previouslyFormattedCitation":"[25]"},"properties":{"noteIndex":0},"schema":"https://github.com/citation-style-language/schema/raw/master/csl-citation.json"}</w:instrText>
      </w:r>
      <w:r w:rsidR="007C3B39">
        <w:fldChar w:fldCharType="separate"/>
      </w:r>
      <w:r w:rsidR="007C3B39" w:rsidRPr="007C3B39">
        <w:rPr>
          <w:noProof/>
        </w:rPr>
        <w:t>[25]</w:t>
      </w:r>
      <w:r w:rsidR="007C3B39">
        <w:fldChar w:fldCharType="end"/>
      </w:r>
      <w:r w:rsidR="00816C18">
        <w:t xml:space="preserve"> </w:t>
      </w:r>
      <w:r w:rsidR="00652CC0">
        <w:t xml:space="preserve">presents a work undertaken within the project FIDUCEO </w:t>
      </w:r>
      <w:r w:rsidR="003758DA">
        <w:t xml:space="preserve">and it </w:t>
      </w:r>
      <w:r w:rsidR="00816C18">
        <w:t xml:space="preserve">defines the result of uncertainty analysis </w:t>
      </w:r>
      <w:r w:rsidR="00747EB7">
        <w:t>by taking into account</w:t>
      </w:r>
      <w:r w:rsidR="00AD2A36">
        <w:t xml:space="preserve"> various encapsulated matrices</w:t>
      </w:r>
      <w:r w:rsidR="002916DC">
        <w:t xml:space="preserve"> </w:t>
      </w:r>
      <w:r w:rsidR="00DE6F77">
        <w:t xml:space="preserve">in </w:t>
      </w:r>
      <w:r w:rsidR="002916DC">
        <w:t xml:space="preserve">a covariance matrix </w:t>
      </w:r>
      <w:r w:rsidR="00747EB7">
        <w:t xml:space="preserve">with </w:t>
      </w:r>
      <w:r w:rsidR="002916DC">
        <w:t>all the effects in the sum of the individual error covariances</w:t>
      </w:r>
      <w:r w:rsidR="00AD2A36">
        <w:t>:</w:t>
      </w:r>
    </w:p>
    <w:p w14:paraId="43904F22" w14:textId="798DDC78" w:rsidR="00747EB7" w:rsidRPr="00DE6F77" w:rsidRDefault="003647FE" w:rsidP="00B9299A">
      <w:pPr>
        <w:rPr>
          <w:rFonts w:eastAsiaTheme="minorEastAsia"/>
          <w:sz w:val="24"/>
          <w:szCs w:val="24"/>
        </w:rPr>
      </w:pPr>
      <m:oMathPara>
        <m:oMath>
          <m:r>
            <w:rPr>
              <w:rFonts w:ascii="Cambria Math" w:hAnsi="Cambria Math"/>
              <w:sz w:val="24"/>
              <w:szCs w:val="24"/>
            </w:rPr>
            <m:t xml:space="preserve">S= C U R </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T</m:t>
              </m:r>
            </m:sup>
          </m:sSup>
        </m:oMath>
      </m:oMathPara>
    </w:p>
    <w:p w14:paraId="524FE399" w14:textId="77777777" w:rsidR="00DE6F77" w:rsidRPr="00DE6F77" w:rsidRDefault="00DE6F77" w:rsidP="00B9299A">
      <w:pPr>
        <w:rPr>
          <w:rFonts w:eastAsiaTheme="minorEastAsia"/>
          <w:sz w:val="24"/>
          <w:szCs w:val="24"/>
        </w:rPr>
      </w:pPr>
    </w:p>
    <w:p w14:paraId="3FEEAA74" w14:textId="034C5106" w:rsidR="002507F3" w:rsidRPr="00747EB7" w:rsidRDefault="00305E58" w:rsidP="000A0608">
      <w:pPr>
        <w:autoSpaceDE w:val="0"/>
        <w:autoSpaceDN w:val="0"/>
        <w:adjustRightInd w:val="0"/>
        <w:spacing w:after="0" w:line="360" w:lineRule="auto"/>
        <w:jc w:val="both"/>
        <w:rPr>
          <w:rFonts w:eastAsia="CharisSIL" w:cstheme="minorHAnsi"/>
        </w:rPr>
      </w:pPr>
      <w:r w:rsidRPr="00305E58">
        <w:rPr>
          <w:rFonts w:eastAsia="CharisSIL" w:cstheme="minorHAnsi"/>
        </w:rPr>
        <w:t>Where C represents a matrix of sensitivity coefficients (along diagonal);</w:t>
      </w:r>
      <w:r>
        <w:rPr>
          <w:rFonts w:eastAsia="CharisSIL" w:cstheme="minorHAnsi"/>
        </w:rPr>
        <w:t xml:space="preserve"> </w:t>
      </w:r>
      <w:r w:rsidRPr="00305E58">
        <w:rPr>
          <w:rFonts w:eastAsia="CharisSIL" w:cstheme="minorHAnsi"/>
        </w:rPr>
        <w:t>U</w:t>
      </w:r>
      <w:r w:rsidRPr="00305E58">
        <w:rPr>
          <w:rFonts w:eastAsia="CharisSIL" w:cstheme="minorHAnsi"/>
          <w:b/>
          <w:bCs/>
        </w:rPr>
        <w:t xml:space="preserve"> </w:t>
      </w:r>
      <w:r w:rsidRPr="00305E58">
        <w:rPr>
          <w:rFonts w:eastAsia="CharisSIL" w:cstheme="minorHAnsi"/>
        </w:rPr>
        <w:t>is the uncertainty matrix</w:t>
      </w:r>
      <w:r w:rsidR="00553505">
        <w:rPr>
          <w:rFonts w:eastAsia="CharisSIL" w:cstheme="minorHAnsi"/>
        </w:rPr>
        <w:t xml:space="preserve"> </w:t>
      </w:r>
      <w:r w:rsidRPr="00305E58">
        <w:rPr>
          <w:rFonts w:eastAsia="CharisSIL" w:cstheme="minorHAnsi"/>
        </w:rPr>
        <w:t>where the diagonal elements are the</w:t>
      </w:r>
      <w:r>
        <w:rPr>
          <w:rFonts w:eastAsia="CharisSIL" w:cstheme="minorHAnsi"/>
        </w:rPr>
        <w:t xml:space="preserve"> </w:t>
      </w:r>
      <w:r w:rsidRPr="00305E58">
        <w:rPr>
          <w:rFonts w:eastAsia="CharisSIL" w:cstheme="minorHAnsi"/>
        </w:rPr>
        <w:t xml:space="preserve">uncertainty </w:t>
      </w:r>
      <w:r w:rsidR="00507008" w:rsidRPr="00305E58">
        <w:rPr>
          <w:rFonts w:eastAsia="CharisSIL" w:cstheme="minorHAnsi"/>
        </w:rPr>
        <w:t>contributions</w:t>
      </w:r>
      <w:r w:rsidR="00507008">
        <w:rPr>
          <w:rFonts w:eastAsia="CharisSIL" w:cstheme="minorHAnsi"/>
        </w:rPr>
        <w:t xml:space="preserve">; </w:t>
      </w:r>
      <w:r w:rsidR="00507008" w:rsidRPr="00507008">
        <w:rPr>
          <w:rFonts w:eastAsia="CharisSIL" w:cstheme="minorHAnsi"/>
        </w:rPr>
        <w:t>R</w:t>
      </w:r>
      <w:r w:rsidR="00553505">
        <w:rPr>
          <w:rFonts w:eastAsia="CharisSIL" w:cstheme="minorHAnsi"/>
          <w:b/>
          <w:bCs/>
        </w:rPr>
        <w:t xml:space="preserve"> </w:t>
      </w:r>
      <w:r w:rsidRPr="00305E58">
        <w:rPr>
          <w:rFonts w:eastAsia="CharisSIL" w:cstheme="minorHAnsi"/>
        </w:rPr>
        <w:t xml:space="preserve">represents the correlation </w:t>
      </w:r>
      <w:r w:rsidR="00507008" w:rsidRPr="00305E58">
        <w:rPr>
          <w:rFonts w:eastAsia="CharisSIL" w:cstheme="minorHAnsi"/>
        </w:rPr>
        <w:t xml:space="preserve">matrix; </w:t>
      </w:r>
      <w:r w:rsidR="00507008" w:rsidRPr="00553505">
        <w:rPr>
          <w:rFonts w:eastAsia="CharisSIL" w:cstheme="minorHAnsi"/>
        </w:rPr>
        <w:t>T</w:t>
      </w:r>
      <w:r w:rsidRPr="00305E58">
        <w:rPr>
          <w:rFonts w:eastAsia="CharisSIL" w:cstheme="minorHAnsi"/>
          <w:b/>
          <w:bCs/>
        </w:rPr>
        <w:t xml:space="preserve"> </w:t>
      </w:r>
      <w:r w:rsidRPr="00305E58">
        <w:rPr>
          <w:rFonts w:eastAsia="CharisSIL" w:cstheme="minorHAnsi"/>
        </w:rPr>
        <w:t>denotes the transpose operation.</w:t>
      </w:r>
      <w:r w:rsidR="00553505">
        <w:rPr>
          <w:rFonts w:eastAsia="CharisSIL" w:cstheme="minorHAnsi"/>
          <w:b/>
          <w:bCs/>
        </w:rPr>
        <w:t xml:space="preserve"> </w:t>
      </w:r>
      <w:r w:rsidR="00636F70">
        <w:rPr>
          <w:rFonts w:eastAsia="CharisSIL" w:cstheme="minorHAnsi"/>
          <w:b/>
          <w:bCs/>
        </w:rPr>
        <w:t xml:space="preserve"> </w:t>
      </w:r>
      <w:r w:rsidRPr="00305E58">
        <w:rPr>
          <w:rFonts w:eastAsia="CharisSIL" w:cstheme="minorHAnsi"/>
        </w:rPr>
        <w:t>This approach separates the correlation and the uncertainty allowing</w:t>
      </w:r>
      <w:r w:rsidR="00747EB7">
        <w:rPr>
          <w:rFonts w:eastAsia="CharisSIL" w:cstheme="minorHAnsi"/>
        </w:rPr>
        <w:t xml:space="preserve"> </w:t>
      </w:r>
      <w:r w:rsidRPr="00305E58">
        <w:rPr>
          <w:rFonts w:eastAsia="CharisSIL" w:cstheme="minorHAnsi"/>
        </w:rPr>
        <w:t>both to be set accordingly and propagated through the equations</w:t>
      </w:r>
      <w:r w:rsidR="00747EB7">
        <w:rPr>
          <w:rFonts w:eastAsia="CharisSIL" w:cstheme="minorHAnsi"/>
        </w:rPr>
        <w:t xml:space="preserve"> </w:t>
      </w:r>
      <w:r w:rsidRPr="00305E58">
        <w:rPr>
          <w:rFonts w:eastAsia="CharisSIL" w:cstheme="minorHAnsi"/>
        </w:rPr>
        <w:t>as required</w:t>
      </w:r>
      <w:r w:rsidR="00747EB7">
        <w:rPr>
          <w:rFonts w:eastAsia="CharisSIL" w:cstheme="minorHAnsi"/>
        </w:rPr>
        <w:t xml:space="preserve"> </w:t>
      </w:r>
      <w:r w:rsidR="00747EB7">
        <w:rPr>
          <w:rFonts w:eastAsia="CharisSIL" w:cstheme="minorHAnsi"/>
        </w:rPr>
        <w:fldChar w:fldCharType="begin" w:fldLock="1"/>
      </w:r>
      <w:r w:rsidR="00747EB7">
        <w:rPr>
          <w:rFonts w:eastAsia="CharisSIL" w:cstheme="minorHAnsi"/>
        </w:rPr>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[26]","plainTextFormattedCitation":"[26]"},"properties":{"noteIndex":0},"schema":"https://github.com/citation-style-language/schema/raw/master/csl-citation.json"}</w:instrText>
      </w:r>
      <w:r w:rsidR="00747EB7">
        <w:rPr>
          <w:rFonts w:eastAsia="CharisSIL" w:cstheme="minorHAnsi"/>
        </w:rPr>
        <w:fldChar w:fldCharType="separate"/>
      </w:r>
      <w:r w:rsidR="00747EB7" w:rsidRPr="00747EB7">
        <w:rPr>
          <w:rFonts w:eastAsia="CharisSIL" w:cstheme="minorHAnsi"/>
          <w:noProof/>
        </w:rPr>
        <w:t>[26]</w:t>
      </w:r>
      <w:r w:rsidR="00747EB7">
        <w:rPr>
          <w:rFonts w:eastAsia="CharisSIL" w:cstheme="minorHAnsi"/>
        </w:rPr>
        <w:fldChar w:fldCharType="end"/>
      </w:r>
      <w:r w:rsidR="00636F70">
        <w:rPr>
          <w:rFonts w:eastAsia="CharisSIL" w:cstheme="minorHAnsi"/>
        </w:rPr>
        <w:t>.</w:t>
      </w:r>
      <w:r w:rsidRPr="00305E58">
        <w:rPr>
          <w:rFonts w:eastAsia="CharisSIL" w:cstheme="minorHAnsi"/>
        </w:rPr>
        <w:t xml:space="preserve"> </w:t>
      </w:r>
    </w:p>
    <w:p w14:paraId="0EF11FDF" w14:textId="21CCFA5F" w:rsidR="00ED55C3" w:rsidRDefault="009A37A9" w:rsidP="000A0608">
      <w:pPr>
        <w:spacing w:line="360" w:lineRule="auto"/>
        <w:jc w:val="both"/>
      </w:pPr>
      <w:r>
        <w:t>This approach allow</w:t>
      </w:r>
      <w:r w:rsidR="00747EB7">
        <w:t>s</w:t>
      </w:r>
      <w:r w:rsidR="001D7614">
        <w:t>, for example,</w:t>
      </w:r>
      <w:r>
        <w:t xml:space="preserve"> to individuate the variability in uncertainty across an image</w:t>
      </w:r>
      <w:r w:rsidR="00425040">
        <w:t>, even if</w:t>
      </w:r>
      <w:r w:rsidR="001B477D">
        <w:t>, compared to the analytical approach previously</w:t>
      </w:r>
      <w:r w:rsidR="00B35C2E">
        <w:t xml:space="preserve"> presented</w:t>
      </w:r>
      <w:r w:rsidR="00064404">
        <w:t xml:space="preserve">, </w:t>
      </w:r>
      <w:r w:rsidR="001D7614">
        <w:t>th</w:t>
      </w:r>
      <w:r w:rsidR="00425040">
        <w:t>is</w:t>
      </w:r>
      <w:r w:rsidR="001D7614">
        <w:t xml:space="preserve"> operation can be practically challenging because of the size and number of dimensions of the arrays involved.</w:t>
      </w:r>
    </w:p>
    <w:p w14:paraId="3A904F81" w14:textId="2277FA90" w:rsidR="007E0877" w:rsidRPr="00E06EDD" w:rsidRDefault="007E0877" w:rsidP="008464AC">
      <w:pPr>
        <w:pStyle w:val="Heading1"/>
        <w:rPr>
          <w:color w:val="4472C4" w:themeColor="accent1"/>
        </w:rPr>
      </w:pPr>
      <w:bookmarkStart w:id="21" w:name="_Toc42182365"/>
      <w:r w:rsidRPr="00E06EDD">
        <w:rPr>
          <w:color w:val="4472C4" w:themeColor="accent1"/>
        </w:rPr>
        <w:lastRenderedPageBreak/>
        <w:t>References</w:t>
      </w:r>
      <w:bookmarkEnd w:id="21"/>
    </w:p>
    <w:p w14:paraId="6FD42793" w14:textId="77777777" w:rsidR="00616100" w:rsidRPr="00616100" w:rsidRDefault="00616100" w:rsidP="00616100"/>
    <w:p w14:paraId="4CD20385" w14:textId="3EE3F1A5" w:rsidR="00747EB7" w:rsidRPr="00747EB7" w:rsidRDefault="00616100" w:rsidP="00747EB7">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747EB7" w:rsidRPr="00747EB7">
        <w:rPr>
          <w:rFonts w:ascii="Calibri" w:hAnsi="Calibri" w:cs="Calibri"/>
          <w:noProof/>
          <w:szCs w:val="24"/>
        </w:rPr>
        <w:t>[1]</w:t>
      </w:r>
      <w:r w:rsidR="00747EB7" w:rsidRPr="00747EB7">
        <w:rPr>
          <w:rFonts w:ascii="Calibri" w:hAnsi="Calibri" w:cs="Calibri"/>
          <w:noProof/>
          <w:szCs w:val="24"/>
        </w:rPr>
        <w:tab/>
        <w:t>Copernicus, “Copernicus, Europe’s eyes on Earth: About Copernicus.” https://www.copernicus.eu/en/about-copernicus (accessed Jun. 01, 2020).</w:t>
      </w:r>
    </w:p>
    <w:p w14:paraId="2FDDF5EF"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[2]</w:t>
      </w:r>
      <w:r w:rsidRPr="00747EB7">
        <w:rPr>
          <w:rFonts w:ascii="Calibri" w:hAnsi="Calibri" w:cs="Calibri"/>
          <w:noProof/>
          <w:szCs w:val="24"/>
        </w:rPr>
        <w:tab/>
        <w:t xml:space="preserve">J. Nightingale </w:t>
      </w:r>
      <w:r w:rsidRPr="00747EB7">
        <w:rPr>
          <w:rFonts w:ascii="Calibri" w:hAnsi="Calibri" w:cs="Calibri"/>
          <w:i/>
          <w:iCs/>
          <w:noProof/>
          <w:szCs w:val="24"/>
        </w:rPr>
        <w:t>et al.</w:t>
      </w:r>
      <w:r w:rsidRPr="00747EB7">
        <w:rPr>
          <w:rFonts w:ascii="Calibri" w:hAnsi="Calibri" w:cs="Calibri"/>
          <w:noProof/>
          <w:szCs w:val="24"/>
        </w:rPr>
        <w:t xml:space="preserve">, “Ten Priority Science Gaps in Assessing Climate Data Record Quality,” </w:t>
      </w:r>
      <w:r w:rsidRPr="00747EB7">
        <w:rPr>
          <w:rFonts w:ascii="Calibri" w:hAnsi="Calibri" w:cs="Calibri"/>
          <w:i/>
          <w:iCs/>
          <w:noProof/>
          <w:szCs w:val="24"/>
        </w:rPr>
        <w:t>Remote Sens.</w:t>
      </w:r>
      <w:r w:rsidRPr="00747EB7">
        <w:rPr>
          <w:rFonts w:ascii="Calibri" w:hAnsi="Calibri" w:cs="Calibri"/>
          <w:noProof/>
          <w:szCs w:val="24"/>
        </w:rPr>
        <w:t>, vol. 11, no. 8, p. 986, 2019, doi: 10.3390/rs11080986.</w:t>
      </w:r>
    </w:p>
    <w:p w14:paraId="7130ABE3"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[3]</w:t>
      </w:r>
      <w:r w:rsidRPr="00747EB7">
        <w:rPr>
          <w:rFonts w:ascii="Calibri" w:hAnsi="Calibri" w:cs="Calibri"/>
          <w:noProof/>
          <w:szCs w:val="24"/>
        </w:rPr>
        <w:tab/>
        <w:t>ESA, “Fiducial Reference Measurements: FRM,” 2019. https://earth.esa.int/web/sppa/activities/frm (accessed Mar. 08, 2019).</w:t>
      </w:r>
    </w:p>
    <w:p w14:paraId="733F0A0A"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[4]</w:t>
      </w:r>
      <w:r w:rsidRPr="00747EB7">
        <w:rPr>
          <w:rFonts w:ascii="Calibri" w:hAnsi="Calibri" w:cs="Calibri"/>
          <w:noProof/>
          <w:szCs w:val="24"/>
        </w:rPr>
        <w:tab/>
        <w:t xml:space="preserve">J. L. Widlowski, “Conformity testing of satellite-derived quantitative surface variables,” </w:t>
      </w:r>
      <w:r w:rsidRPr="00747EB7">
        <w:rPr>
          <w:rFonts w:ascii="Calibri" w:hAnsi="Calibri" w:cs="Calibri"/>
          <w:i/>
          <w:iCs/>
          <w:noProof/>
          <w:szCs w:val="24"/>
        </w:rPr>
        <w:t>Environ. Sci. Policy</w:t>
      </w:r>
      <w:r w:rsidRPr="00747EB7">
        <w:rPr>
          <w:rFonts w:ascii="Calibri" w:hAnsi="Calibri" w:cs="Calibri"/>
          <w:noProof/>
          <w:szCs w:val="24"/>
        </w:rPr>
        <w:t>, vol. 51, pp. 149–169, Aug. 2015, doi: 10.1016/j.envsci.2015.03.018.</w:t>
      </w:r>
    </w:p>
    <w:p w14:paraId="54711519"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[5]</w:t>
      </w:r>
      <w:r w:rsidRPr="00747EB7">
        <w:rPr>
          <w:rFonts w:ascii="Calibri" w:hAnsi="Calibri" w:cs="Calibri"/>
          <w:noProof/>
          <w:szCs w:val="24"/>
        </w:rPr>
        <w:tab/>
        <w:t>N. Fox and M.-C. Greening, “QA4EO: A guide to comparisons – organisation, operation and analysis to establish measurement equivalence to underpin the Quality Assurance requirements of GEO (QA4EO-QAEO-GEN-DQK-004) Version 4.0.” QA4EO, 2010.</w:t>
      </w:r>
    </w:p>
    <w:p w14:paraId="1143367A"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[6]</w:t>
      </w:r>
      <w:r w:rsidRPr="00747EB7">
        <w:rPr>
          <w:rFonts w:ascii="Calibri" w:hAnsi="Calibri" w:cs="Calibri"/>
          <w:noProof/>
          <w:szCs w:val="24"/>
        </w:rPr>
        <w:tab/>
        <w:t>E.Theocharous, E.Usadi, and N.P.Fox, “CEOS comparison of IR brightness temperature measurements in support of satellite validation. Part I: Laboratory and ocean surface temperature comparison of radiation thermometers.,” London, United Kingdom, Hampton Road, Teddington, TW11 0LW. doi: 10.1016/s1474-4422(10)70234-9.</w:t>
      </w:r>
    </w:p>
    <w:p w14:paraId="5A8DAA5B"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[7]</w:t>
      </w:r>
      <w:r w:rsidRPr="00747EB7">
        <w:rPr>
          <w:rFonts w:ascii="Calibri" w:hAnsi="Calibri" w:cs="Calibri"/>
          <w:noProof/>
          <w:szCs w:val="24"/>
        </w:rPr>
        <w:tab/>
        <w:t xml:space="preserve">Working Group 1 of the Joint Committee for Guides in Metrology, </w:t>
      </w:r>
      <w:r w:rsidRPr="00747EB7">
        <w:rPr>
          <w:rFonts w:ascii="Calibri" w:hAnsi="Calibri" w:cs="Calibri"/>
          <w:i/>
          <w:iCs/>
          <w:noProof/>
          <w:szCs w:val="24"/>
        </w:rPr>
        <w:t>Evaluation of measurement data — Guide to the expression of uncertainty in measurement</w:t>
      </w:r>
      <w:r w:rsidRPr="00747EB7">
        <w:rPr>
          <w:rFonts w:ascii="Calibri" w:hAnsi="Calibri" w:cs="Calibri"/>
          <w:noProof/>
          <w:szCs w:val="24"/>
        </w:rPr>
        <w:t>. Paris, France: Bureau International des Poids et Mesures, 2008.</w:t>
      </w:r>
    </w:p>
    <w:p w14:paraId="07CD3C34"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[8]</w:t>
      </w:r>
      <w:r w:rsidRPr="00747EB7">
        <w:rPr>
          <w:rFonts w:ascii="Calibri" w:hAnsi="Calibri" w:cs="Calibri"/>
          <w:noProof/>
          <w:szCs w:val="24"/>
        </w:rPr>
        <w:tab/>
        <w:t>ESA, “FRM4VEG – Fiducial Reference Measurements for Vegetation.” https://frm4veg.org/ (accessed Apr. 15, 2020).</w:t>
      </w:r>
    </w:p>
    <w:p w14:paraId="678B53E1"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[9]</w:t>
      </w:r>
      <w:r w:rsidRPr="00747EB7">
        <w:rPr>
          <w:rFonts w:ascii="Calibri" w:hAnsi="Calibri" w:cs="Calibri"/>
          <w:noProof/>
          <w:szCs w:val="24"/>
        </w:rPr>
        <w:tab/>
        <w:t>ESA, “FRM4SOC - Fiducial Reference Measurements for Satellite Ocean Colour.” https://frm4soc.org/ (accessed Jun. 01, 2020).</w:t>
      </w:r>
    </w:p>
    <w:p w14:paraId="671DD965"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[10]</w:t>
      </w:r>
      <w:r w:rsidRPr="00747EB7">
        <w:rPr>
          <w:rFonts w:ascii="Calibri" w:hAnsi="Calibri" w:cs="Calibri"/>
          <w:noProof/>
          <w:szCs w:val="24"/>
        </w:rPr>
        <w:tab/>
        <w:t>ESA, “FRM4ALT - Fiducial Reference Measurements for altimetry.” https://www.frm4alt.eu/ (accessed Jun. 01, 2020).</w:t>
      </w:r>
    </w:p>
    <w:p w14:paraId="7F29DECA"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[11]</w:t>
      </w:r>
      <w:r w:rsidRPr="00747EB7">
        <w:rPr>
          <w:rFonts w:ascii="Calibri" w:hAnsi="Calibri" w:cs="Calibri"/>
          <w:noProof/>
          <w:szCs w:val="24"/>
        </w:rPr>
        <w:tab/>
        <w:t>ESA, “BOUSSOLE.” http://www.obs-vlfr.fr/Boussole/html/project/strategy.php (accessed Jun. 01, 2020).</w:t>
      </w:r>
    </w:p>
    <w:p w14:paraId="0454E931"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[12]</w:t>
      </w:r>
      <w:r w:rsidRPr="00747EB7">
        <w:rPr>
          <w:rFonts w:ascii="Calibri" w:hAnsi="Calibri" w:cs="Calibri"/>
          <w:noProof/>
          <w:szCs w:val="24"/>
        </w:rPr>
        <w:tab/>
        <w:t>ESA, “FRM4DOAS - Fiducial Reference Measurements for Ground-Based DOAS Air-Quality Observations.” https://frm4doas.aeronomie.be/ (accessed Jun. 01, 2020).</w:t>
      </w:r>
    </w:p>
    <w:p w14:paraId="4882AF61"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[13]</w:t>
      </w:r>
      <w:r w:rsidRPr="00747EB7">
        <w:rPr>
          <w:rFonts w:ascii="Calibri" w:hAnsi="Calibri" w:cs="Calibri"/>
          <w:noProof/>
          <w:szCs w:val="24"/>
        </w:rPr>
        <w:tab/>
        <w:t>ESA, “FRM4GHG - Reference Measurements for Ground-Based FTIR Greenhouse Gas Observations.” http://frm4ghg.aeronomie.be/ (accessed Jun. 01, 2020).</w:t>
      </w:r>
    </w:p>
    <w:p w14:paraId="588EE704"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[14]</w:t>
      </w:r>
      <w:r w:rsidRPr="00747EB7">
        <w:rPr>
          <w:rFonts w:ascii="Calibri" w:hAnsi="Calibri" w:cs="Calibri"/>
          <w:noProof/>
          <w:szCs w:val="24"/>
        </w:rPr>
        <w:tab/>
        <w:t>ESA, “FRM4STS - Fiducial Reference Measurements for validation of Surface Temperatures from Satellites.” http://www.frm4sts.org/ (accessed Jun. 01, 2020).</w:t>
      </w:r>
    </w:p>
    <w:p w14:paraId="7D4168EE"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[15]</w:t>
      </w:r>
      <w:r w:rsidRPr="00747EB7">
        <w:rPr>
          <w:rFonts w:ascii="Calibri" w:hAnsi="Calibri" w:cs="Calibri"/>
          <w:noProof/>
          <w:szCs w:val="24"/>
        </w:rPr>
        <w:tab/>
        <w:t>ESA, “Pandonia Global Network – Reference Measurements of Atmospheric Composition.” https://www.pandonia-global-network.org/ (accessed Jun. 01, 2020).</w:t>
      </w:r>
    </w:p>
    <w:p w14:paraId="5163628E"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[16]</w:t>
      </w:r>
      <w:r w:rsidRPr="00747EB7">
        <w:rPr>
          <w:rFonts w:ascii="Calibri" w:hAnsi="Calibri" w:cs="Calibri"/>
          <w:noProof/>
          <w:szCs w:val="24"/>
        </w:rPr>
        <w:tab/>
        <w:t xml:space="preserve">C. Justice, A. Belward, P. Lewis, J. Privette, and F. Baret, “Developments in the ‘validation’ of satellite sensor products for the study of the land surface,” </w:t>
      </w:r>
      <w:r w:rsidRPr="00747EB7">
        <w:rPr>
          <w:rFonts w:ascii="Calibri" w:hAnsi="Calibri" w:cs="Calibri"/>
          <w:i/>
          <w:iCs/>
          <w:noProof/>
          <w:szCs w:val="24"/>
        </w:rPr>
        <w:t>int. j. Remote Sens.</w:t>
      </w:r>
      <w:r w:rsidRPr="00747EB7">
        <w:rPr>
          <w:rFonts w:ascii="Calibri" w:hAnsi="Calibri" w:cs="Calibri"/>
          <w:noProof/>
          <w:szCs w:val="24"/>
        </w:rPr>
        <w:t>, vol. 21, no. 17, pp. 3383–3390, 2000.</w:t>
      </w:r>
    </w:p>
    <w:p w14:paraId="6CC8B13B"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[17]</w:t>
      </w:r>
      <w:r w:rsidRPr="00747EB7">
        <w:rPr>
          <w:rFonts w:ascii="Calibri" w:hAnsi="Calibri" w:cs="Calibri"/>
          <w:noProof/>
          <w:szCs w:val="24"/>
        </w:rPr>
        <w:tab/>
        <w:t>CEOS - Committee on Earth Observation Satellites, “RadCalNet Portal.” https://www.radcalnet.org/#!/ (accessed Apr. 09, 2020).</w:t>
      </w:r>
    </w:p>
    <w:p w14:paraId="6A4427DB"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lastRenderedPageBreak/>
        <w:t>[18]</w:t>
      </w:r>
      <w:r w:rsidRPr="00747EB7">
        <w:rPr>
          <w:rFonts w:ascii="Calibri" w:hAnsi="Calibri" w:cs="Calibri"/>
          <w:noProof/>
          <w:szCs w:val="24"/>
        </w:rPr>
        <w:tab/>
        <w:t xml:space="preserve">B. N. Holben </w:t>
      </w:r>
      <w:r w:rsidRPr="00747EB7">
        <w:rPr>
          <w:rFonts w:ascii="Calibri" w:hAnsi="Calibri" w:cs="Calibri"/>
          <w:i/>
          <w:iCs/>
          <w:noProof/>
          <w:szCs w:val="24"/>
        </w:rPr>
        <w:t>et al.</w:t>
      </w:r>
      <w:r w:rsidRPr="00747EB7">
        <w:rPr>
          <w:rFonts w:ascii="Calibri" w:hAnsi="Calibri" w:cs="Calibri"/>
          <w:noProof/>
          <w:szCs w:val="24"/>
        </w:rPr>
        <w:t xml:space="preserve">, “AERONET—A Federated Instrument Network and Data Archive for Aerosol Characterization,” </w:t>
      </w:r>
      <w:r w:rsidRPr="00747EB7">
        <w:rPr>
          <w:rFonts w:ascii="Calibri" w:hAnsi="Calibri" w:cs="Calibri"/>
          <w:i/>
          <w:iCs/>
          <w:noProof/>
          <w:szCs w:val="24"/>
        </w:rPr>
        <w:t>Remote Sens. Environ.</w:t>
      </w:r>
      <w:r w:rsidRPr="00747EB7">
        <w:rPr>
          <w:rFonts w:ascii="Calibri" w:hAnsi="Calibri" w:cs="Calibri"/>
          <w:noProof/>
          <w:szCs w:val="24"/>
        </w:rPr>
        <w:t>, vol. 66, no. 1, pp. 1–16, Oct. 1998, doi: 10.1016/S0034-4257(98)00031-5.</w:t>
      </w:r>
    </w:p>
    <w:p w14:paraId="53B9ED7A"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[19]</w:t>
      </w:r>
      <w:r w:rsidRPr="00747EB7">
        <w:rPr>
          <w:rFonts w:ascii="Calibri" w:hAnsi="Calibri" w:cs="Calibri"/>
          <w:noProof/>
          <w:szCs w:val="24"/>
        </w:rPr>
        <w:tab/>
        <w:t xml:space="preserve">W. B. Cohen and C. O. Justice, “Validating MODIS Terrestrial Ecology Products: Linking In Situ and Satellite Measurements,” </w:t>
      </w:r>
      <w:r w:rsidRPr="00747EB7">
        <w:rPr>
          <w:rFonts w:ascii="Calibri" w:hAnsi="Calibri" w:cs="Calibri"/>
          <w:i/>
          <w:iCs/>
          <w:noProof/>
          <w:szCs w:val="24"/>
        </w:rPr>
        <w:t>Remote Sens. Environ.</w:t>
      </w:r>
      <w:r w:rsidRPr="00747EB7">
        <w:rPr>
          <w:rFonts w:ascii="Calibri" w:hAnsi="Calibri" w:cs="Calibri"/>
          <w:noProof/>
          <w:szCs w:val="24"/>
        </w:rPr>
        <w:t>, vol. 70, 1999.</w:t>
      </w:r>
    </w:p>
    <w:p w14:paraId="1ED830E6"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[20]</w:t>
      </w:r>
      <w:r w:rsidRPr="00747EB7">
        <w:rPr>
          <w:rFonts w:ascii="Calibri" w:hAnsi="Calibri" w:cs="Calibri"/>
          <w:noProof/>
          <w:szCs w:val="24"/>
        </w:rPr>
        <w:tab/>
        <w:t xml:space="preserve">J. Baret, F., Schaaf, C., Morisette, Privette, and J., “Report on the Second International Workshop on Albedo Product Validation,” </w:t>
      </w:r>
      <w:r w:rsidRPr="00747EB7">
        <w:rPr>
          <w:rFonts w:ascii="Calibri" w:hAnsi="Calibri" w:cs="Calibri"/>
          <w:i/>
          <w:iCs/>
          <w:noProof/>
          <w:szCs w:val="24"/>
        </w:rPr>
        <w:t>Earth Obs.</w:t>
      </w:r>
      <w:r w:rsidRPr="00747EB7">
        <w:rPr>
          <w:rFonts w:ascii="Calibri" w:hAnsi="Calibri" w:cs="Calibri"/>
          <w:noProof/>
          <w:szCs w:val="24"/>
        </w:rPr>
        <w:t>, pp. 13–17, 2005.</w:t>
      </w:r>
    </w:p>
    <w:p w14:paraId="66D89748"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[21]</w:t>
      </w:r>
      <w:r w:rsidRPr="00747EB7">
        <w:rPr>
          <w:rFonts w:ascii="Calibri" w:hAnsi="Calibri" w:cs="Calibri"/>
          <w:noProof/>
          <w:szCs w:val="24"/>
        </w:rPr>
        <w:tab/>
        <w:t xml:space="preserve">M. Karan </w:t>
      </w:r>
      <w:r w:rsidRPr="00747EB7">
        <w:rPr>
          <w:rFonts w:ascii="Calibri" w:hAnsi="Calibri" w:cs="Calibri"/>
          <w:i/>
          <w:iCs/>
          <w:noProof/>
          <w:szCs w:val="24"/>
        </w:rPr>
        <w:t>et al.</w:t>
      </w:r>
      <w:r w:rsidRPr="00747EB7">
        <w:rPr>
          <w:rFonts w:ascii="Calibri" w:hAnsi="Calibri" w:cs="Calibri"/>
          <w:noProof/>
          <w:szCs w:val="24"/>
        </w:rPr>
        <w:t xml:space="preserve">, “The Australian SuperSite Network: A continental, long-term terrestrial ecosystem observatory,” </w:t>
      </w:r>
      <w:r w:rsidRPr="00747EB7">
        <w:rPr>
          <w:rFonts w:ascii="Calibri" w:hAnsi="Calibri" w:cs="Calibri"/>
          <w:i/>
          <w:iCs/>
          <w:noProof/>
          <w:szCs w:val="24"/>
        </w:rPr>
        <w:t>Sci. Total Environ.</w:t>
      </w:r>
      <w:r w:rsidRPr="00747EB7">
        <w:rPr>
          <w:rFonts w:ascii="Calibri" w:hAnsi="Calibri" w:cs="Calibri"/>
          <w:noProof/>
          <w:szCs w:val="24"/>
        </w:rPr>
        <w:t>, vol. 568, pp. 1263–1274, Oct. 2016, doi: 10.1016/j.scitotenv.2016.05.170.</w:t>
      </w:r>
    </w:p>
    <w:p w14:paraId="1E309A0C"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[22]</w:t>
      </w:r>
      <w:r w:rsidRPr="00747EB7">
        <w:rPr>
          <w:rFonts w:ascii="Calibri" w:hAnsi="Calibri" w:cs="Calibri"/>
          <w:noProof/>
          <w:szCs w:val="24"/>
        </w:rPr>
        <w:tab/>
        <w:t xml:space="preserve">M. Keller, D. S. Schimel, W. W. Hargrove, and F. M. Hoffman, “A continental strategy for the National Ecological Observatory Network,” </w:t>
      </w:r>
      <w:r w:rsidRPr="00747EB7">
        <w:rPr>
          <w:rFonts w:ascii="Calibri" w:hAnsi="Calibri" w:cs="Calibri"/>
          <w:i/>
          <w:iCs/>
          <w:noProof/>
          <w:szCs w:val="24"/>
        </w:rPr>
        <w:t>Front. Ecol. Environ.</w:t>
      </w:r>
      <w:r w:rsidRPr="00747EB7">
        <w:rPr>
          <w:rFonts w:ascii="Calibri" w:hAnsi="Calibri" w:cs="Calibri"/>
          <w:noProof/>
          <w:szCs w:val="24"/>
        </w:rPr>
        <w:t>, vol. 6, no. 5, pp. 282–284, Jun. 2008, doi: 10.1890/1540-9295(2008)6[282:ACSFTN]2.0.CO;2.</w:t>
      </w:r>
    </w:p>
    <w:p w14:paraId="49927F9F"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[23]</w:t>
      </w:r>
      <w:r w:rsidRPr="00747EB7">
        <w:rPr>
          <w:rFonts w:ascii="Calibri" w:hAnsi="Calibri" w:cs="Calibri"/>
          <w:noProof/>
          <w:szCs w:val="24"/>
        </w:rPr>
        <w:tab/>
        <w:t xml:space="preserve">A. C. Povey and R. G. Grainger, “Known and unknown unknowns: Uncertainty estimation in satellite remote sensing,” </w:t>
      </w:r>
      <w:r w:rsidRPr="00747EB7">
        <w:rPr>
          <w:rFonts w:ascii="Calibri" w:hAnsi="Calibri" w:cs="Calibri"/>
          <w:i/>
          <w:iCs/>
          <w:noProof/>
          <w:szCs w:val="24"/>
        </w:rPr>
        <w:t>Atmos. Meas. Tech.</w:t>
      </w:r>
      <w:r w:rsidRPr="00747EB7">
        <w:rPr>
          <w:rFonts w:ascii="Calibri" w:hAnsi="Calibri" w:cs="Calibri"/>
          <w:noProof/>
          <w:szCs w:val="24"/>
        </w:rPr>
        <w:t>, vol. 8, no. 11, pp. 4699–4718, 2015, doi: 10.5194/amt-8-4699-2015.</w:t>
      </w:r>
    </w:p>
    <w:p w14:paraId="1436D89F"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[24]</w:t>
      </w:r>
      <w:r w:rsidRPr="00747EB7">
        <w:rPr>
          <w:rFonts w:ascii="Calibri" w:hAnsi="Calibri" w:cs="Calibri"/>
          <w:noProof/>
          <w:szCs w:val="24"/>
        </w:rPr>
        <w:tab/>
        <w:t>FIDUCEO, “Introducing the measurement function.” http://www.fiduceo.eu/tutorial/introducing-measurement-function (accessed Jun. 04, 2020).</w:t>
      </w:r>
    </w:p>
    <w:p w14:paraId="172107C8"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szCs w:val="24"/>
        </w:rPr>
      </w:pPr>
      <w:r w:rsidRPr="00747EB7">
        <w:rPr>
          <w:rFonts w:ascii="Calibri" w:hAnsi="Calibri" w:cs="Calibri"/>
          <w:noProof/>
          <w:szCs w:val="24"/>
        </w:rPr>
        <w:t>[25]</w:t>
      </w:r>
      <w:r w:rsidRPr="00747EB7">
        <w:rPr>
          <w:rFonts w:ascii="Calibri" w:hAnsi="Calibri" w:cs="Calibri"/>
          <w:noProof/>
          <w:szCs w:val="24"/>
        </w:rPr>
        <w:tab/>
        <w:t xml:space="preserve">C. Merchant, G. Holl, J. Mittaz, and E. Woolliams, “Radiance Uncertainty Characterisation to Facilitate Climate Data Record Creation,” </w:t>
      </w:r>
      <w:r w:rsidRPr="00747EB7">
        <w:rPr>
          <w:rFonts w:ascii="Calibri" w:hAnsi="Calibri" w:cs="Calibri"/>
          <w:i/>
          <w:iCs/>
          <w:noProof/>
          <w:szCs w:val="24"/>
        </w:rPr>
        <w:t>Remote Sens.</w:t>
      </w:r>
      <w:r w:rsidRPr="00747EB7">
        <w:rPr>
          <w:rFonts w:ascii="Calibri" w:hAnsi="Calibri" w:cs="Calibri"/>
          <w:noProof/>
          <w:szCs w:val="24"/>
        </w:rPr>
        <w:t>, vol. 11, no. 5, p. 474, Feb. 2019, doi: 10.3390/rs11050474.</w:t>
      </w:r>
    </w:p>
    <w:p w14:paraId="69344A16" w14:textId="77777777" w:rsidR="00747EB7" w:rsidRPr="00747EB7" w:rsidRDefault="00747EB7" w:rsidP="00747EB7">
      <w:pPr>
        <w:widowControl w:val="0"/>
        <w:autoSpaceDE w:val="0"/>
        <w:autoSpaceDN w:val="0"/>
        <w:adjustRightInd w:val="0"/>
        <w:spacing w:line="240" w:lineRule="auto"/>
        <w:ind w:left="640" w:hanging="640"/>
        <w:rPr>
          <w:rFonts w:ascii="Calibri" w:hAnsi="Calibri" w:cs="Calibri"/>
          <w:noProof/>
        </w:rPr>
      </w:pPr>
      <w:r w:rsidRPr="00747EB7">
        <w:rPr>
          <w:rFonts w:ascii="Calibri" w:hAnsi="Calibri" w:cs="Calibri"/>
          <w:noProof/>
          <w:szCs w:val="24"/>
        </w:rPr>
        <w:t>[26]</w:t>
      </w:r>
      <w:r w:rsidRPr="00747EB7">
        <w:rPr>
          <w:rFonts w:ascii="Calibri" w:hAnsi="Calibri" w:cs="Calibri"/>
          <w:noProof/>
          <w:szCs w:val="24"/>
        </w:rPr>
        <w:tab/>
        <w:t xml:space="preserve">N. Origo, J. Gorroño, J. Ryder, J. Nightingale, and A. Bialek, “Fiducial Reference Measurements for validation of Sentinel-2 and Proba-V surface reflectance products,” </w:t>
      </w:r>
      <w:r w:rsidRPr="00747EB7">
        <w:rPr>
          <w:rFonts w:ascii="Calibri" w:hAnsi="Calibri" w:cs="Calibri"/>
          <w:i/>
          <w:iCs/>
          <w:noProof/>
          <w:szCs w:val="24"/>
        </w:rPr>
        <w:t>Remote Sens. Environ.</w:t>
      </w:r>
      <w:r w:rsidRPr="00747EB7">
        <w:rPr>
          <w:rFonts w:ascii="Calibri" w:hAnsi="Calibri" w:cs="Calibri"/>
          <w:noProof/>
          <w:szCs w:val="24"/>
        </w:rPr>
        <w:t>, vol. 241, no. November 2019, p. 111690, 2020, doi: 10.1016/j.rse.2020.111690.</w:t>
      </w:r>
    </w:p>
    <w:p w14:paraId="540B6385" w14:textId="1E0261CF" w:rsidR="00317837" w:rsidRDefault="00616100" w:rsidP="005273A4">
      <w:pPr>
        <w:jc w:val="both"/>
      </w:pPr>
      <w:r>
        <w:fldChar w:fldCharType="end"/>
      </w:r>
    </w:p>
    <w:sectPr w:rsidR="00317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harisSIL">
    <w:altName w:val="Yu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54A"/>
    <w:multiLevelType w:val="multilevel"/>
    <w:tmpl w:val="3B8279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565" w:hanging="864"/>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6"/>
      <w:lvlJc w:val="left"/>
      <w:pPr>
        <w:ind w:left="431" w:hanging="431"/>
      </w:pPr>
      <w:rPr>
        <w:rFonts w:hint="default"/>
      </w:rPr>
    </w:lvl>
    <w:lvl w:ilvl="6">
      <w:start w:val="1"/>
      <w:numFmt w:val="decimal"/>
      <w:pStyle w:val="Heading7"/>
      <w:lvlText w:val="%6.%7"/>
      <w:lvlJc w:val="left"/>
      <w:pPr>
        <w:ind w:left="578" w:hanging="578"/>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lvlText w:val="%6.%7.%8.%9"/>
      <w:lvlJc w:val="left"/>
      <w:pPr>
        <w:ind w:left="862" w:hanging="862"/>
      </w:pPr>
      <w:rPr>
        <w:rFonts w:hint="default"/>
      </w:rPr>
    </w:lvl>
  </w:abstractNum>
  <w:abstractNum w:abstractNumId="1" w15:restartNumberingAfterBreak="0">
    <w:nsid w:val="133E70EF"/>
    <w:multiLevelType w:val="hybridMultilevel"/>
    <w:tmpl w:val="36E4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401D2"/>
    <w:multiLevelType w:val="hybridMultilevel"/>
    <w:tmpl w:val="FD5C4D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424AF"/>
    <w:multiLevelType w:val="multilevel"/>
    <w:tmpl w:val="356CBED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4" w15:restartNumberingAfterBreak="0">
    <w:nsid w:val="4854136B"/>
    <w:multiLevelType w:val="hybridMultilevel"/>
    <w:tmpl w:val="9414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D2EED"/>
    <w:multiLevelType w:val="multilevel"/>
    <w:tmpl w:val="DC624F1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6" w15:restartNumberingAfterBreak="0">
    <w:nsid w:val="4DFC05D7"/>
    <w:multiLevelType w:val="hybridMultilevel"/>
    <w:tmpl w:val="84CC1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4440B9"/>
    <w:multiLevelType w:val="hybridMultilevel"/>
    <w:tmpl w:val="1340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275D6"/>
    <w:multiLevelType w:val="hybridMultilevel"/>
    <w:tmpl w:val="AC6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91802"/>
    <w:multiLevelType w:val="hybridMultilevel"/>
    <w:tmpl w:val="9DECE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3"/>
  </w:num>
  <w:num w:numId="5">
    <w:abstractNumId w:val="9"/>
  </w:num>
  <w:num w:numId="6">
    <w:abstractNumId w:val="8"/>
  </w:num>
  <w:num w:numId="7">
    <w:abstractNumId w:val="7"/>
  </w:num>
  <w:num w:numId="8">
    <w:abstractNumId w:val="1"/>
  </w:num>
  <w:num w:numId="9">
    <w:abstractNumId w:val="4"/>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15"/>
    <w:rsid w:val="00003B86"/>
    <w:rsid w:val="00035A63"/>
    <w:rsid w:val="00064404"/>
    <w:rsid w:val="000671D8"/>
    <w:rsid w:val="00073C01"/>
    <w:rsid w:val="000A0608"/>
    <w:rsid w:val="000A2AC3"/>
    <w:rsid w:val="000C57FC"/>
    <w:rsid w:val="000D5CCC"/>
    <w:rsid w:val="000D694F"/>
    <w:rsid w:val="000E700F"/>
    <w:rsid w:val="000F0574"/>
    <w:rsid w:val="001007D4"/>
    <w:rsid w:val="001010BC"/>
    <w:rsid w:val="00113D9D"/>
    <w:rsid w:val="001418E1"/>
    <w:rsid w:val="001437BA"/>
    <w:rsid w:val="0016332E"/>
    <w:rsid w:val="0016543A"/>
    <w:rsid w:val="001671E3"/>
    <w:rsid w:val="001B477D"/>
    <w:rsid w:val="001D68DD"/>
    <w:rsid w:val="001D7614"/>
    <w:rsid w:val="001F3643"/>
    <w:rsid w:val="001F7E19"/>
    <w:rsid w:val="002507F3"/>
    <w:rsid w:val="00255917"/>
    <w:rsid w:val="00260ABE"/>
    <w:rsid w:val="00286354"/>
    <w:rsid w:val="002916DC"/>
    <w:rsid w:val="00294B37"/>
    <w:rsid w:val="002A32D2"/>
    <w:rsid w:val="002E681D"/>
    <w:rsid w:val="00301AA3"/>
    <w:rsid w:val="00305E58"/>
    <w:rsid w:val="00315995"/>
    <w:rsid w:val="00317837"/>
    <w:rsid w:val="003424EC"/>
    <w:rsid w:val="0034335B"/>
    <w:rsid w:val="003647FE"/>
    <w:rsid w:val="0037168E"/>
    <w:rsid w:val="00371D12"/>
    <w:rsid w:val="00373731"/>
    <w:rsid w:val="003758DA"/>
    <w:rsid w:val="00383199"/>
    <w:rsid w:val="003A31A1"/>
    <w:rsid w:val="003A70BB"/>
    <w:rsid w:val="003C390B"/>
    <w:rsid w:val="003E74A0"/>
    <w:rsid w:val="0040675E"/>
    <w:rsid w:val="00406BD3"/>
    <w:rsid w:val="00425040"/>
    <w:rsid w:val="00454BC5"/>
    <w:rsid w:val="004825ED"/>
    <w:rsid w:val="00484FA3"/>
    <w:rsid w:val="00490BD9"/>
    <w:rsid w:val="004A6F38"/>
    <w:rsid w:val="004D15AA"/>
    <w:rsid w:val="004E01A6"/>
    <w:rsid w:val="00507008"/>
    <w:rsid w:val="00516FDA"/>
    <w:rsid w:val="005273A4"/>
    <w:rsid w:val="00553505"/>
    <w:rsid w:val="005719CA"/>
    <w:rsid w:val="00596DDB"/>
    <w:rsid w:val="005A1530"/>
    <w:rsid w:val="005A77A5"/>
    <w:rsid w:val="005B09F9"/>
    <w:rsid w:val="005B0CE6"/>
    <w:rsid w:val="005B2527"/>
    <w:rsid w:val="005E6710"/>
    <w:rsid w:val="005F0425"/>
    <w:rsid w:val="00616100"/>
    <w:rsid w:val="00620791"/>
    <w:rsid w:val="00636F70"/>
    <w:rsid w:val="0065059A"/>
    <w:rsid w:val="00650DCE"/>
    <w:rsid w:val="00652CC0"/>
    <w:rsid w:val="00652D75"/>
    <w:rsid w:val="00654E5D"/>
    <w:rsid w:val="006644AA"/>
    <w:rsid w:val="006A6DC8"/>
    <w:rsid w:val="006C15F2"/>
    <w:rsid w:val="006C1B39"/>
    <w:rsid w:val="006C4D66"/>
    <w:rsid w:val="006D39C9"/>
    <w:rsid w:val="006D4D53"/>
    <w:rsid w:val="006D7FFA"/>
    <w:rsid w:val="00700ACE"/>
    <w:rsid w:val="007023EC"/>
    <w:rsid w:val="00717ABB"/>
    <w:rsid w:val="00731A54"/>
    <w:rsid w:val="00735DB6"/>
    <w:rsid w:val="00747EB7"/>
    <w:rsid w:val="00767504"/>
    <w:rsid w:val="007941A7"/>
    <w:rsid w:val="007978A9"/>
    <w:rsid w:val="00797ACD"/>
    <w:rsid w:val="00797D05"/>
    <w:rsid w:val="007B592A"/>
    <w:rsid w:val="007C3B39"/>
    <w:rsid w:val="007D4087"/>
    <w:rsid w:val="007E0877"/>
    <w:rsid w:val="007E103F"/>
    <w:rsid w:val="00805792"/>
    <w:rsid w:val="00816C18"/>
    <w:rsid w:val="00820324"/>
    <w:rsid w:val="00836C20"/>
    <w:rsid w:val="008464AC"/>
    <w:rsid w:val="00855C23"/>
    <w:rsid w:val="008663FB"/>
    <w:rsid w:val="00887EE2"/>
    <w:rsid w:val="008C7DB9"/>
    <w:rsid w:val="008D0B79"/>
    <w:rsid w:val="008D2F33"/>
    <w:rsid w:val="008E6DB3"/>
    <w:rsid w:val="009071F0"/>
    <w:rsid w:val="00920B04"/>
    <w:rsid w:val="009324AD"/>
    <w:rsid w:val="00936FBA"/>
    <w:rsid w:val="0096507B"/>
    <w:rsid w:val="00975866"/>
    <w:rsid w:val="009979AC"/>
    <w:rsid w:val="009A13FE"/>
    <w:rsid w:val="009A37A9"/>
    <w:rsid w:val="009C2A37"/>
    <w:rsid w:val="00A03042"/>
    <w:rsid w:val="00A11B2A"/>
    <w:rsid w:val="00A16A38"/>
    <w:rsid w:val="00A2755A"/>
    <w:rsid w:val="00A45ABE"/>
    <w:rsid w:val="00A63628"/>
    <w:rsid w:val="00A70F71"/>
    <w:rsid w:val="00A933BF"/>
    <w:rsid w:val="00A96FB3"/>
    <w:rsid w:val="00AA099F"/>
    <w:rsid w:val="00AA6897"/>
    <w:rsid w:val="00AA7963"/>
    <w:rsid w:val="00AB28B8"/>
    <w:rsid w:val="00AB5E16"/>
    <w:rsid w:val="00AC585A"/>
    <w:rsid w:val="00AD02F2"/>
    <w:rsid w:val="00AD2A36"/>
    <w:rsid w:val="00AE2836"/>
    <w:rsid w:val="00B00253"/>
    <w:rsid w:val="00B01495"/>
    <w:rsid w:val="00B12968"/>
    <w:rsid w:val="00B13085"/>
    <w:rsid w:val="00B35C2E"/>
    <w:rsid w:val="00B746B9"/>
    <w:rsid w:val="00B846F5"/>
    <w:rsid w:val="00B86DC4"/>
    <w:rsid w:val="00B9299A"/>
    <w:rsid w:val="00B94BD0"/>
    <w:rsid w:val="00B95010"/>
    <w:rsid w:val="00B970A5"/>
    <w:rsid w:val="00BA29AC"/>
    <w:rsid w:val="00BC07A0"/>
    <w:rsid w:val="00BC4ECC"/>
    <w:rsid w:val="00BD49F3"/>
    <w:rsid w:val="00C1298A"/>
    <w:rsid w:val="00C27E3A"/>
    <w:rsid w:val="00C41DDD"/>
    <w:rsid w:val="00C87259"/>
    <w:rsid w:val="00CB411A"/>
    <w:rsid w:val="00CC441B"/>
    <w:rsid w:val="00CC58F4"/>
    <w:rsid w:val="00CF16F8"/>
    <w:rsid w:val="00D00B01"/>
    <w:rsid w:val="00D14FCF"/>
    <w:rsid w:val="00D22F29"/>
    <w:rsid w:val="00D30CE5"/>
    <w:rsid w:val="00D30D68"/>
    <w:rsid w:val="00D47144"/>
    <w:rsid w:val="00D70CC2"/>
    <w:rsid w:val="00D7616A"/>
    <w:rsid w:val="00DA7DB6"/>
    <w:rsid w:val="00DA7F5B"/>
    <w:rsid w:val="00DB3954"/>
    <w:rsid w:val="00DC488F"/>
    <w:rsid w:val="00DE6B2F"/>
    <w:rsid w:val="00DE6F77"/>
    <w:rsid w:val="00E06EDD"/>
    <w:rsid w:val="00E20802"/>
    <w:rsid w:val="00E33DF7"/>
    <w:rsid w:val="00E42BDF"/>
    <w:rsid w:val="00E63B8D"/>
    <w:rsid w:val="00E718F3"/>
    <w:rsid w:val="00E74EA1"/>
    <w:rsid w:val="00E92B84"/>
    <w:rsid w:val="00E947E6"/>
    <w:rsid w:val="00E957D8"/>
    <w:rsid w:val="00EB13B6"/>
    <w:rsid w:val="00ED1A2C"/>
    <w:rsid w:val="00ED55C3"/>
    <w:rsid w:val="00EE0F88"/>
    <w:rsid w:val="00EF48E3"/>
    <w:rsid w:val="00EF7285"/>
    <w:rsid w:val="00F31606"/>
    <w:rsid w:val="00F31EB8"/>
    <w:rsid w:val="00F3434D"/>
    <w:rsid w:val="00F54DAC"/>
    <w:rsid w:val="00F60542"/>
    <w:rsid w:val="00F63315"/>
    <w:rsid w:val="00F7302B"/>
    <w:rsid w:val="00FA3040"/>
    <w:rsid w:val="00FD13C6"/>
    <w:rsid w:val="00FD4085"/>
    <w:rsid w:val="00FD6B9B"/>
    <w:rsid w:val="00FE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4862"/>
  <w15:chartTrackingRefBased/>
  <w15:docId w15:val="{285A491E-009E-405E-8A42-697D4FD4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15"/>
  </w:style>
  <w:style w:type="paragraph" w:styleId="Heading1">
    <w:name w:val="heading 1"/>
    <w:basedOn w:val="Normal"/>
    <w:next w:val="Normal"/>
    <w:link w:val="Heading1Char"/>
    <w:uiPriority w:val="9"/>
    <w:qFormat/>
    <w:rsid w:val="00F63315"/>
    <w:pPr>
      <w:keepNext/>
      <w:keepLines/>
      <w:numPr>
        <w:numId w:val="1"/>
      </w:numPr>
      <w:spacing w:before="240" w:after="0"/>
      <w:outlineLvl w:val="0"/>
    </w:pPr>
    <w:rPr>
      <w:rFonts w:asciiTheme="majorHAnsi" w:eastAsiaTheme="majorEastAsia" w:hAnsiTheme="majorHAnsi" w:cstheme="majorBidi"/>
      <w:color w:val="44546A" w:themeColor="text2"/>
      <w:sz w:val="32"/>
      <w:szCs w:val="32"/>
    </w:rPr>
  </w:style>
  <w:style w:type="paragraph" w:styleId="Heading2">
    <w:name w:val="heading 2"/>
    <w:basedOn w:val="Normal"/>
    <w:next w:val="Normal"/>
    <w:link w:val="Heading2Char"/>
    <w:uiPriority w:val="9"/>
    <w:unhideWhenUsed/>
    <w:qFormat/>
    <w:rsid w:val="00F63315"/>
    <w:pPr>
      <w:keepNext/>
      <w:keepLines/>
      <w:numPr>
        <w:ilvl w:val="1"/>
        <w:numId w:val="1"/>
      </w:numPr>
      <w:spacing w:before="40" w:after="0"/>
      <w:outlineLvl w:val="1"/>
    </w:pPr>
    <w:rPr>
      <w:rFonts w:asciiTheme="majorHAnsi" w:eastAsiaTheme="majorEastAsia" w:hAnsiTheme="majorHAnsi" w:cstheme="majorBidi"/>
      <w:color w:val="44546A" w:themeColor="text2"/>
      <w:sz w:val="26"/>
      <w:szCs w:val="26"/>
    </w:rPr>
  </w:style>
  <w:style w:type="paragraph" w:styleId="Heading3">
    <w:name w:val="heading 3"/>
    <w:basedOn w:val="Normal"/>
    <w:next w:val="Normal"/>
    <w:link w:val="Heading3Char"/>
    <w:uiPriority w:val="9"/>
    <w:unhideWhenUsed/>
    <w:qFormat/>
    <w:rsid w:val="00F6331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63315"/>
    <w:pPr>
      <w:keepNext/>
      <w:keepLines/>
      <w:numPr>
        <w:ilvl w:val="3"/>
        <w:numId w:val="1"/>
      </w:numPr>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F63315"/>
    <w:pPr>
      <w:keepNext/>
      <w:keepLines/>
      <w:numPr>
        <w:ilvl w:val="4"/>
        <w:numId w:val="1"/>
      </w:numPr>
      <w:spacing w:before="40" w:after="0"/>
      <w:outlineLvl w:val="4"/>
    </w:pPr>
    <w:rPr>
      <w:rFonts w:asciiTheme="majorHAnsi" w:eastAsiaTheme="majorEastAsia" w:hAnsiTheme="majorHAnsi" w:cstheme="majorBidi"/>
      <w:color w:val="44546A" w:themeColor="text2"/>
      <w:sz w:val="32"/>
      <w:szCs w:val="32"/>
    </w:rPr>
  </w:style>
  <w:style w:type="paragraph" w:styleId="Heading6">
    <w:name w:val="heading 6"/>
    <w:basedOn w:val="Normal"/>
    <w:next w:val="Normal"/>
    <w:link w:val="Heading6Char"/>
    <w:uiPriority w:val="9"/>
    <w:unhideWhenUsed/>
    <w:qFormat/>
    <w:rsid w:val="00F63315"/>
    <w:pPr>
      <w:keepNext/>
      <w:keepLines/>
      <w:numPr>
        <w:ilvl w:val="5"/>
        <w:numId w:val="1"/>
      </w:numPr>
      <w:spacing w:before="40" w:after="0"/>
      <w:outlineLvl w:val="5"/>
    </w:pPr>
    <w:rPr>
      <w:rFonts w:asciiTheme="majorHAnsi" w:eastAsiaTheme="majorEastAsia" w:hAnsiTheme="majorHAnsi" w:cstheme="majorBidi"/>
      <w:color w:val="44546A" w:themeColor="text2"/>
      <w:sz w:val="32"/>
      <w:szCs w:val="32"/>
    </w:rPr>
  </w:style>
  <w:style w:type="paragraph" w:styleId="Heading7">
    <w:name w:val="heading 7"/>
    <w:basedOn w:val="Normal"/>
    <w:next w:val="Normal"/>
    <w:link w:val="Heading7Char"/>
    <w:uiPriority w:val="9"/>
    <w:unhideWhenUsed/>
    <w:qFormat/>
    <w:rsid w:val="00F63315"/>
    <w:pPr>
      <w:keepNext/>
      <w:keepLines/>
      <w:numPr>
        <w:ilvl w:val="6"/>
        <w:numId w:val="1"/>
      </w:numPr>
      <w:spacing w:before="40" w:after="0"/>
      <w:outlineLvl w:val="6"/>
    </w:pPr>
    <w:rPr>
      <w:rFonts w:asciiTheme="majorHAnsi" w:eastAsiaTheme="majorEastAsia" w:hAnsiTheme="majorHAnsi" w:cstheme="majorBidi"/>
      <w:iCs/>
      <w:color w:val="44546A" w:themeColor="text2"/>
      <w:sz w:val="26"/>
      <w:szCs w:val="26"/>
    </w:rPr>
  </w:style>
  <w:style w:type="paragraph" w:styleId="Heading8">
    <w:name w:val="heading 8"/>
    <w:basedOn w:val="Normal"/>
    <w:next w:val="Normal"/>
    <w:link w:val="Heading8Char"/>
    <w:uiPriority w:val="9"/>
    <w:unhideWhenUsed/>
    <w:qFormat/>
    <w:rsid w:val="00F63315"/>
    <w:pPr>
      <w:keepNext/>
      <w:keepLines/>
      <w:numPr>
        <w:ilvl w:val="7"/>
        <w:numId w:val="1"/>
      </w:numPr>
      <w:spacing w:before="40" w:after="0"/>
      <w:outlineLvl w:val="7"/>
    </w:pPr>
    <w:rPr>
      <w:rFonts w:asciiTheme="majorHAnsi" w:eastAsiaTheme="majorEastAsia" w:hAnsiTheme="majorHAnsi" w:cstheme="majorBidi"/>
      <w:color w:val="44546A" w:themeColor="text2"/>
      <w:sz w:val="24"/>
      <w:szCs w:val="24"/>
    </w:rPr>
  </w:style>
  <w:style w:type="paragraph" w:styleId="Heading9">
    <w:name w:val="heading 9"/>
    <w:basedOn w:val="Normal"/>
    <w:next w:val="Normal"/>
    <w:link w:val="Heading9Char"/>
    <w:uiPriority w:val="9"/>
    <w:unhideWhenUsed/>
    <w:qFormat/>
    <w:rsid w:val="00F63315"/>
    <w:pPr>
      <w:keepNext/>
      <w:keepLines/>
      <w:numPr>
        <w:ilvl w:val="8"/>
        <w:numId w:val="1"/>
      </w:numPr>
      <w:spacing w:before="40" w:after="0"/>
      <w:outlineLvl w:val="8"/>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3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3315"/>
    <w:rPr>
      <w:rFonts w:eastAsiaTheme="minorEastAsia"/>
      <w:lang w:val="en-US"/>
    </w:rPr>
  </w:style>
  <w:style w:type="table" w:styleId="TableGrid">
    <w:name w:val="Table Grid"/>
    <w:basedOn w:val="TableNormal"/>
    <w:uiPriority w:val="39"/>
    <w:rsid w:val="00F6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15"/>
    <w:rPr>
      <w:rFonts w:ascii="Segoe UI" w:hAnsi="Segoe UI" w:cs="Segoe UI"/>
      <w:sz w:val="18"/>
      <w:szCs w:val="18"/>
    </w:rPr>
  </w:style>
  <w:style w:type="character" w:customStyle="1" w:styleId="Heading1Char">
    <w:name w:val="Heading 1 Char"/>
    <w:basedOn w:val="DefaultParagraphFont"/>
    <w:link w:val="Heading1"/>
    <w:uiPriority w:val="9"/>
    <w:rsid w:val="00F63315"/>
    <w:rPr>
      <w:rFonts w:asciiTheme="majorHAnsi" w:eastAsiaTheme="majorEastAsia" w:hAnsiTheme="majorHAnsi" w:cstheme="majorBidi"/>
      <w:color w:val="44546A" w:themeColor="text2"/>
      <w:sz w:val="32"/>
      <w:szCs w:val="32"/>
    </w:rPr>
  </w:style>
  <w:style w:type="character" w:customStyle="1" w:styleId="Heading2Char">
    <w:name w:val="Heading 2 Char"/>
    <w:basedOn w:val="DefaultParagraphFont"/>
    <w:link w:val="Heading2"/>
    <w:uiPriority w:val="9"/>
    <w:rsid w:val="00F63315"/>
    <w:rPr>
      <w:rFonts w:asciiTheme="majorHAnsi" w:eastAsiaTheme="majorEastAsia" w:hAnsiTheme="majorHAnsi" w:cstheme="majorBidi"/>
      <w:color w:val="44546A" w:themeColor="text2"/>
      <w:sz w:val="26"/>
      <w:szCs w:val="26"/>
    </w:rPr>
  </w:style>
  <w:style w:type="character" w:customStyle="1" w:styleId="Heading3Char">
    <w:name w:val="Heading 3 Char"/>
    <w:basedOn w:val="DefaultParagraphFont"/>
    <w:link w:val="Heading3"/>
    <w:uiPriority w:val="9"/>
    <w:rsid w:val="00F633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63315"/>
    <w:rPr>
      <w:rFonts w:asciiTheme="majorHAnsi" w:eastAsiaTheme="majorEastAsia" w:hAnsiTheme="majorHAnsi" w:cstheme="majorBidi"/>
      <w:iCs/>
      <w:color w:val="2F5496" w:themeColor="accent1" w:themeShade="BF"/>
    </w:rPr>
  </w:style>
  <w:style w:type="character" w:customStyle="1" w:styleId="Heading5Char">
    <w:name w:val="Heading 5 Char"/>
    <w:basedOn w:val="DefaultParagraphFont"/>
    <w:link w:val="Heading5"/>
    <w:uiPriority w:val="9"/>
    <w:rsid w:val="00F63315"/>
    <w:rPr>
      <w:rFonts w:asciiTheme="majorHAnsi" w:eastAsiaTheme="majorEastAsia" w:hAnsiTheme="majorHAnsi" w:cstheme="majorBidi"/>
      <w:color w:val="44546A" w:themeColor="text2"/>
      <w:sz w:val="32"/>
      <w:szCs w:val="32"/>
    </w:rPr>
  </w:style>
  <w:style w:type="character" w:customStyle="1" w:styleId="Heading6Char">
    <w:name w:val="Heading 6 Char"/>
    <w:basedOn w:val="DefaultParagraphFont"/>
    <w:link w:val="Heading6"/>
    <w:uiPriority w:val="9"/>
    <w:rsid w:val="00F63315"/>
    <w:rPr>
      <w:rFonts w:asciiTheme="majorHAnsi" w:eastAsiaTheme="majorEastAsia" w:hAnsiTheme="majorHAnsi" w:cstheme="majorBidi"/>
      <w:color w:val="44546A" w:themeColor="text2"/>
      <w:sz w:val="32"/>
      <w:szCs w:val="32"/>
    </w:rPr>
  </w:style>
  <w:style w:type="character" w:customStyle="1" w:styleId="Heading7Char">
    <w:name w:val="Heading 7 Char"/>
    <w:basedOn w:val="DefaultParagraphFont"/>
    <w:link w:val="Heading7"/>
    <w:uiPriority w:val="9"/>
    <w:rsid w:val="00F63315"/>
    <w:rPr>
      <w:rFonts w:asciiTheme="majorHAnsi" w:eastAsiaTheme="majorEastAsia" w:hAnsiTheme="majorHAnsi" w:cstheme="majorBidi"/>
      <w:iCs/>
      <w:color w:val="44546A" w:themeColor="text2"/>
      <w:sz w:val="26"/>
      <w:szCs w:val="26"/>
    </w:rPr>
  </w:style>
  <w:style w:type="character" w:customStyle="1" w:styleId="Heading8Char">
    <w:name w:val="Heading 8 Char"/>
    <w:basedOn w:val="DefaultParagraphFont"/>
    <w:link w:val="Heading8"/>
    <w:uiPriority w:val="9"/>
    <w:rsid w:val="00F63315"/>
    <w:rPr>
      <w:rFonts w:asciiTheme="majorHAnsi" w:eastAsiaTheme="majorEastAsia" w:hAnsiTheme="majorHAnsi" w:cstheme="majorBidi"/>
      <w:color w:val="44546A" w:themeColor="text2"/>
      <w:sz w:val="24"/>
      <w:szCs w:val="24"/>
    </w:rPr>
  </w:style>
  <w:style w:type="character" w:customStyle="1" w:styleId="Heading9Char">
    <w:name w:val="Heading 9 Char"/>
    <w:basedOn w:val="DefaultParagraphFont"/>
    <w:link w:val="Heading9"/>
    <w:uiPriority w:val="9"/>
    <w:rsid w:val="00F63315"/>
    <w:rPr>
      <w:rFonts w:asciiTheme="majorHAnsi" w:eastAsiaTheme="majorEastAsia" w:hAnsiTheme="majorHAnsi" w:cstheme="majorBidi"/>
      <w:iCs/>
      <w:color w:val="2F5496" w:themeColor="accent1" w:themeShade="BF"/>
    </w:rPr>
  </w:style>
  <w:style w:type="table" w:styleId="TableGridLight">
    <w:name w:val="Grid Table Light"/>
    <w:basedOn w:val="TableNormal"/>
    <w:uiPriority w:val="40"/>
    <w:rsid w:val="00F633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aliases w:val="Légende italique,RefDoc,ASSET_caption,topic,Legend,3559Caption, Char,Char,Didascalia Carattere1,Didascalia Carattere2 Carattere, Char Carattere Carattere1,Didascalia Carattere1 Carattere1 Carattere, Carattere Carattere1 Carattere,c"/>
    <w:basedOn w:val="Normal"/>
    <w:next w:val="Normal"/>
    <w:link w:val="CaptionChar"/>
    <w:uiPriority w:val="35"/>
    <w:unhideWhenUsed/>
    <w:qFormat/>
    <w:rsid w:val="00F63315"/>
    <w:pPr>
      <w:spacing w:after="200" w:line="240" w:lineRule="auto"/>
    </w:pPr>
    <w:rPr>
      <w:i/>
      <w:iCs/>
      <w:color w:val="44546A" w:themeColor="text2"/>
      <w:sz w:val="18"/>
      <w:szCs w:val="18"/>
    </w:rPr>
  </w:style>
  <w:style w:type="character" w:customStyle="1" w:styleId="CaptionChar">
    <w:name w:val="Caption Char"/>
    <w:aliases w:val="Légende italique Char,RefDoc Char,ASSET_caption Char,topic Char,Legend Char,3559Caption Char, Char Char,Char Char,Didascalia Carattere1 Char,Didascalia Carattere2 Carattere Char, Char Carattere Carattere1 Char,c Char"/>
    <w:link w:val="Caption"/>
    <w:rsid w:val="00F63315"/>
    <w:rPr>
      <w:i/>
      <w:iCs/>
      <w:color w:val="44546A" w:themeColor="text2"/>
      <w:sz w:val="18"/>
      <w:szCs w:val="18"/>
    </w:rPr>
  </w:style>
  <w:style w:type="paragraph" w:styleId="ListParagraph">
    <w:name w:val="List Paragraph"/>
    <w:basedOn w:val="Normal"/>
    <w:uiPriority w:val="34"/>
    <w:qFormat/>
    <w:rsid w:val="0040675E"/>
    <w:pPr>
      <w:ind w:left="720"/>
      <w:contextualSpacing/>
    </w:pPr>
  </w:style>
  <w:style w:type="character" w:styleId="CommentReference">
    <w:name w:val="annotation reference"/>
    <w:basedOn w:val="DefaultParagraphFont"/>
    <w:uiPriority w:val="99"/>
    <w:semiHidden/>
    <w:unhideWhenUsed/>
    <w:rsid w:val="0040675E"/>
    <w:rPr>
      <w:sz w:val="16"/>
      <w:szCs w:val="16"/>
    </w:rPr>
  </w:style>
  <w:style w:type="paragraph" w:styleId="CommentText">
    <w:name w:val="annotation text"/>
    <w:basedOn w:val="Normal"/>
    <w:link w:val="CommentTextChar"/>
    <w:uiPriority w:val="99"/>
    <w:unhideWhenUsed/>
    <w:rsid w:val="0040675E"/>
    <w:pPr>
      <w:spacing w:line="240" w:lineRule="auto"/>
    </w:pPr>
    <w:rPr>
      <w:sz w:val="20"/>
      <w:szCs w:val="20"/>
    </w:rPr>
  </w:style>
  <w:style w:type="character" w:customStyle="1" w:styleId="CommentTextChar">
    <w:name w:val="Comment Text Char"/>
    <w:basedOn w:val="DefaultParagraphFont"/>
    <w:link w:val="CommentText"/>
    <w:uiPriority w:val="99"/>
    <w:rsid w:val="0040675E"/>
    <w:rPr>
      <w:sz w:val="20"/>
      <w:szCs w:val="20"/>
    </w:rPr>
  </w:style>
  <w:style w:type="paragraph" w:styleId="TableofFigures">
    <w:name w:val="table of figures"/>
    <w:basedOn w:val="Normal"/>
    <w:next w:val="Normal"/>
    <w:uiPriority w:val="99"/>
    <w:unhideWhenUsed/>
    <w:rsid w:val="00CF16F8"/>
    <w:pPr>
      <w:spacing w:after="0"/>
    </w:pPr>
  </w:style>
  <w:style w:type="character" w:styleId="Hyperlink">
    <w:name w:val="Hyperlink"/>
    <w:basedOn w:val="DefaultParagraphFont"/>
    <w:uiPriority w:val="99"/>
    <w:unhideWhenUsed/>
    <w:rsid w:val="00CF16F8"/>
    <w:rPr>
      <w:color w:val="0563C1" w:themeColor="hyperlink"/>
      <w:u w:val="single"/>
    </w:rPr>
  </w:style>
  <w:style w:type="paragraph" w:styleId="TOC1">
    <w:name w:val="toc 1"/>
    <w:basedOn w:val="Normal"/>
    <w:next w:val="Normal"/>
    <w:autoRedefine/>
    <w:uiPriority w:val="39"/>
    <w:unhideWhenUsed/>
    <w:rsid w:val="00E957D8"/>
    <w:pPr>
      <w:tabs>
        <w:tab w:val="right" w:leader="dot" w:pos="9016"/>
      </w:tabs>
      <w:spacing w:before="120" w:after="120"/>
    </w:pPr>
    <w:rPr>
      <w:b/>
      <w:bCs/>
      <w:caps/>
      <w:sz w:val="20"/>
      <w:szCs w:val="20"/>
    </w:rPr>
  </w:style>
  <w:style w:type="paragraph" w:styleId="TOC2">
    <w:name w:val="toc 2"/>
    <w:basedOn w:val="Normal"/>
    <w:next w:val="Normal"/>
    <w:autoRedefine/>
    <w:uiPriority w:val="39"/>
    <w:unhideWhenUsed/>
    <w:rsid w:val="00E957D8"/>
    <w:pPr>
      <w:spacing w:after="0"/>
      <w:ind w:left="220"/>
    </w:pPr>
    <w:rPr>
      <w:smallCaps/>
      <w:sz w:val="20"/>
      <w:szCs w:val="20"/>
    </w:rPr>
  </w:style>
  <w:style w:type="paragraph" w:styleId="TOC3">
    <w:name w:val="toc 3"/>
    <w:basedOn w:val="Normal"/>
    <w:next w:val="Normal"/>
    <w:autoRedefine/>
    <w:uiPriority w:val="39"/>
    <w:unhideWhenUsed/>
    <w:rsid w:val="00E957D8"/>
    <w:pPr>
      <w:spacing w:after="0"/>
      <w:ind w:left="440"/>
    </w:pPr>
    <w:rPr>
      <w:i/>
      <w:iCs/>
      <w:sz w:val="20"/>
      <w:szCs w:val="20"/>
    </w:rPr>
  </w:style>
  <w:style w:type="character" w:styleId="PlaceholderText">
    <w:name w:val="Placeholder Text"/>
    <w:basedOn w:val="DefaultParagraphFont"/>
    <w:uiPriority w:val="99"/>
    <w:semiHidden/>
    <w:rsid w:val="003647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url?sa=i&amp;rct=j&amp;q=&amp;esrc=s&amp;source=images&amp;cd=&amp;cad=rja&amp;uact=8&amp;ved=0ahUKEwjRx6alu5PYAhXL1xQKHcWbBx4QjRwIBw&amp;url=https://www.bodet.co.uk/news/269-the-national-physical-laboratory-selects-bodet-to-provide-a-wireless-time-solution.html&amp;psig=AOvVaw3HTJAk3pVRL7SYyC5vdX23&amp;ust=1513683146214264" TargetMode="External"/><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AEA1ADEA348D42B41FFD307317D31C" ma:contentTypeVersion="13" ma:contentTypeDescription="Create a new document." ma:contentTypeScope="" ma:versionID="bc1a897b31016b664ca5012b3dafb51c">
  <xsd:schema xmlns:xsd="http://www.w3.org/2001/XMLSchema" xmlns:xs="http://www.w3.org/2001/XMLSchema" xmlns:p="http://schemas.microsoft.com/office/2006/metadata/properties" xmlns:ns3="b5d851ee-1a1a-47d6-9d10-99fd72829a66" xmlns:ns4="43cbab8c-3f07-460c-80be-5464de70bcd4" targetNamespace="http://schemas.microsoft.com/office/2006/metadata/properties" ma:root="true" ma:fieldsID="e7684ee72cb6e9deeb6834c4b38688d9" ns3:_="" ns4:_="">
    <xsd:import namespace="b5d851ee-1a1a-47d6-9d10-99fd72829a66"/>
    <xsd:import namespace="43cbab8c-3f07-460c-80be-5464de70bc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851ee-1a1a-47d6-9d10-99fd7282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bab8c-3f07-460c-80be-5464de70bc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34EC-D572-4C7B-932D-0BE1A995AABD}">
  <ds:schemaRefs>
    <ds:schemaRef ds:uri="http://schemas.microsoft.com/sharepoint/v3/contenttype/forms"/>
  </ds:schemaRefs>
</ds:datastoreItem>
</file>

<file path=customXml/itemProps2.xml><?xml version="1.0" encoding="utf-8"?>
<ds:datastoreItem xmlns:ds="http://schemas.openxmlformats.org/officeDocument/2006/customXml" ds:itemID="{8F33AE33-19DD-4F62-81DD-3CFDBF66D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20D98E-20A7-4B47-990F-DE664FC95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851ee-1a1a-47d6-9d10-99fd72829a66"/>
    <ds:schemaRef ds:uri="43cbab8c-3f07-460c-80be-5464de70b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505A3-75EB-474A-93E6-161DF242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21</Pages>
  <Words>12980</Words>
  <Characters>73990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National Physical Laboratory</Company>
  <LinksUpToDate>false</LinksUpToDate>
  <CharactersWithSpaces>86797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Morrone</dc:creator>
  <cp:keywords/>
  <dc:description/>
  <cp:lastModifiedBy>Luke</cp:lastModifiedBy>
  <cp:revision>213</cp:revision>
  <dcterms:created xsi:type="dcterms:W3CDTF">2020-06-01T10:01:00Z</dcterms:created>
  <dcterms:modified xsi:type="dcterms:W3CDTF">2020-07-01T16:18:00Z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db684165-52e0-3d2a-a901-0935203b316d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0x0101007AAEA1ADEA348D42B41FFD307317D31C</vt:lpwstr>
  </property>
</Properties>
</file>