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4B0A" w14:textId="4A5FA6DF" w:rsidR="00C50D6E" w:rsidRDefault="00C50D6E"/>
    <w:p w14:paraId="5291A415" w14:textId="77777777" w:rsidR="00C50D6E" w:rsidRDefault="00C50D6E"/>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FA19D9">
            <w:pPr>
              <w:ind w:right="1021"/>
              <w:jc w:val="right"/>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12DC5808" w14:textId="41D237DC" w:rsidR="00D96B69" w:rsidRPr="00E90D49" w:rsidRDefault="00D96B69" w:rsidP="00D96B69">
            <w:pPr>
              <w:pStyle w:val="NoSpacing"/>
              <w:rPr>
                <w:b/>
                <w:bCs/>
                <w:caps/>
                <w:color w:val="005596" w:themeColor="text2"/>
                <w:sz w:val="36"/>
                <w:szCs w:val="36"/>
                <w:lang w:val="en-GB"/>
              </w:rPr>
            </w:pPr>
            <w:r w:rsidRPr="00E90D49">
              <w:rPr>
                <w:b/>
                <w:bCs/>
                <w:color w:val="005596" w:themeColor="text2"/>
                <w:sz w:val="36"/>
                <w:szCs w:val="36"/>
                <w:lang w:val="en-GB"/>
              </w:rPr>
              <w:t xml:space="preserve">Validation Methodology </w:t>
            </w:r>
            <w:r>
              <w:rPr>
                <w:b/>
                <w:bCs/>
                <w:color w:val="005596" w:themeColor="text2"/>
                <w:sz w:val="36"/>
                <w:szCs w:val="36"/>
                <w:lang w:val="en-GB"/>
              </w:rPr>
              <w:t xml:space="preserve">for Copernicus </w:t>
            </w:r>
            <w:r w:rsidR="00411189">
              <w:rPr>
                <w:b/>
                <w:bCs/>
                <w:color w:val="005596" w:themeColor="text2"/>
                <w:sz w:val="36"/>
                <w:szCs w:val="36"/>
                <w:lang w:val="en-GB"/>
              </w:rPr>
              <w:t>S3</w:t>
            </w:r>
            <w:r w:rsidR="006412C0">
              <w:rPr>
                <w:b/>
                <w:bCs/>
                <w:color w:val="005596" w:themeColor="text2"/>
                <w:sz w:val="36"/>
                <w:szCs w:val="36"/>
                <w:lang w:val="en-GB"/>
              </w:rPr>
              <w:t xml:space="preserve"> OGVI/OTCI </w:t>
            </w:r>
            <w:r>
              <w:rPr>
                <w:b/>
                <w:bCs/>
                <w:color w:val="005596" w:themeColor="text2"/>
                <w:sz w:val="36"/>
                <w:szCs w:val="36"/>
                <w:lang w:val="en-GB"/>
              </w:rPr>
              <w:t>FAPAR and CCC Data Products Over FRM-Compliant Field Sites</w:t>
            </w:r>
            <w:r w:rsidRPr="00E90D49">
              <w:rPr>
                <w:b/>
                <w:bCs/>
                <w:color w:val="005596" w:themeColor="text2"/>
                <w:sz w:val="36"/>
                <w:szCs w:val="36"/>
                <w:lang w:val="en-GB"/>
              </w:rPr>
              <w:t xml:space="preserve"> (VM)</w:t>
            </w:r>
          </w:p>
          <w:p w14:paraId="2A29E940" w14:textId="77777777" w:rsidR="00D96B69" w:rsidRDefault="00D96B69" w:rsidP="00D96B69">
            <w:pPr>
              <w:pStyle w:val="NoSpacing"/>
              <w:jc w:val="both"/>
              <w:rPr>
                <w:caps/>
                <w:color w:val="005596" w:themeColor="text2"/>
                <w:sz w:val="26"/>
                <w:szCs w:val="26"/>
                <w:lang w:val="en-GB"/>
              </w:rPr>
            </w:pPr>
          </w:p>
          <w:p w14:paraId="24E5F486" w14:textId="77777777" w:rsidR="00D96B69" w:rsidRDefault="00D96B69" w:rsidP="00D96B69">
            <w:pPr>
              <w:pStyle w:val="NoSpacing"/>
              <w:jc w:val="both"/>
              <w:rPr>
                <w:caps/>
                <w:color w:val="005596" w:themeColor="text2"/>
                <w:sz w:val="26"/>
                <w:szCs w:val="26"/>
                <w:lang w:val="en-GB"/>
              </w:rPr>
            </w:pPr>
            <w:r>
              <w:rPr>
                <w:caps/>
                <w:color w:val="005596" w:themeColor="text2"/>
                <w:sz w:val="26"/>
                <w:szCs w:val="26"/>
                <w:lang w:val="en-GB"/>
              </w:rPr>
              <w:t>VERSION 1.0</w:t>
            </w:r>
          </w:p>
          <w:p w14:paraId="29625CA0" w14:textId="77777777" w:rsidR="001524A9" w:rsidRDefault="001524A9" w:rsidP="0059409D">
            <w:pPr>
              <w:pStyle w:val="NoSpacing"/>
              <w:rPr>
                <w:caps/>
                <w:color w:val="005596" w:themeColor="text2"/>
                <w:sz w:val="26"/>
                <w:szCs w:val="26"/>
                <w:lang w:val="en-GB"/>
              </w:rPr>
            </w:pPr>
          </w:p>
          <w:p w14:paraId="3D883FF7" w14:textId="77777777" w:rsidR="001524A9" w:rsidRDefault="001524A9" w:rsidP="0059409D">
            <w:pPr>
              <w:pStyle w:val="NoSpacing"/>
              <w:rPr>
                <w:caps/>
                <w:color w:val="005596" w:themeColor="text2"/>
                <w:sz w:val="26"/>
                <w:szCs w:val="26"/>
                <w:lang w:val="en-GB"/>
              </w:rPr>
            </w:pPr>
          </w:p>
          <w:p w14:paraId="4864736D" w14:textId="77777777" w:rsidR="0041691B" w:rsidRPr="0041691B" w:rsidRDefault="0041691B" w:rsidP="0059409D">
            <w:pPr>
              <w:pStyle w:val="NoSpacing"/>
              <w:rPr>
                <w:color w:val="005596" w:themeColor="text2"/>
                <w:sz w:val="26"/>
                <w:szCs w:val="26"/>
                <w:lang w:val="en-GB"/>
              </w:rPr>
            </w:pPr>
          </w:p>
          <w:p w14:paraId="50ACE859" w14:textId="77777777" w:rsidR="0041691B" w:rsidRPr="0041691B" w:rsidRDefault="0041691B" w:rsidP="0059409D">
            <w:pPr>
              <w:pStyle w:val="NoSpacing"/>
              <w:rPr>
                <w:color w:val="005596" w:themeColor="text2"/>
                <w:sz w:val="26"/>
                <w:szCs w:val="26"/>
                <w:lang w:val="en-GB"/>
              </w:rPr>
            </w:pPr>
          </w:p>
          <w:p w14:paraId="145A90AD" w14:textId="77777777" w:rsidR="0041691B" w:rsidRPr="0041691B" w:rsidRDefault="0041691B" w:rsidP="0059409D">
            <w:pPr>
              <w:pStyle w:val="NoSpacing"/>
              <w:rPr>
                <w:color w:val="005596" w:themeColor="text2"/>
                <w:sz w:val="26"/>
                <w:szCs w:val="26"/>
                <w:lang w:val="en-GB"/>
              </w:rPr>
            </w:pPr>
          </w:p>
          <w:p w14:paraId="716CF75D" w14:textId="4141404C" w:rsidR="0059409D" w:rsidRPr="0041691B" w:rsidRDefault="0059409D" w:rsidP="0059409D">
            <w:pPr>
              <w:pStyle w:val="NoSpacing"/>
              <w:rPr>
                <w:color w:val="005596" w:themeColor="text2"/>
                <w:sz w:val="26"/>
                <w:szCs w:val="26"/>
                <w:lang w:val="en-GB"/>
              </w:rPr>
            </w:pPr>
          </w:p>
          <w:p w14:paraId="7C5AA5AA" w14:textId="77777777" w:rsidR="0059409D" w:rsidRPr="0041691B" w:rsidRDefault="0059409D" w:rsidP="0059409D">
            <w:pPr>
              <w:pStyle w:val="NoSpacing"/>
              <w:rPr>
                <w:lang w:val="en-GB"/>
              </w:rPr>
            </w:pPr>
          </w:p>
          <w:p w14:paraId="3C9266C4" w14:textId="77777777" w:rsidR="0041691B" w:rsidRPr="0041691B" w:rsidRDefault="0041691B" w:rsidP="0059409D">
            <w:pPr>
              <w:pStyle w:val="NoSpacing"/>
              <w:rPr>
                <w:lang w:val="en-GB"/>
              </w:rPr>
            </w:pPr>
          </w:p>
          <w:sdt>
            <w:sdtPr>
              <w:rPr>
                <w:lang w:val="en-GB"/>
              </w:rPr>
              <w:alias w:val="Organisation"/>
              <w:tag w:val="Author organisation"/>
              <w:id w:val="-598638019"/>
            </w:sdtPr>
            <w:sdtContent>
              <w:p w14:paraId="75711F22" w14:textId="77777777" w:rsidR="00772245" w:rsidRDefault="00772245" w:rsidP="00772245">
                <w:pPr>
                  <w:pStyle w:val="NoSpacing"/>
                  <w:rPr>
                    <w:lang w:val="en-GB"/>
                  </w:rPr>
                </w:pPr>
                <w:r>
                  <w:rPr>
                    <w:lang w:val="en-GB"/>
                  </w:rPr>
                  <w:t>University of Southampton</w:t>
                </w:r>
              </w:p>
              <w:p w14:paraId="1EF2E6DF" w14:textId="77777777" w:rsidR="00772245" w:rsidRDefault="00772245" w:rsidP="0059409D">
                <w:pPr>
                  <w:pStyle w:val="NoSpacing"/>
                  <w:rPr>
                    <w:lang w:val="en-GB"/>
                  </w:rPr>
                </w:pPr>
                <w:r>
                  <w:rPr>
                    <w:lang w:val="en-GB"/>
                  </w:rPr>
                  <w:t xml:space="preserve">EOLAB </w:t>
                </w:r>
              </w:p>
              <w:p w14:paraId="577D385B" w14:textId="70E9DAB8" w:rsidR="0059409D" w:rsidRPr="0041691B" w:rsidRDefault="00004B30" w:rsidP="0059409D">
                <w:pPr>
                  <w:pStyle w:val="NoSpacing"/>
                  <w:rPr>
                    <w:lang w:val="en-GB"/>
                  </w:rPr>
                </w:pPr>
                <w:r>
                  <w:rPr>
                    <w:lang w:val="en-GB"/>
                  </w:rPr>
                  <w:t>NPL</w:t>
                </w:r>
              </w:p>
            </w:sdtContent>
          </w:sdt>
          <w:p w14:paraId="79E7DC03" w14:textId="77777777" w:rsidR="0059409D" w:rsidRPr="0041691B" w:rsidRDefault="0059409D" w:rsidP="0059409D">
            <w:pPr>
              <w:pStyle w:val="NoSpacing"/>
              <w:rPr>
                <w:lang w:val="en-GB"/>
              </w:rPr>
            </w:pPr>
          </w:p>
          <w:sdt>
            <w:sdtPr>
              <w:alias w:val="Date"/>
              <w:tag w:val="Pick from calendar"/>
              <w:id w:val="512657460"/>
              <w:date w:fullDate="2020-06-25T00:00:00Z">
                <w:dateFormat w:val="dd MMMM yyyy"/>
                <w:lid w:val="en-GB"/>
                <w:storeMappedDataAs w:val="dateTime"/>
                <w:calendar w:val="gregorian"/>
              </w:date>
            </w:sdtPr>
            <w:sdtContent>
              <w:p w14:paraId="4EF060F1" w14:textId="3987575B" w:rsidR="0059409D" w:rsidRPr="0041691B" w:rsidRDefault="007E72DD" w:rsidP="00E662BD">
                <w:r>
                  <w:t>25 June 2020</w:t>
                </w:r>
              </w:p>
            </w:sdtContent>
          </w:sdt>
        </w:tc>
      </w:tr>
      <w:tr w:rsidR="0059409D" w:rsidRPr="0041691B" w14:paraId="748D73AC" w14:textId="77777777" w:rsidTr="005E32FC">
        <w:trPr>
          <w:trHeight w:val="2017"/>
        </w:trPr>
        <w:tc>
          <w:tcPr>
            <w:tcW w:w="5018" w:type="dxa"/>
            <w:tcBorders>
              <w:right w:val="single" w:sz="12" w:space="0" w:color="005596" w:themeColor="text2"/>
            </w:tcBorders>
          </w:tcPr>
          <w:p w14:paraId="50EEB73A" w14:textId="77777777" w:rsidR="0059409D" w:rsidRPr="0041691B" w:rsidRDefault="009F1DDB" w:rsidP="0041691B">
            <w:r w:rsidRPr="0041691B">
              <w:rPr>
                <w:noProof/>
                <w:lang w:eastAsia="en-GB"/>
              </w:rPr>
              <w:drawing>
                <wp:anchor distT="0" distB="0" distL="114300" distR="114300" simplePos="0" relativeHeight="251658244"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5824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70F7FE6A" w14:textId="77777777" w:rsidR="009F1DDB" w:rsidRDefault="009F1DDB" w:rsidP="0041691B"/>
          <w:p w14:paraId="74E81A3F" w14:textId="77777777" w:rsidR="009F1DDB" w:rsidRDefault="009F1DDB" w:rsidP="0041691B"/>
          <w:p w14:paraId="0743D8E7" w14:textId="77777777" w:rsidR="009F1DDB" w:rsidRDefault="009F1DDB" w:rsidP="0041691B"/>
          <w:p w14:paraId="50E4CCB1" w14:textId="3A3EA531" w:rsidR="0059409D" w:rsidRPr="0041691B" w:rsidRDefault="00586489" w:rsidP="0041691B">
            <w:r w:rsidRPr="0068439A">
              <w:t xml:space="preserve">This document was produced as part of the ESA-funded project “Fiducial Reference Measurements for Vegetation </w:t>
            </w:r>
            <w:r>
              <w:t xml:space="preserve">Phase 2 </w:t>
            </w:r>
            <w:r w:rsidRPr="0068439A">
              <w:t>(FRM4VEG</w:t>
            </w:r>
            <w:r>
              <w:t xml:space="preserve"> 2</w:t>
            </w:r>
            <w:r w:rsidRPr="0068439A">
              <w:t xml:space="preserve">)” under ESA contract number: </w:t>
            </w:r>
            <w:r>
              <w:t>4000129823/20/I-NS.</w:t>
            </w:r>
          </w:p>
        </w:tc>
      </w:tr>
    </w:tbl>
    <w:p w14:paraId="719B715C" w14:textId="77777777" w:rsidR="0067464D" w:rsidRDefault="0067464D" w:rsidP="00476577"/>
    <w:p w14:paraId="7358DB91" w14:textId="77777777" w:rsidR="0067464D" w:rsidRDefault="0067464D" w:rsidP="0067464D">
      <w:pPr>
        <w:rPr>
          <w:rFonts w:asciiTheme="majorHAnsi" w:eastAsiaTheme="majorEastAsia" w:hAnsiTheme="majorHAnsi" w:cstheme="majorBidi"/>
          <w:color w:val="005596" w:themeColor="text2"/>
          <w:sz w:val="32"/>
          <w:szCs w:val="32"/>
        </w:rPr>
      </w:pPr>
      <w:r>
        <w:br w:type="page"/>
      </w:r>
    </w:p>
    <w:p w14:paraId="2C935D3B" w14:textId="0184B035" w:rsidR="0041691B" w:rsidRDefault="0041691B" w:rsidP="0030137D">
      <w:pPr>
        <w:pStyle w:val="Heading5"/>
      </w:pPr>
      <w:bookmarkStart w:id="0" w:name="_Toc43388035"/>
      <w:r>
        <w:lastRenderedPageBreak/>
        <w:t>Signatures</w:t>
      </w:r>
      <w:bookmarkEnd w:id="0"/>
    </w:p>
    <w:p w14:paraId="5A689733" w14:textId="77777777" w:rsidR="00BD626B" w:rsidRPr="00BD626B" w:rsidRDefault="00BD626B" w:rsidP="00491C2E">
      <w:pPr>
        <w:spacing w:after="0"/>
      </w:pPr>
    </w:p>
    <w:tbl>
      <w:tblPr>
        <w:tblStyle w:val="TableGrid"/>
        <w:tblW w:w="0" w:type="auto"/>
        <w:tblLook w:val="04A0" w:firstRow="1" w:lastRow="0" w:firstColumn="1" w:lastColumn="0" w:noHBand="0" w:noVBand="1"/>
      </w:tblPr>
      <w:tblGrid>
        <w:gridCol w:w="2254"/>
        <w:gridCol w:w="2254"/>
        <w:gridCol w:w="2254"/>
        <w:gridCol w:w="2254"/>
      </w:tblGrid>
      <w:tr w:rsidR="0041691B" w14:paraId="47FAC084" w14:textId="77777777" w:rsidTr="00BB58C2">
        <w:tc>
          <w:tcPr>
            <w:tcW w:w="2254" w:type="dxa"/>
          </w:tcPr>
          <w:p w14:paraId="2C6C63DF" w14:textId="77777777" w:rsidR="0041691B" w:rsidRPr="00491C2E" w:rsidRDefault="0041691B" w:rsidP="0041691B">
            <w:pPr>
              <w:rPr>
                <w:b/>
                <w:bCs/>
              </w:rPr>
            </w:pPr>
          </w:p>
        </w:tc>
        <w:tc>
          <w:tcPr>
            <w:tcW w:w="2254" w:type="dxa"/>
          </w:tcPr>
          <w:p w14:paraId="554027C5" w14:textId="77777777" w:rsidR="0041691B" w:rsidRPr="00491C2E" w:rsidRDefault="0041691B" w:rsidP="0041691B">
            <w:pPr>
              <w:rPr>
                <w:b/>
                <w:bCs/>
              </w:rPr>
            </w:pPr>
            <w:r w:rsidRPr="00491C2E">
              <w:rPr>
                <w:b/>
                <w:bCs/>
              </w:rPr>
              <w:t>Name</w:t>
            </w:r>
          </w:p>
        </w:tc>
        <w:tc>
          <w:tcPr>
            <w:tcW w:w="2254" w:type="dxa"/>
          </w:tcPr>
          <w:p w14:paraId="19428E87" w14:textId="77777777" w:rsidR="0041691B" w:rsidRPr="00491C2E" w:rsidRDefault="0041691B" w:rsidP="0041691B">
            <w:pPr>
              <w:rPr>
                <w:b/>
                <w:bCs/>
              </w:rPr>
            </w:pPr>
            <w:r w:rsidRPr="00491C2E">
              <w:rPr>
                <w:b/>
                <w:bCs/>
              </w:rPr>
              <w:t>Organisation</w:t>
            </w:r>
          </w:p>
        </w:tc>
        <w:tc>
          <w:tcPr>
            <w:tcW w:w="2254" w:type="dxa"/>
          </w:tcPr>
          <w:p w14:paraId="2962A258" w14:textId="77777777" w:rsidR="0041691B" w:rsidRPr="00491C2E" w:rsidRDefault="0041691B" w:rsidP="0041691B">
            <w:pPr>
              <w:rPr>
                <w:b/>
                <w:bCs/>
              </w:rPr>
            </w:pPr>
            <w:r w:rsidRPr="00491C2E">
              <w:rPr>
                <w:b/>
                <w:bCs/>
              </w:rPr>
              <w:t>Date</w:t>
            </w:r>
          </w:p>
        </w:tc>
      </w:tr>
      <w:tr w:rsidR="0041691B" w14:paraId="4E069A7D" w14:textId="77777777" w:rsidTr="00BB58C2">
        <w:tc>
          <w:tcPr>
            <w:tcW w:w="2254" w:type="dxa"/>
          </w:tcPr>
          <w:p w14:paraId="79B86AC8" w14:textId="77777777" w:rsidR="0041691B" w:rsidRPr="00491C2E" w:rsidRDefault="0041691B" w:rsidP="0041691B">
            <w:pPr>
              <w:rPr>
                <w:b/>
                <w:bCs/>
              </w:rPr>
            </w:pPr>
            <w:r w:rsidRPr="00491C2E">
              <w:rPr>
                <w:b/>
                <w:bCs/>
              </w:rPr>
              <w:t>Written by</w:t>
            </w:r>
          </w:p>
        </w:tc>
        <w:tc>
          <w:tcPr>
            <w:tcW w:w="2254" w:type="dxa"/>
          </w:tcPr>
          <w:p w14:paraId="32E56AE6" w14:textId="2CBA3CEC" w:rsidR="0041691B" w:rsidRDefault="00380021" w:rsidP="004628C7">
            <w:r>
              <w:t>Luke Brown</w:t>
            </w:r>
          </w:p>
        </w:tc>
        <w:tc>
          <w:tcPr>
            <w:tcW w:w="2254" w:type="dxa"/>
          </w:tcPr>
          <w:p w14:paraId="2642D74B" w14:textId="52BFEA44" w:rsidR="0041691B" w:rsidRDefault="00380021" w:rsidP="0041691B">
            <w:r>
              <w:t>University of Southampton</w:t>
            </w:r>
          </w:p>
        </w:tc>
        <w:tc>
          <w:tcPr>
            <w:tcW w:w="2254" w:type="dxa"/>
          </w:tcPr>
          <w:p w14:paraId="6D4A14A3" w14:textId="27FBB8D8" w:rsidR="0041691B" w:rsidRDefault="000306CA" w:rsidP="0041691B">
            <w:r>
              <w:t>25</w:t>
            </w:r>
            <w:r w:rsidR="00FB275B">
              <w:t>/06</w:t>
            </w:r>
            <w:r w:rsidR="00491C2E">
              <w:t>/20</w:t>
            </w:r>
            <w:r w:rsidR="00396C3E">
              <w:t>20</w:t>
            </w:r>
          </w:p>
        </w:tc>
      </w:tr>
      <w:tr w:rsidR="00BB58C2" w14:paraId="57F6871C" w14:textId="77777777" w:rsidTr="00BB58C2">
        <w:tc>
          <w:tcPr>
            <w:tcW w:w="2254" w:type="dxa"/>
          </w:tcPr>
          <w:p w14:paraId="301A4C39" w14:textId="77777777" w:rsidR="00BB58C2" w:rsidRPr="00491C2E" w:rsidRDefault="00BB58C2" w:rsidP="00BB58C2">
            <w:pPr>
              <w:rPr>
                <w:b/>
                <w:bCs/>
              </w:rPr>
            </w:pPr>
          </w:p>
        </w:tc>
        <w:tc>
          <w:tcPr>
            <w:tcW w:w="2254" w:type="dxa"/>
          </w:tcPr>
          <w:p w14:paraId="7BEAE63E" w14:textId="29C0F18C" w:rsidR="00BB58C2" w:rsidRDefault="00BB58C2" w:rsidP="00BB58C2">
            <w:proofErr w:type="spellStart"/>
            <w:r>
              <w:t>Jadunandan</w:t>
            </w:r>
            <w:proofErr w:type="spellEnd"/>
            <w:r>
              <w:t xml:space="preserve"> Dash</w:t>
            </w:r>
          </w:p>
        </w:tc>
        <w:tc>
          <w:tcPr>
            <w:tcW w:w="2254" w:type="dxa"/>
          </w:tcPr>
          <w:p w14:paraId="7D8FD9EC" w14:textId="04BB888F" w:rsidR="00BB58C2" w:rsidRDefault="00BB58C2" w:rsidP="00BB58C2">
            <w:r>
              <w:t>University of Southampton</w:t>
            </w:r>
          </w:p>
        </w:tc>
        <w:tc>
          <w:tcPr>
            <w:tcW w:w="2254" w:type="dxa"/>
          </w:tcPr>
          <w:p w14:paraId="12A82740" w14:textId="77777777" w:rsidR="00BB58C2" w:rsidRDefault="00BB58C2" w:rsidP="00BB58C2"/>
        </w:tc>
      </w:tr>
      <w:tr w:rsidR="00BB58C2" w14:paraId="399AB6D7" w14:textId="77777777" w:rsidTr="00BB58C2">
        <w:tc>
          <w:tcPr>
            <w:tcW w:w="2254" w:type="dxa"/>
          </w:tcPr>
          <w:p w14:paraId="4CB0F1D3" w14:textId="77777777" w:rsidR="00BB58C2" w:rsidRPr="00491C2E" w:rsidRDefault="00BB58C2" w:rsidP="00BB58C2">
            <w:pPr>
              <w:rPr>
                <w:b/>
                <w:bCs/>
              </w:rPr>
            </w:pPr>
          </w:p>
        </w:tc>
        <w:tc>
          <w:tcPr>
            <w:tcW w:w="2254" w:type="dxa"/>
          </w:tcPr>
          <w:p w14:paraId="3B39FF7F" w14:textId="283A615A" w:rsidR="00BB58C2" w:rsidRDefault="00BB58C2" w:rsidP="00BB58C2">
            <w:r>
              <w:t>Fernando Camacho</w:t>
            </w:r>
          </w:p>
        </w:tc>
        <w:tc>
          <w:tcPr>
            <w:tcW w:w="2254" w:type="dxa"/>
          </w:tcPr>
          <w:p w14:paraId="3B0B8ECB" w14:textId="2F2868B7" w:rsidR="00BB58C2" w:rsidRDefault="00BB58C2" w:rsidP="00BB58C2">
            <w:r>
              <w:t>EO</w:t>
            </w:r>
            <w:r w:rsidR="00491C2E">
              <w:t>LAB</w:t>
            </w:r>
          </w:p>
        </w:tc>
        <w:tc>
          <w:tcPr>
            <w:tcW w:w="2254" w:type="dxa"/>
          </w:tcPr>
          <w:p w14:paraId="4571CB8D" w14:textId="77777777" w:rsidR="00BB58C2" w:rsidRDefault="00BB58C2" w:rsidP="00BB58C2"/>
        </w:tc>
      </w:tr>
      <w:tr w:rsidR="00BB58C2" w14:paraId="6E166606" w14:textId="77777777" w:rsidTr="00BB58C2">
        <w:tc>
          <w:tcPr>
            <w:tcW w:w="2254" w:type="dxa"/>
          </w:tcPr>
          <w:p w14:paraId="30FB6EE2" w14:textId="77777777" w:rsidR="00BB58C2" w:rsidRPr="00491C2E" w:rsidRDefault="00BB58C2" w:rsidP="00BB58C2">
            <w:pPr>
              <w:rPr>
                <w:b/>
                <w:bCs/>
              </w:rPr>
            </w:pPr>
          </w:p>
        </w:tc>
        <w:tc>
          <w:tcPr>
            <w:tcW w:w="2254" w:type="dxa"/>
          </w:tcPr>
          <w:p w14:paraId="38D9A0E7" w14:textId="5A4CBC97" w:rsidR="00BB58C2" w:rsidRDefault="00BB58C2" w:rsidP="00BB58C2">
            <w:r>
              <w:t xml:space="preserve">Niall </w:t>
            </w:r>
            <w:proofErr w:type="spellStart"/>
            <w:r>
              <w:t>Origo</w:t>
            </w:r>
            <w:proofErr w:type="spellEnd"/>
          </w:p>
        </w:tc>
        <w:tc>
          <w:tcPr>
            <w:tcW w:w="2254" w:type="dxa"/>
          </w:tcPr>
          <w:p w14:paraId="0FFE9EBB" w14:textId="62E254AE" w:rsidR="00BB58C2" w:rsidRDefault="00BB58C2" w:rsidP="00BB58C2">
            <w:r>
              <w:t>NPL</w:t>
            </w:r>
          </w:p>
        </w:tc>
        <w:tc>
          <w:tcPr>
            <w:tcW w:w="2254" w:type="dxa"/>
          </w:tcPr>
          <w:p w14:paraId="361C131F" w14:textId="77777777" w:rsidR="00BB58C2" w:rsidRDefault="00BB58C2" w:rsidP="00BB58C2"/>
        </w:tc>
      </w:tr>
      <w:tr w:rsidR="00BB58C2" w14:paraId="45C63EE4" w14:textId="77777777" w:rsidTr="00BB58C2">
        <w:tc>
          <w:tcPr>
            <w:tcW w:w="2254" w:type="dxa"/>
          </w:tcPr>
          <w:p w14:paraId="2868919A" w14:textId="77777777" w:rsidR="00BB58C2" w:rsidRPr="00491C2E" w:rsidRDefault="00BB58C2" w:rsidP="00BB58C2">
            <w:pPr>
              <w:rPr>
                <w:b/>
                <w:bCs/>
              </w:rPr>
            </w:pPr>
          </w:p>
        </w:tc>
        <w:tc>
          <w:tcPr>
            <w:tcW w:w="2254" w:type="dxa"/>
          </w:tcPr>
          <w:p w14:paraId="4EA6794A" w14:textId="76CA9B23" w:rsidR="00BB58C2" w:rsidRPr="00270C7E" w:rsidRDefault="00BB58C2" w:rsidP="00BB58C2">
            <w:r>
              <w:t xml:space="preserve">Rosalinda </w:t>
            </w:r>
            <w:proofErr w:type="spellStart"/>
            <w:r>
              <w:t>Morrone</w:t>
            </w:r>
            <w:proofErr w:type="spellEnd"/>
          </w:p>
        </w:tc>
        <w:tc>
          <w:tcPr>
            <w:tcW w:w="2254" w:type="dxa"/>
          </w:tcPr>
          <w:p w14:paraId="6387FC80" w14:textId="661C153E" w:rsidR="00BB58C2" w:rsidRDefault="00BB58C2" w:rsidP="00BB58C2">
            <w:r>
              <w:t>NPL</w:t>
            </w:r>
          </w:p>
        </w:tc>
        <w:tc>
          <w:tcPr>
            <w:tcW w:w="2254" w:type="dxa"/>
          </w:tcPr>
          <w:p w14:paraId="72EE9490" w14:textId="77777777" w:rsidR="00BB58C2" w:rsidRDefault="00BB58C2" w:rsidP="00BB58C2"/>
        </w:tc>
      </w:tr>
      <w:tr w:rsidR="00BB58C2" w14:paraId="79A84A9D" w14:textId="77777777" w:rsidTr="00BB58C2">
        <w:tc>
          <w:tcPr>
            <w:tcW w:w="2254" w:type="dxa"/>
          </w:tcPr>
          <w:p w14:paraId="5CAC03C3" w14:textId="77777777" w:rsidR="00BB58C2" w:rsidRPr="00491C2E" w:rsidRDefault="00BB58C2" w:rsidP="00BB58C2">
            <w:pPr>
              <w:rPr>
                <w:b/>
                <w:bCs/>
              </w:rPr>
            </w:pPr>
          </w:p>
        </w:tc>
        <w:tc>
          <w:tcPr>
            <w:tcW w:w="2254" w:type="dxa"/>
          </w:tcPr>
          <w:p w14:paraId="4E1934FE" w14:textId="353D91DC" w:rsidR="00BB58C2" w:rsidRDefault="00BB58C2" w:rsidP="00BB58C2">
            <w:r>
              <w:t>Joanne Nightingale</w:t>
            </w:r>
          </w:p>
        </w:tc>
        <w:tc>
          <w:tcPr>
            <w:tcW w:w="2254" w:type="dxa"/>
          </w:tcPr>
          <w:p w14:paraId="3812D65B" w14:textId="59C023A5" w:rsidR="00BB58C2" w:rsidRDefault="00BB58C2" w:rsidP="00BB58C2">
            <w:r>
              <w:t>NPL</w:t>
            </w:r>
          </w:p>
        </w:tc>
        <w:tc>
          <w:tcPr>
            <w:tcW w:w="2254" w:type="dxa"/>
          </w:tcPr>
          <w:p w14:paraId="45B631FB" w14:textId="77777777" w:rsidR="00BB58C2" w:rsidRDefault="00BB58C2" w:rsidP="00BB58C2"/>
        </w:tc>
      </w:tr>
      <w:tr w:rsidR="00BB58C2" w14:paraId="2AB8DCA7" w14:textId="77777777" w:rsidTr="00BB58C2">
        <w:tc>
          <w:tcPr>
            <w:tcW w:w="2254" w:type="dxa"/>
          </w:tcPr>
          <w:p w14:paraId="6388EB4F" w14:textId="77777777" w:rsidR="00BB58C2" w:rsidRPr="00491C2E" w:rsidRDefault="00BB58C2" w:rsidP="00BB58C2">
            <w:pPr>
              <w:rPr>
                <w:b/>
                <w:bCs/>
              </w:rPr>
            </w:pPr>
            <w:r w:rsidRPr="00491C2E">
              <w:rPr>
                <w:b/>
                <w:bCs/>
              </w:rPr>
              <w:t>Reviewed by (consortium)</w:t>
            </w:r>
          </w:p>
        </w:tc>
        <w:tc>
          <w:tcPr>
            <w:tcW w:w="2254" w:type="dxa"/>
          </w:tcPr>
          <w:p w14:paraId="16B83442" w14:textId="14770668" w:rsidR="00BB58C2" w:rsidRDefault="00BB58C2" w:rsidP="00BB58C2"/>
        </w:tc>
        <w:tc>
          <w:tcPr>
            <w:tcW w:w="2254" w:type="dxa"/>
          </w:tcPr>
          <w:p w14:paraId="33B97370" w14:textId="77777777" w:rsidR="00BB58C2" w:rsidRDefault="00BB58C2" w:rsidP="00BB58C2"/>
        </w:tc>
        <w:tc>
          <w:tcPr>
            <w:tcW w:w="2254" w:type="dxa"/>
          </w:tcPr>
          <w:p w14:paraId="6C8E50A6" w14:textId="77777777" w:rsidR="00BB58C2" w:rsidRDefault="00BB58C2" w:rsidP="00BB58C2"/>
        </w:tc>
      </w:tr>
      <w:tr w:rsidR="00BB58C2" w14:paraId="50F481E3" w14:textId="77777777" w:rsidTr="00BB58C2">
        <w:tc>
          <w:tcPr>
            <w:tcW w:w="2254" w:type="dxa"/>
          </w:tcPr>
          <w:p w14:paraId="10F5BF53" w14:textId="77777777" w:rsidR="00BB58C2" w:rsidRPr="00491C2E" w:rsidRDefault="00BB58C2" w:rsidP="00BB58C2">
            <w:pPr>
              <w:rPr>
                <w:b/>
                <w:bCs/>
              </w:rPr>
            </w:pPr>
            <w:r w:rsidRPr="00491C2E">
              <w:rPr>
                <w:b/>
                <w:bCs/>
              </w:rPr>
              <w:t>Approved by (ESA)</w:t>
            </w:r>
          </w:p>
        </w:tc>
        <w:tc>
          <w:tcPr>
            <w:tcW w:w="2254" w:type="dxa"/>
          </w:tcPr>
          <w:p w14:paraId="3EB97FA9" w14:textId="77777777" w:rsidR="00BB58C2" w:rsidRDefault="00BB58C2" w:rsidP="00BB58C2"/>
        </w:tc>
        <w:tc>
          <w:tcPr>
            <w:tcW w:w="2254" w:type="dxa"/>
          </w:tcPr>
          <w:p w14:paraId="6D634C2F" w14:textId="77777777" w:rsidR="00BB58C2" w:rsidRDefault="00BB58C2" w:rsidP="00BB58C2"/>
        </w:tc>
        <w:tc>
          <w:tcPr>
            <w:tcW w:w="2254" w:type="dxa"/>
          </w:tcPr>
          <w:p w14:paraId="156EA675" w14:textId="77777777" w:rsidR="00BB58C2" w:rsidRDefault="00BB58C2" w:rsidP="00BB58C2"/>
        </w:tc>
      </w:tr>
    </w:tbl>
    <w:p w14:paraId="4F27C1D2" w14:textId="58570516" w:rsidR="0041691B" w:rsidRDefault="0041691B" w:rsidP="0041691B"/>
    <w:p w14:paraId="1D6B0CB6" w14:textId="77777777" w:rsidR="00491C2E" w:rsidRDefault="00491C2E" w:rsidP="00491C2E">
      <w:pPr>
        <w:spacing w:after="0"/>
      </w:pPr>
    </w:p>
    <w:p w14:paraId="106F2F9B" w14:textId="48E66652" w:rsidR="0041691B" w:rsidRDefault="00F34324" w:rsidP="0041691B">
      <w:pPr>
        <w:pStyle w:val="Heading5"/>
      </w:pPr>
      <w:bookmarkStart w:id="1" w:name="_Toc43388036"/>
      <w:r>
        <w:t>Version H</w:t>
      </w:r>
      <w:r w:rsidR="00943491">
        <w:t>istory</w:t>
      </w:r>
      <w:bookmarkEnd w:id="1"/>
    </w:p>
    <w:p w14:paraId="49F02112" w14:textId="77777777" w:rsidR="00BD626B" w:rsidRPr="00BD626B" w:rsidRDefault="00BD626B" w:rsidP="00491C2E">
      <w:pPr>
        <w:spacing w:after="0"/>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F34324" w14:paraId="7092484D" w14:textId="77777777" w:rsidTr="00BB58C2">
        <w:tc>
          <w:tcPr>
            <w:tcW w:w="2122" w:type="dxa"/>
          </w:tcPr>
          <w:p w14:paraId="57641AEE" w14:textId="77777777" w:rsidR="00F34324" w:rsidRPr="00491C2E" w:rsidRDefault="00F34324" w:rsidP="001C5B6B">
            <w:pPr>
              <w:rPr>
                <w:b/>
                <w:bCs/>
              </w:rPr>
            </w:pPr>
            <w:r w:rsidRPr="00491C2E">
              <w:rPr>
                <w:b/>
                <w:bCs/>
              </w:rPr>
              <w:t>Version</w:t>
            </w:r>
          </w:p>
        </w:tc>
        <w:tc>
          <w:tcPr>
            <w:tcW w:w="2693" w:type="dxa"/>
          </w:tcPr>
          <w:p w14:paraId="3669FE8B" w14:textId="77777777" w:rsidR="00F34324" w:rsidRPr="00491C2E" w:rsidRDefault="00F34324" w:rsidP="001C5B6B">
            <w:pPr>
              <w:rPr>
                <w:b/>
                <w:bCs/>
              </w:rPr>
            </w:pPr>
            <w:r w:rsidRPr="00491C2E">
              <w:rPr>
                <w:b/>
                <w:bCs/>
              </w:rPr>
              <w:t>Date</w:t>
            </w:r>
          </w:p>
        </w:tc>
        <w:tc>
          <w:tcPr>
            <w:tcW w:w="4201" w:type="dxa"/>
          </w:tcPr>
          <w:p w14:paraId="1B56EB6C" w14:textId="77777777" w:rsidR="00F34324" w:rsidRPr="00491C2E" w:rsidRDefault="00F34324" w:rsidP="001C5B6B">
            <w:pPr>
              <w:rPr>
                <w:b/>
                <w:bCs/>
              </w:rPr>
            </w:pPr>
            <w:r w:rsidRPr="00491C2E">
              <w:rPr>
                <w:b/>
                <w:bCs/>
              </w:rPr>
              <w:t>Publicly available or private to consortium</w:t>
            </w:r>
          </w:p>
        </w:tc>
      </w:tr>
      <w:tr w:rsidR="00FE36D8" w14:paraId="25C30A8A" w14:textId="77777777" w:rsidTr="00BB58C2">
        <w:tc>
          <w:tcPr>
            <w:tcW w:w="2122" w:type="dxa"/>
          </w:tcPr>
          <w:p w14:paraId="36ECA969" w14:textId="04D12D5F" w:rsidR="00FE36D8" w:rsidRDefault="00FE36D8" w:rsidP="00FE36D8">
            <w:r>
              <w:t>1.0</w:t>
            </w:r>
          </w:p>
        </w:tc>
        <w:tc>
          <w:tcPr>
            <w:tcW w:w="2693" w:type="dxa"/>
          </w:tcPr>
          <w:p w14:paraId="302BE94D" w14:textId="0D239C87" w:rsidR="00FE36D8" w:rsidRDefault="000306CA" w:rsidP="00FE36D8">
            <w:r>
              <w:t>25</w:t>
            </w:r>
            <w:r w:rsidR="00396C3E">
              <w:t>/06/</w:t>
            </w:r>
            <w:r w:rsidR="00FE36D8">
              <w:t>2020</w:t>
            </w:r>
          </w:p>
        </w:tc>
        <w:tc>
          <w:tcPr>
            <w:tcW w:w="4201" w:type="dxa"/>
          </w:tcPr>
          <w:p w14:paraId="1FA205BE" w14:textId="3A9ABE39" w:rsidR="00FE36D8" w:rsidRDefault="00FE36D8" w:rsidP="00FE36D8">
            <w:r>
              <w:t>Private Consortium</w:t>
            </w:r>
          </w:p>
        </w:tc>
      </w:tr>
    </w:tbl>
    <w:p w14:paraId="0A03B8D3" w14:textId="77777777" w:rsidR="0041691B" w:rsidRPr="0041691B" w:rsidRDefault="0041691B" w:rsidP="0041691B"/>
    <w:p w14:paraId="4BD63D16" w14:textId="77777777" w:rsidR="0041691B" w:rsidRDefault="0041691B" w:rsidP="0041691B"/>
    <w:p w14:paraId="74F244F0" w14:textId="77777777" w:rsidR="0041691B" w:rsidRDefault="0041691B" w:rsidP="0041691B"/>
    <w:p w14:paraId="0D4BA420" w14:textId="77777777" w:rsidR="0041691B" w:rsidRDefault="0041691B" w:rsidP="0041691B">
      <w:r>
        <w:br w:type="page"/>
      </w:r>
    </w:p>
    <w:p w14:paraId="469C24AB" w14:textId="51DF9C55" w:rsidR="0041691B" w:rsidRDefault="00DD6994" w:rsidP="0041691B">
      <w:pPr>
        <w:pStyle w:val="Heading5"/>
      </w:pPr>
      <w:bookmarkStart w:id="2" w:name="_Toc43388037"/>
      <w:r>
        <w:lastRenderedPageBreak/>
        <w:t xml:space="preserve">Table of </w:t>
      </w:r>
      <w:r w:rsidR="00491C2E">
        <w:t>C</w:t>
      </w:r>
      <w:r w:rsidR="0041691B">
        <w:t>ontents</w:t>
      </w:r>
      <w:bookmarkEnd w:id="2"/>
    </w:p>
    <w:p w14:paraId="606B62BA" w14:textId="77777777" w:rsidR="00BD626B" w:rsidRPr="00BD626B" w:rsidRDefault="00BD626B" w:rsidP="00491C2E">
      <w:pPr>
        <w:spacing w:after="0"/>
      </w:pPr>
    </w:p>
    <w:p w14:paraId="4D74A5BF" w14:textId="2A9B5691" w:rsidR="00EF4B3C" w:rsidRDefault="00D60F20">
      <w:pPr>
        <w:pStyle w:val="TOC1"/>
        <w:rPr>
          <w:rFonts w:eastAsiaTheme="minorEastAsia"/>
          <w:b w:val="0"/>
          <w:bCs w:val="0"/>
          <w:caps w:val="0"/>
          <w:noProof/>
          <w:sz w:val="22"/>
          <w:szCs w:val="22"/>
          <w:lang w:eastAsia="en-GB"/>
        </w:rPr>
      </w:pPr>
      <w:r>
        <w:fldChar w:fldCharType="begin"/>
      </w:r>
      <w:r w:rsidRPr="0077130D">
        <w:instrText xml:space="preserve"> TOC \o "1-3" \h \z \u \t "Heading 5,1,Heading 6,1,Heading 7,2,Heading 8,3" </w:instrText>
      </w:r>
      <w:r>
        <w:fldChar w:fldCharType="separate"/>
      </w:r>
      <w:hyperlink w:anchor="_Toc43388035" w:history="1">
        <w:r w:rsidR="00EF4B3C" w:rsidRPr="00930078">
          <w:rPr>
            <w:rStyle w:val="Hyperlink"/>
            <w:noProof/>
          </w:rPr>
          <w:t>Signatures</w:t>
        </w:r>
        <w:r w:rsidR="00EF4B3C">
          <w:rPr>
            <w:noProof/>
            <w:webHidden/>
          </w:rPr>
          <w:tab/>
        </w:r>
        <w:r w:rsidR="00EF4B3C">
          <w:rPr>
            <w:noProof/>
            <w:webHidden/>
          </w:rPr>
          <w:fldChar w:fldCharType="begin"/>
        </w:r>
        <w:r w:rsidR="00EF4B3C">
          <w:rPr>
            <w:noProof/>
            <w:webHidden/>
          </w:rPr>
          <w:instrText xml:space="preserve"> PAGEREF _Toc43388035 \h </w:instrText>
        </w:r>
        <w:r w:rsidR="00EF4B3C">
          <w:rPr>
            <w:noProof/>
            <w:webHidden/>
          </w:rPr>
        </w:r>
        <w:r w:rsidR="00EF4B3C">
          <w:rPr>
            <w:noProof/>
            <w:webHidden/>
          </w:rPr>
          <w:fldChar w:fldCharType="separate"/>
        </w:r>
        <w:r w:rsidR="00EF4B3C">
          <w:rPr>
            <w:noProof/>
            <w:webHidden/>
          </w:rPr>
          <w:t>1</w:t>
        </w:r>
        <w:r w:rsidR="00EF4B3C">
          <w:rPr>
            <w:noProof/>
            <w:webHidden/>
          </w:rPr>
          <w:fldChar w:fldCharType="end"/>
        </w:r>
      </w:hyperlink>
    </w:p>
    <w:p w14:paraId="0F0767D5" w14:textId="6635C59A" w:rsidR="00EF4B3C" w:rsidRDefault="000306CA">
      <w:pPr>
        <w:pStyle w:val="TOC1"/>
        <w:rPr>
          <w:rFonts w:eastAsiaTheme="minorEastAsia"/>
          <w:b w:val="0"/>
          <w:bCs w:val="0"/>
          <w:caps w:val="0"/>
          <w:noProof/>
          <w:sz w:val="22"/>
          <w:szCs w:val="22"/>
          <w:lang w:eastAsia="en-GB"/>
        </w:rPr>
      </w:pPr>
      <w:hyperlink w:anchor="_Toc43388036" w:history="1">
        <w:r w:rsidR="00EF4B3C" w:rsidRPr="00930078">
          <w:rPr>
            <w:rStyle w:val="Hyperlink"/>
            <w:noProof/>
          </w:rPr>
          <w:t>Version History</w:t>
        </w:r>
        <w:r w:rsidR="00EF4B3C">
          <w:rPr>
            <w:noProof/>
            <w:webHidden/>
          </w:rPr>
          <w:tab/>
        </w:r>
        <w:r w:rsidR="00EF4B3C">
          <w:rPr>
            <w:noProof/>
            <w:webHidden/>
          </w:rPr>
          <w:fldChar w:fldCharType="begin"/>
        </w:r>
        <w:r w:rsidR="00EF4B3C">
          <w:rPr>
            <w:noProof/>
            <w:webHidden/>
          </w:rPr>
          <w:instrText xml:space="preserve"> PAGEREF _Toc43388036 \h </w:instrText>
        </w:r>
        <w:r w:rsidR="00EF4B3C">
          <w:rPr>
            <w:noProof/>
            <w:webHidden/>
          </w:rPr>
        </w:r>
        <w:r w:rsidR="00EF4B3C">
          <w:rPr>
            <w:noProof/>
            <w:webHidden/>
          </w:rPr>
          <w:fldChar w:fldCharType="separate"/>
        </w:r>
        <w:r w:rsidR="00EF4B3C">
          <w:rPr>
            <w:noProof/>
            <w:webHidden/>
          </w:rPr>
          <w:t>1</w:t>
        </w:r>
        <w:r w:rsidR="00EF4B3C">
          <w:rPr>
            <w:noProof/>
            <w:webHidden/>
          </w:rPr>
          <w:fldChar w:fldCharType="end"/>
        </w:r>
      </w:hyperlink>
    </w:p>
    <w:p w14:paraId="2A2708E2" w14:textId="0D09F6D2" w:rsidR="00EF4B3C" w:rsidRDefault="000306CA">
      <w:pPr>
        <w:pStyle w:val="TOC1"/>
        <w:rPr>
          <w:rFonts w:eastAsiaTheme="minorEastAsia"/>
          <w:b w:val="0"/>
          <w:bCs w:val="0"/>
          <w:caps w:val="0"/>
          <w:noProof/>
          <w:sz w:val="22"/>
          <w:szCs w:val="22"/>
          <w:lang w:eastAsia="en-GB"/>
        </w:rPr>
      </w:pPr>
      <w:hyperlink w:anchor="_Toc43388037" w:history="1">
        <w:r w:rsidR="00EF4B3C" w:rsidRPr="00930078">
          <w:rPr>
            <w:rStyle w:val="Hyperlink"/>
            <w:noProof/>
          </w:rPr>
          <w:t>Table of Contents</w:t>
        </w:r>
        <w:r w:rsidR="00EF4B3C">
          <w:rPr>
            <w:noProof/>
            <w:webHidden/>
          </w:rPr>
          <w:tab/>
        </w:r>
        <w:r w:rsidR="00EF4B3C">
          <w:rPr>
            <w:noProof/>
            <w:webHidden/>
          </w:rPr>
          <w:fldChar w:fldCharType="begin"/>
        </w:r>
        <w:r w:rsidR="00EF4B3C">
          <w:rPr>
            <w:noProof/>
            <w:webHidden/>
          </w:rPr>
          <w:instrText xml:space="preserve"> PAGEREF _Toc43388037 \h </w:instrText>
        </w:r>
        <w:r w:rsidR="00EF4B3C">
          <w:rPr>
            <w:noProof/>
            <w:webHidden/>
          </w:rPr>
        </w:r>
        <w:r w:rsidR="00EF4B3C">
          <w:rPr>
            <w:noProof/>
            <w:webHidden/>
          </w:rPr>
          <w:fldChar w:fldCharType="separate"/>
        </w:r>
        <w:r w:rsidR="00EF4B3C">
          <w:rPr>
            <w:noProof/>
            <w:webHidden/>
          </w:rPr>
          <w:t>2</w:t>
        </w:r>
        <w:r w:rsidR="00EF4B3C">
          <w:rPr>
            <w:noProof/>
            <w:webHidden/>
          </w:rPr>
          <w:fldChar w:fldCharType="end"/>
        </w:r>
      </w:hyperlink>
    </w:p>
    <w:p w14:paraId="368C89EA" w14:textId="01C597FF" w:rsidR="00EF4B3C" w:rsidRDefault="000306CA">
      <w:pPr>
        <w:pStyle w:val="TOC1"/>
        <w:rPr>
          <w:rFonts w:eastAsiaTheme="minorEastAsia"/>
          <w:b w:val="0"/>
          <w:bCs w:val="0"/>
          <w:caps w:val="0"/>
          <w:noProof/>
          <w:sz w:val="22"/>
          <w:szCs w:val="22"/>
          <w:lang w:eastAsia="en-GB"/>
        </w:rPr>
      </w:pPr>
      <w:hyperlink w:anchor="_Toc43388038" w:history="1">
        <w:r w:rsidR="00EF4B3C" w:rsidRPr="00930078">
          <w:rPr>
            <w:rStyle w:val="Hyperlink"/>
            <w:noProof/>
          </w:rPr>
          <w:t>List of Figures</w:t>
        </w:r>
        <w:r w:rsidR="00EF4B3C">
          <w:rPr>
            <w:noProof/>
            <w:webHidden/>
          </w:rPr>
          <w:tab/>
        </w:r>
        <w:r w:rsidR="00EF4B3C">
          <w:rPr>
            <w:noProof/>
            <w:webHidden/>
          </w:rPr>
          <w:fldChar w:fldCharType="begin"/>
        </w:r>
        <w:r w:rsidR="00EF4B3C">
          <w:rPr>
            <w:noProof/>
            <w:webHidden/>
          </w:rPr>
          <w:instrText xml:space="preserve"> PAGEREF _Toc43388038 \h </w:instrText>
        </w:r>
        <w:r w:rsidR="00EF4B3C">
          <w:rPr>
            <w:noProof/>
            <w:webHidden/>
          </w:rPr>
        </w:r>
        <w:r w:rsidR="00EF4B3C">
          <w:rPr>
            <w:noProof/>
            <w:webHidden/>
          </w:rPr>
          <w:fldChar w:fldCharType="separate"/>
        </w:r>
        <w:r w:rsidR="00EF4B3C">
          <w:rPr>
            <w:noProof/>
            <w:webHidden/>
          </w:rPr>
          <w:t>3</w:t>
        </w:r>
        <w:r w:rsidR="00EF4B3C">
          <w:rPr>
            <w:noProof/>
            <w:webHidden/>
          </w:rPr>
          <w:fldChar w:fldCharType="end"/>
        </w:r>
      </w:hyperlink>
    </w:p>
    <w:p w14:paraId="4893983F" w14:textId="702BAEBB" w:rsidR="00EF4B3C" w:rsidRDefault="000306CA">
      <w:pPr>
        <w:pStyle w:val="TOC1"/>
        <w:rPr>
          <w:rFonts w:eastAsiaTheme="minorEastAsia"/>
          <w:b w:val="0"/>
          <w:bCs w:val="0"/>
          <w:caps w:val="0"/>
          <w:noProof/>
          <w:sz w:val="22"/>
          <w:szCs w:val="22"/>
          <w:lang w:eastAsia="en-GB"/>
        </w:rPr>
      </w:pPr>
      <w:hyperlink w:anchor="_Toc43388039" w:history="1">
        <w:r w:rsidR="00EF4B3C" w:rsidRPr="00930078">
          <w:rPr>
            <w:rStyle w:val="Hyperlink"/>
            <w:noProof/>
          </w:rPr>
          <w:t>List of Tables</w:t>
        </w:r>
        <w:r w:rsidR="00EF4B3C">
          <w:rPr>
            <w:noProof/>
            <w:webHidden/>
          </w:rPr>
          <w:tab/>
        </w:r>
        <w:r w:rsidR="00EF4B3C">
          <w:rPr>
            <w:noProof/>
            <w:webHidden/>
          </w:rPr>
          <w:fldChar w:fldCharType="begin"/>
        </w:r>
        <w:r w:rsidR="00EF4B3C">
          <w:rPr>
            <w:noProof/>
            <w:webHidden/>
          </w:rPr>
          <w:instrText xml:space="preserve"> PAGEREF _Toc43388039 \h </w:instrText>
        </w:r>
        <w:r w:rsidR="00EF4B3C">
          <w:rPr>
            <w:noProof/>
            <w:webHidden/>
          </w:rPr>
        </w:r>
        <w:r w:rsidR="00EF4B3C">
          <w:rPr>
            <w:noProof/>
            <w:webHidden/>
          </w:rPr>
          <w:fldChar w:fldCharType="separate"/>
        </w:r>
        <w:r w:rsidR="00EF4B3C">
          <w:rPr>
            <w:noProof/>
            <w:webHidden/>
          </w:rPr>
          <w:t>3</w:t>
        </w:r>
        <w:r w:rsidR="00EF4B3C">
          <w:rPr>
            <w:noProof/>
            <w:webHidden/>
          </w:rPr>
          <w:fldChar w:fldCharType="end"/>
        </w:r>
      </w:hyperlink>
    </w:p>
    <w:p w14:paraId="6144723D" w14:textId="0C191CC1" w:rsidR="00EF4B3C" w:rsidRDefault="000306CA">
      <w:pPr>
        <w:pStyle w:val="TOC1"/>
        <w:rPr>
          <w:rFonts w:eastAsiaTheme="minorEastAsia"/>
          <w:b w:val="0"/>
          <w:bCs w:val="0"/>
          <w:caps w:val="0"/>
          <w:noProof/>
          <w:sz w:val="22"/>
          <w:szCs w:val="22"/>
          <w:lang w:eastAsia="en-GB"/>
        </w:rPr>
      </w:pPr>
      <w:hyperlink w:anchor="_Toc43388040" w:history="1">
        <w:r w:rsidR="00EF4B3C" w:rsidRPr="00930078">
          <w:rPr>
            <w:rStyle w:val="Hyperlink"/>
            <w:noProof/>
          </w:rPr>
          <w:t>Acronyms</w:t>
        </w:r>
        <w:r w:rsidR="00EF4B3C">
          <w:rPr>
            <w:noProof/>
            <w:webHidden/>
          </w:rPr>
          <w:tab/>
        </w:r>
        <w:r w:rsidR="00EF4B3C">
          <w:rPr>
            <w:noProof/>
            <w:webHidden/>
          </w:rPr>
          <w:fldChar w:fldCharType="begin"/>
        </w:r>
        <w:r w:rsidR="00EF4B3C">
          <w:rPr>
            <w:noProof/>
            <w:webHidden/>
          </w:rPr>
          <w:instrText xml:space="preserve"> PAGEREF _Toc43388040 \h </w:instrText>
        </w:r>
        <w:r w:rsidR="00EF4B3C">
          <w:rPr>
            <w:noProof/>
            <w:webHidden/>
          </w:rPr>
        </w:r>
        <w:r w:rsidR="00EF4B3C">
          <w:rPr>
            <w:noProof/>
            <w:webHidden/>
          </w:rPr>
          <w:fldChar w:fldCharType="separate"/>
        </w:r>
        <w:r w:rsidR="00EF4B3C">
          <w:rPr>
            <w:noProof/>
            <w:webHidden/>
          </w:rPr>
          <w:t>4</w:t>
        </w:r>
        <w:r w:rsidR="00EF4B3C">
          <w:rPr>
            <w:noProof/>
            <w:webHidden/>
          </w:rPr>
          <w:fldChar w:fldCharType="end"/>
        </w:r>
      </w:hyperlink>
    </w:p>
    <w:p w14:paraId="19DF87B2" w14:textId="41E87ECF" w:rsidR="00EF4B3C" w:rsidRDefault="000306CA">
      <w:pPr>
        <w:pStyle w:val="TOC1"/>
        <w:tabs>
          <w:tab w:val="left" w:pos="440"/>
        </w:tabs>
        <w:rPr>
          <w:rFonts w:eastAsiaTheme="minorEastAsia"/>
          <w:b w:val="0"/>
          <w:bCs w:val="0"/>
          <w:caps w:val="0"/>
          <w:noProof/>
          <w:sz w:val="22"/>
          <w:szCs w:val="22"/>
          <w:lang w:eastAsia="en-GB"/>
        </w:rPr>
      </w:pPr>
      <w:hyperlink w:anchor="_Toc43388041" w:history="1">
        <w:r w:rsidR="00EF4B3C" w:rsidRPr="00930078">
          <w:rPr>
            <w:rStyle w:val="Hyperlink"/>
            <w:rFonts w:cstheme="majorHAnsi"/>
            <w:noProof/>
          </w:rPr>
          <w:t>1</w:t>
        </w:r>
        <w:r w:rsidR="00EF4B3C">
          <w:rPr>
            <w:rFonts w:eastAsiaTheme="minorEastAsia"/>
            <w:b w:val="0"/>
            <w:bCs w:val="0"/>
            <w:caps w:val="0"/>
            <w:noProof/>
            <w:sz w:val="22"/>
            <w:szCs w:val="22"/>
            <w:lang w:eastAsia="en-GB"/>
          </w:rPr>
          <w:tab/>
        </w:r>
        <w:r w:rsidR="00EF4B3C" w:rsidRPr="00930078">
          <w:rPr>
            <w:rStyle w:val="Hyperlink"/>
            <w:rFonts w:cstheme="majorHAnsi"/>
            <w:noProof/>
          </w:rPr>
          <w:t>Introduction</w:t>
        </w:r>
        <w:r w:rsidR="00EF4B3C">
          <w:rPr>
            <w:noProof/>
            <w:webHidden/>
          </w:rPr>
          <w:tab/>
        </w:r>
        <w:r w:rsidR="00EF4B3C">
          <w:rPr>
            <w:noProof/>
            <w:webHidden/>
          </w:rPr>
          <w:fldChar w:fldCharType="begin"/>
        </w:r>
        <w:r w:rsidR="00EF4B3C">
          <w:rPr>
            <w:noProof/>
            <w:webHidden/>
          </w:rPr>
          <w:instrText xml:space="preserve"> PAGEREF _Toc43388041 \h </w:instrText>
        </w:r>
        <w:r w:rsidR="00EF4B3C">
          <w:rPr>
            <w:noProof/>
            <w:webHidden/>
          </w:rPr>
        </w:r>
        <w:r w:rsidR="00EF4B3C">
          <w:rPr>
            <w:noProof/>
            <w:webHidden/>
          </w:rPr>
          <w:fldChar w:fldCharType="separate"/>
        </w:r>
        <w:r w:rsidR="00EF4B3C">
          <w:rPr>
            <w:noProof/>
            <w:webHidden/>
          </w:rPr>
          <w:t>6</w:t>
        </w:r>
        <w:r w:rsidR="00EF4B3C">
          <w:rPr>
            <w:noProof/>
            <w:webHidden/>
          </w:rPr>
          <w:fldChar w:fldCharType="end"/>
        </w:r>
      </w:hyperlink>
    </w:p>
    <w:p w14:paraId="2F6582F8" w14:textId="49CB36C0" w:rsidR="00EF4B3C" w:rsidRDefault="000306CA">
      <w:pPr>
        <w:pStyle w:val="TOC2"/>
        <w:tabs>
          <w:tab w:val="left" w:pos="880"/>
          <w:tab w:val="right" w:leader="dot" w:pos="9016"/>
        </w:tabs>
        <w:rPr>
          <w:rFonts w:eastAsiaTheme="minorEastAsia"/>
          <w:smallCaps w:val="0"/>
          <w:noProof/>
          <w:sz w:val="22"/>
          <w:szCs w:val="22"/>
          <w:lang w:eastAsia="en-GB"/>
        </w:rPr>
      </w:pPr>
      <w:hyperlink w:anchor="_Toc43388042" w:history="1">
        <w:r w:rsidR="00EF4B3C" w:rsidRPr="00930078">
          <w:rPr>
            <w:rStyle w:val="Hyperlink"/>
            <w:rFonts w:cstheme="majorHAnsi"/>
            <w:noProof/>
          </w:rPr>
          <w:t>1.1</w:t>
        </w:r>
        <w:r w:rsidR="00EF4B3C">
          <w:rPr>
            <w:rFonts w:eastAsiaTheme="minorEastAsia"/>
            <w:smallCaps w:val="0"/>
            <w:noProof/>
            <w:sz w:val="22"/>
            <w:szCs w:val="22"/>
            <w:lang w:eastAsia="en-GB"/>
          </w:rPr>
          <w:tab/>
        </w:r>
        <w:r w:rsidR="00EF4B3C" w:rsidRPr="00930078">
          <w:rPr>
            <w:rStyle w:val="Hyperlink"/>
            <w:rFonts w:cstheme="majorHAnsi"/>
            <w:noProof/>
          </w:rPr>
          <w:t>Purpose and Scope</w:t>
        </w:r>
        <w:r w:rsidR="00EF4B3C">
          <w:rPr>
            <w:noProof/>
            <w:webHidden/>
          </w:rPr>
          <w:tab/>
        </w:r>
        <w:r w:rsidR="00EF4B3C">
          <w:rPr>
            <w:noProof/>
            <w:webHidden/>
          </w:rPr>
          <w:fldChar w:fldCharType="begin"/>
        </w:r>
        <w:r w:rsidR="00EF4B3C">
          <w:rPr>
            <w:noProof/>
            <w:webHidden/>
          </w:rPr>
          <w:instrText xml:space="preserve"> PAGEREF _Toc43388042 \h </w:instrText>
        </w:r>
        <w:r w:rsidR="00EF4B3C">
          <w:rPr>
            <w:noProof/>
            <w:webHidden/>
          </w:rPr>
        </w:r>
        <w:r w:rsidR="00EF4B3C">
          <w:rPr>
            <w:noProof/>
            <w:webHidden/>
          </w:rPr>
          <w:fldChar w:fldCharType="separate"/>
        </w:r>
        <w:r w:rsidR="00EF4B3C">
          <w:rPr>
            <w:noProof/>
            <w:webHidden/>
          </w:rPr>
          <w:t>6</w:t>
        </w:r>
        <w:r w:rsidR="00EF4B3C">
          <w:rPr>
            <w:noProof/>
            <w:webHidden/>
          </w:rPr>
          <w:fldChar w:fldCharType="end"/>
        </w:r>
      </w:hyperlink>
    </w:p>
    <w:p w14:paraId="645E2C9F" w14:textId="76678D10" w:rsidR="00EF4B3C" w:rsidRDefault="000306CA">
      <w:pPr>
        <w:pStyle w:val="TOC1"/>
        <w:tabs>
          <w:tab w:val="left" w:pos="440"/>
        </w:tabs>
        <w:rPr>
          <w:rFonts w:eastAsiaTheme="minorEastAsia"/>
          <w:b w:val="0"/>
          <w:bCs w:val="0"/>
          <w:caps w:val="0"/>
          <w:noProof/>
          <w:sz w:val="22"/>
          <w:szCs w:val="22"/>
          <w:lang w:eastAsia="en-GB"/>
        </w:rPr>
      </w:pPr>
      <w:hyperlink w:anchor="_Toc43388043" w:history="1">
        <w:r w:rsidR="00EF4B3C" w:rsidRPr="00930078">
          <w:rPr>
            <w:rStyle w:val="Hyperlink"/>
            <w:noProof/>
          </w:rPr>
          <w:t>2</w:t>
        </w:r>
        <w:r w:rsidR="00EF4B3C">
          <w:rPr>
            <w:rFonts w:eastAsiaTheme="minorEastAsia"/>
            <w:b w:val="0"/>
            <w:bCs w:val="0"/>
            <w:caps w:val="0"/>
            <w:noProof/>
            <w:sz w:val="22"/>
            <w:szCs w:val="22"/>
            <w:lang w:eastAsia="en-GB"/>
          </w:rPr>
          <w:tab/>
        </w:r>
        <w:r w:rsidR="00EF4B3C" w:rsidRPr="00930078">
          <w:rPr>
            <w:rStyle w:val="Hyperlink"/>
            <w:noProof/>
          </w:rPr>
          <w:t>Products and Terminology</w:t>
        </w:r>
        <w:r w:rsidR="00EF4B3C">
          <w:rPr>
            <w:noProof/>
            <w:webHidden/>
          </w:rPr>
          <w:tab/>
        </w:r>
        <w:r w:rsidR="00EF4B3C">
          <w:rPr>
            <w:noProof/>
            <w:webHidden/>
          </w:rPr>
          <w:fldChar w:fldCharType="begin"/>
        </w:r>
        <w:r w:rsidR="00EF4B3C">
          <w:rPr>
            <w:noProof/>
            <w:webHidden/>
          </w:rPr>
          <w:instrText xml:space="preserve"> PAGEREF _Toc43388043 \h </w:instrText>
        </w:r>
        <w:r w:rsidR="00EF4B3C">
          <w:rPr>
            <w:noProof/>
            <w:webHidden/>
          </w:rPr>
        </w:r>
        <w:r w:rsidR="00EF4B3C">
          <w:rPr>
            <w:noProof/>
            <w:webHidden/>
          </w:rPr>
          <w:fldChar w:fldCharType="separate"/>
        </w:r>
        <w:r w:rsidR="00EF4B3C">
          <w:rPr>
            <w:noProof/>
            <w:webHidden/>
          </w:rPr>
          <w:t>7</w:t>
        </w:r>
        <w:r w:rsidR="00EF4B3C">
          <w:rPr>
            <w:noProof/>
            <w:webHidden/>
          </w:rPr>
          <w:fldChar w:fldCharType="end"/>
        </w:r>
      </w:hyperlink>
    </w:p>
    <w:p w14:paraId="0BE2C960" w14:textId="07CC6A2F" w:rsidR="00EF4B3C" w:rsidRDefault="000306CA">
      <w:pPr>
        <w:pStyle w:val="TOC2"/>
        <w:tabs>
          <w:tab w:val="left" w:pos="880"/>
          <w:tab w:val="right" w:leader="dot" w:pos="9016"/>
        </w:tabs>
        <w:rPr>
          <w:rFonts w:eastAsiaTheme="minorEastAsia"/>
          <w:smallCaps w:val="0"/>
          <w:noProof/>
          <w:sz w:val="22"/>
          <w:szCs w:val="22"/>
          <w:lang w:eastAsia="en-GB"/>
        </w:rPr>
      </w:pPr>
      <w:hyperlink w:anchor="_Toc43388044" w:history="1">
        <w:r w:rsidR="00EF4B3C" w:rsidRPr="00930078">
          <w:rPr>
            <w:rStyle w:val="Hyperlink"/>
            <w:noProof/>
          </w:rPr>
          <w:t>2.1</w:t>
        </w:r>
        <w:r w:rsidR="00EF4B3C">
          <w:rPr>
            <w:rFonts w:eastAsiaTheme="minorEastAsia"/>
            <w:smallCaps w:val="0"/>
            <w:noProof/>
            <w:sz w:val="22"/>
            <w:szCs w:val="22"/>
            <w:lang w:eastAsia="en-GB"/>
          </w:rPr>
          <w:tab/>
        </w:r>
        <w:r w:rsidR="00EF4B3C" w:rsidRPr="00930078">
          <w:rPr>
            <w:rStyle w:val="Hyperlink"/>
            <w:noProof/>
          </w:rPr>
          <w:t>Terminology</w:t>
        </w:r>
        <w:r w:rsidR="00EF4B3C">
          <w:rPr>
            <w:noProof/>
            <w:webHidden/>
          </w:rPr>
          <w:tab/>
        </w:r>
        <w:r w:rsidR="00EF4B3C">
          <w:rPr>
            <w:noProof/>
            <w:webHidden/>
          </w:rPr>
          <w:fldChar w:fldCharType="begin"/>
        </w:r>
        <w:r w:rsidR="00EF4B3C">
          <w:rPr>
            <w:noProof/>
            <w:webHidden/>
          </w:rPr>
          <w:instrText xml:space="preserve"> PAGEREF _Toc43388044 \h </w:instrText>
        </w:r>
        <w:r w:rsidR="00EF4B3C">
          <w:rPr>
            <w:noProof/>
            <w:webHidden/>
          </w:rPr>
        </w:r>
        <w:r w:rsidR="00EF4B3C">
          <w:rPr>
            <w:noProof/>
            <w:webHidden/>
          </w:rPr>
          <w:fldChar w:fldCharType="separate"/>
        </w:r>
        <w:r w:rsidR="00EF4B3C">
          <w:rPr>
            <w:noProof/>
            <w:webHidden/>
          </w:rPr>
          <w:t>7</w:t>
        </w:r>
        <w:r w:rsidR="00EF4B3C">
          <w:rPr>
            <w:noProof/>
            <w:webHidden/>
          </w:rPr>
          <w:fldChar w:fldCharType="end"/>
        </w:r>
      </w:hyperlink>
    </w:p>
    <w:p w14:paraId="165413C9" w14:textId="35EF85A6"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45" w:history="1">
        <w:r w:rsidR="00EF4B3C" w:rsidRPr="00930078">
          <w:rPr>
            <w:rStyle w:val="Hyperlink"/>
            <w:noProof/>
          </w:rPr>
          <w:t>2.1.1</w:t>
        </w:r>
        <w:r w:rsidR="00EF4B3C">
          <w:rPr>
            <w:rFonts w:eastAsiaTheme="minorEastAsia"/>
            <w:i w:val="0"/>
            <w:iCs w:val="0"/>
            <w:noProof/>
            <w:sz w:val="22"/>
            <w:szCs w:val="22"/>
            <w:lang w:eastAsia="en-GB"/>
          </w:rPr>
          <w:tab/>
        </w:r>
        <w:r w:rsidR="00EF4B3C" w:rsidRPr="00930078">
          <w:rPr>
            <w:rStyle w:val="Hyperlink"/>
            <w:noProof/>
          </w:rPr>
          <w:t>FAPAR</w:t>
        </w:r>
        <w:r w:rsidR="00EF4B3C">
          <w:rPr>
            <w:noProof/>
            <w:webHidden/>
          </w:rPr>
          <w:tab/>
        </w:r>
        <w:r w:rsidR="00EF4B3C">
          <w:rPr>
            <w:noProof/>
            <w:webHidden/>
          </w:rPr>
          <w:fldChar w:fldCharType="begin"/>
        </w:r>
        <w:r w:rsidR="00EF4B3C">
          <w:rPr>
            <w:noProof/>
            <w:webHidden/>
          </w:rPr>
          <w:instrText xml:space="preserve"> PAGEREF _Toc43388045 \h </w:instrText>
        </w:r>
        <w:r w:rsidR="00EF4B3C">
          <w:rPr>
            <w:noProof/>
            <w:webHidden/>
          </w:rPr>
        </w:r>
        <w:r w:rsidR="00EF4B3C">
          <w:rPr>
            <w:noProof/>
            <w:webHidden/>
          </w:rPr>
          <w:fldChar w:fldCharType="separate"/>
        </w:r>
        <w:r w:rsidR="00EF4B3C">
          <w:rPr>
            <w:noProof/>
            <w:webHidden/>
          </w:rPr>
          <w:t>7</w:t>
        </w:r>
        <w:r w:rsidR="00EF4B3C">
          <w:rPr>
            <w:noProof/>
            <w:webHidden/>
          </w:rPr>
          <w:fldChar w:fldCharType="end"/>
        </w:r>
      </w:hyperlink>
    </w:p>
    <w:p w14:paraId="3287CA6E" w14:textId="34D6B81F"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46" w:history="1">
        <w:r w:rsidR="00EF4B3C" w:rsidRPr="00930078">
          <w:rPr>
            <w:rStyle w:val="Hyperlink"/>
            <w:noProof/>
          </w:rPr>
          <w:t>2.1.2</w:t>
        </w:r>
        <w:r w:rsidR="00EF4B3C">
          <w:rPr>
            <w:rFonts w:eastAsiaTheme="minorEastAsia"/>
            <w:i w:val="0"/>
            <w:iCs w:val="0"/>
            <w:noProof/>
            <w:sz w:val="22"/>
            <w:szCs w:val="22"/>
            <w:lang w:eastAsia="en-GB"/>
          </w:rPr>
          <w:tab/>
        </w:r>
        <w:r w:rsidR="00EF4B3C" w:rsidRPr="00930078">
          <w:rPr>
            <w:rStyle w:val="Hyperlink"/>
            <w:noProof/>
          </w:rPr>
          <w:t>CCC</w:t>
        </w:r>
        <w:r w:rsidR="00EF4B3C">
          <w:rPr>
            <w:noProof/>
            <w:webHidden/>
          </w:rPr>
          <w:tab/>
        </w:r>
        <w:r w:rsidR="00EF4B3C">
          <w:rPr>
            <w:noProof/>
            <w:webHidden/>
          </w:rPr>
          <w:fldChar w:fldCharType="begin"/>
        </w:r>
        <w:r w:rsidR="00EF4B3C">
          <w:rPr>
            <w:noProof/>
            <w:webHidden/>
          </w:rPr>
          <w:instrText xml:space="preserve"> PAGEREF _Toc43388046 \h </w:instrText>
        </w:r>
        <w:r w:rsidR="00EF4B3C">
          <w:rPr>
            <w:noProof/>
            <w:webHidden/>
          </w:rPr>
        </w:r>
        <w:r w:rsidR="00EF4B3C">
          <w:rPr>
            <w:noProof/>
            <w:webHidden/>
          </w:rPr>
          <w:fldChar w:fldCharType="separate"/>
        </w:r>
        <w:r w:rsidR="00EF4B3C">
          <w:rPr>
            <w:noProof/>
            <w:webHidden/>
          </w:rPr>
          <w:t>7</w:t>
        </w:r>
        <w:r w:rsidR="00EF4B3C">
          <w:rPr>
            <w:noProof/>
            <w:webHidden/>
          </w:rPr>
          <w:fldChar w:fldCharType="end"/>
        </w:r>
      </w:hyperlink>
    </w:p>
    <w:p w14:paraId="1E6DB195" w14:textId="3BA59368" w:rsidR="00EF4B3C" w:rsidRDefault="000306CA">
      <w:pPr>
        <w:pStyle w:val="TOC2"/>
        <w:tabs>
          <w:tab w:val="left" w:pos="880"/>
          <w:tab w:val="right" w:leader="dot" w:pos="9016"/>
        </w:tabs>
        <w:rPr>
          <w:rFonts w:eastAsiaTheme="minorEastAsia"/>
          <w:smallCaps w:val="0"/>
          <w:noProof/>
          <w:sz w:val="22"/>
          <w:szCs w:val="22"/>
          <w:lang w:eastAsia="en-GB"/>
        </w:rPr>
      </w:pPr>
      <w:hyperlink w:anchor="_Toc43388047" w:history="1">
        <w:r w:rsidR="00EF4B3C" w:rsidRPr="00930078">
          <w:rPr>
            <w:rStyle w:val="Hyperlink"/>
            <w:noProof/>
          </w:rPr>
          <w:t>2.2</w:t>
        </w:r>
        <w:r w:rsidR="00EF4B3C">
          <w:rPr>
            <w:rFonts w:eastAsiaTheme="minorEastAsia"/>
            <w:smallCaps w:val="0"/>
            <w:noProof/>
            <w:sz w:val="22"/>
            <w:szCs w:val="22"/>
            <w:lang w:eastAsia="en-GB"/>
          </w:rPr>
          <w:tab/>
        </w:r>
        <w:r w:rsidR="00EF4B3C" w:rsidRPr="00930078">
          <w:rPr>
            <w:rStyle w:val="Hyperlink"/>
            <w:noProof/>
          </w:rPr>
          <w:t>Considered Products</w:t>
        </w:r>
        <w:r w:rsidR="00EF4B3C">
          <w:rPr>
            <w:noProof/>
            <w:webHidden/>
          </w:rPr>
          <w:tab/>
        </w:r>
        <w:r w:rsidR="00EF4B3C">
          <w:rPr>
            <w:noProof/>
            <w:webHidden/>
          </w:rPr>
          <w:fldChar w:fldCharType="begin"/>
        </w:r>
        <w:r w:rsidR="00EF4B3C">
          <w:rPr>
            <w:noProof/>
            <w:webHidden/>
          </w:rPr>
          <w:instrText xml:space="preserve"> PAGEREF _Toc43388047 \h </w:instrText>
        </w:r>
        <w:r w:rsidR="00EF4B3C">
          <w:rPr>
            <w:noProof/>
            <w:webHidden/>
          </w:rPr>
        </w:r>
        <w:r w:rsidR="00EF4B3C">
          <w:rPr>
            <w:noProof/>
            <w:webHidden/>
          </w:rPr>
          <w:fldChar w:fldCharType="separate"/>
        </w:r>
        <w:r w:rsidR="00EF4B3C">
          <w:rPr>
            <w:noProof/>
            <w:webHidden/>
          </w:rPr>
          <w:t>7</w:t>
        </w:r>
        <w:r w:rsidR="00EF4B3C">
          <w:rPr>
            <w:noProof/>
            <w:webHidden/>
          </w:rPr>
          <w:fldChar w:fldCharType="end"/>
        </w:r>
      </w:hyperlink>
    </w:p>
    <w:p w14:paraId="71426FE0" w14:textId="594C9496"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48" w:history="1">
        <w:r w:rsidR="00EF4B3C" w:rsidRPr="00930078">
          <w:rPr>
            <w:rStyle w:val="Hyperlink"/>
            <w:noProof/>
          </w:rPr>
          <w:t>2.2.1</w:t>
        </w:r>
        <w:r w:rsidR="00EF4B3C">
          <w:rPr>
            <w:rFonts w:eastAsiaTheme="minorEastAsia"/>
            <w:i w:val="0"/>
            <w:iCs w:val="0"/>
            <w:noProof/>
            <w:sz w:val="22"/>
            <w:szCs w:val="22"/>
            <w:lang w:eastAsia="en-GB"/>
          </w:rPr>
          <w:tab/>
        </w:r>
        <w:r w:rsidR="00EF4B3C" w:rsidRPr="00930078">
          <w:rPr>
            <w:rStyle w:val="Hyperlink"/>
            <w:noProof/>
          </w:rPr>
          <w:t>OLCI Global Vegetation Index (OGVI)</w:t>
        </w:r>
        <w:r w:rsidR="00EF4B3C">
          <w:rPr>
            <w:noProof/>
            <w:webHidden/>
          </w:rPr>
          <w:tab/>
        </w:r>
        <w:r w:rsidR="00EF4B3C">
          <w:rPr>
            <w:noProof/>
            <w:webHidden/>
          </w:rPr>
          <w:fldChar w:fldCharType="begin"/>
        </w:r>
        <w:r w:rsidR="00EF4B3C">
          <w:rPr>
            <w:noProof/>
            <w:webHidden/>
          </w:rPr>
          <w:instrText xml:space="preserve"> PAGEREF _Toc43388048 \h </w:instrText>
        </w:r>
        <w:r w:rsidR="00EF4B3C">
          <w:rPr>
            <w:noProof/>
            <w:webHidden/>
          </w:rPr>
        </w:r>
        <w:r w:rsidR="00EF4B3C">
          <w:rPr>
            <w:noProof/>
            <w:webHidden/>
          </w:rPr>
          <w:fldChar w:fldCharType="separate"/>
        </w:r>
        <w:r w:rsidR="00EF4B3C">
          <w:rPr>
            <w:noProof/>
            <w:webHidden/>
          </w:rPr>
          <w:t>8</w:t>
        </w:r>
        <w:r w:rsidR="00EF4B3C">
          <w:rPr>
            <w:noProof/>
            <w:webHidden/>
          </w:rPr>
          <w:fldChar w:fldCharType="end"/>
        </w:r>
      </w:hyperlink>
    </w:p>
    <w:p w14:paraId="1CCAE0E9" w14:textId="30A290B1"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49" w:history="1">
        <w:r w:rsidR="00EF4B3C" w:rsidRPr="00930078">
          <w:rPr>
            <w:rStyle w:val="Hyperlink"/>
            <w:noProof/>
          </w:rPr>
          <w:t>2.2.2</w:t>
        </w:r>
        <w:r w:rsidR="00EF4B3C">
          <w:rPr>
            <w:rFonts w:eastAsiaTheme="minorEastAsia"/>
            <w:i w:val="0"/>
            <w:iCs w:val="0"/>
            <w:noProof/>
            <w:sz w:val="22"/>
            <w:szCs w:val="22"/>
            <w:lang w:eastAsia="en-GB"/>
          </w:rPr>
          <w:tab/>
        </w:r>
        <w:r w:rsidR="00EF4B3C" w:rsidRPr="00930078">
          <w:rPr>
            <w:rStyle w:val="Hyperlink"/>
            <w:noProof/>
          </w:rPr>
          <w:t>OLCI Terrestrial Chlorophyll Index (OTCI)</w:t>
        </w:r>
        <w:r w:rsidR="00EF4B3C">
          <w:rPr>
            <w:noProof/>
            <w:webHidden/>
          </w:rPr>
          <w:tab/>
        </w:r>
        <w:r w:rsidR="00EF4B3C">
          <w:rPr>
            <w:noProof/>
            <w:webHidden/>
          </w:rPr>
          <w:fldChar w:fldCharType="begin"/>
        </w:r>
        <w:r w:rsidR="00EF4B3C">
          <w:rPr>
            <w:noProof/>
            <w:webHidden/>
          </w:rPr>
          <w:instrText xml:space="preserve"> PAGEREF _Toc43388049 \h </w:instrText>
        </w:r>
        <w:r w:rsidR="00EF4B3C">
          <w:rPr>
            <w:noProof/>
            <w:webHidden/>
          </w:rPr>
        </w:r>
        <w:r w:rsidR="00EF4B3C">
          <w:rPr>
            <w:noProof/>
            <w:webHidden/>
          </w:rPr>
          <w:fldChar w:fldCharType="separate"/>
        </w:r>
        <w:r w:rsidR="00EF4B3C">
          <w:rPr>
            <w:noProof/>
            <w:webHidden/>
          </w:rPr>
          <w:t>9</w:t>
        </w:r>
        <w:r w:rsidR="00EF4B3C">
          <w:rPr>
            <w:noProof/>
            <w:webHidden/>
          </w:rPr>
          <w:fldChar w:fldCharType="end"/>
        </w:r>
      </w:hyperlink>
    </w:p>
    <w:p w14:paraId="2E22F9ED" w14:textId="3BA0AF63"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0" w:history="1">
        <w:r w:rsidR="00EF4B3C" w:rsidRPr="00930078">
          <w:rPr>
            <w:rStyle w:val="Hyperlink"/>
            <w:noProof/>
          </w:rPr>
          <w:t>2.2.3</w:t>
        </w:r>
        <w:r w:rsidR="00EF4B3C">
          <w:rPr>
            <w:rFonts w:eastAsiaTheme="minorEastAsia"/>
            <w:i w:val="0"/>
            <w:iCs w:val="0"/>
            <w:noProof/>
            <w:sz w:val="22"/>
            <w:szCs w:val="22"/>
            <w:lang w:eastAsia="en-GB"/>
          </w:rPr>
          <w:tab/>
        </w:r>
        <w:r w:rsidR="00EF4B3C" w:rsidRPr="00930078">
          <w:rPr>
            <w:rStyle w:val="Hyperlink"/>
            <w:noProof/>
          </w:rPr>
          <w:t>Product Quality Flags</w:t>
        </w:r>
        <w:r w:rsidR="00EF4B3C">
          <w:rPr>
            <w:noProof/>
            <w:webHidden/>
          </w:rPr>
          <w:tab/>
        </w:r>
        <w:r w:rsidR="00EF4B3C">
          <w:rPr>
            <w:noProof/>
            <w:webHidden/>
          </w:rPr>
          <w:fldChar w:fldCharType="begin"/>
        </w:r>
        <w:r w:rsidR="00EF4B3C">
          <w:rPr>
            <w:noProof/>
            <w:webHidden/>
          </w:rPr>
          <w:instrText xml:space="preserve"> PAGEREF _Toc43388050 \h </w:instrText>
        </w:r>
        <w:r w:rsidR="00EF4B3C">
          <w:rPr>
            <w:noProof/>
            <w:webHidden/>
          </w:rPr>
        </w:r>
        <w:r w:rsidR="00EF4B3C">
          <w:rPr>
            <w:noProof/>
            <w:webHidden/>
          </w:rPr>
          <w:fldChar w:fldCharType="separate"/>
        </w:r>
        <w:r w:rsidR="00EF4B3C">
          <w:rPr>
            <w:noProof/>
            <w:webHidden/>
          </w:rPr>
          <w:t>11</w:t>
        </w:r>
        <w:r w:rsidR="00EF4B3C">
          <w:rPr>
            <w:noProof/>
            <w:webHidden/>
          </w:rPr>
          <w:fldChar w:fldCharType="end"/>
        </w:r>
      </w:hyperlink>
    </w:p>
    <w:p w14:paraId="0EDAC42E" w14:textId="2E409F08" w:rsidR="00EF4B3C" w:rsidRDefault="000306CA">
      <w:pPr>
        <w:pStyle w:val="TOC1"/>
        <w:tabs>
          <w:tab w:val="left" w:pos="440"/>
        </w:tabs>
        <w:rPr>
          <w:rFonts w:eastAsiaTheme="minorEastAsia"/>
          <w:b w:val="0"/>
          <w:bCs w:val="0"/>
          <w:caps w:val="0"/>
          <w:noProof/>
          <w:sz w:val="22"/>
          <w:szCs w:val="22"/>
          <w:lang w:eastAsia="en-GB"/>
        </w:rPr>
      </w:pPr>
      <w:hyperlink w:anchor="_Toc43388051" w:history="1">
        <w:r w:rsidR="00EF4B3C" w:rsidRPr="00930078">
          <w:rPr>
            <w:rStyle w:val="Hyperlink"/>
            <w:noProof/>
          </w:rPr>
          <w:t>3</w:t>
        </w:r>
        <w:r w:rsidR="00EF4B3C">
          <w:rPr>
            <w:rFonts w:eastAsiaTheme="minorEastAsia"/>
            <w:b w:val="0"/>
            <w:bCs w:val="0"/>
            <w:caps w:val="0"/>
            <w:noProof/>
            <w:sz w:val="22"/>
            <w:szCs w:val="22"/>
            <w:lang w:eastAsia="en-GB"/>
          </w:rPr>
          <w:tab/>
        </w:r>
        <w:r w:rsidR="00EF4B3C" w:rsidRPr="00930078">
          <w:rPr>
            <w:rStyle w:val="Hyperlink"/>
            <w:noProof/>
          </w:rPr>
          <w:t>State-of-the-art Methods for FAPAR and CCC Validation</w:t>
        </w:r>
        <w:r w:rsidR="00EF4B3C">
          <w:rPr>
            <w:noProof/>
            <w:webHidden/>
          </w:rPr>
          <w:tab/>
        </w:r>
        <w:r w:rsidR="00EF4B3C">
          <w:rPr>
            <w:noProof/>
            <w:webHidden/>
          </w:rPr>
          <w:fldChar w:fldCharType="begin"/>
        </w:r>
        <w:r w:rsidR="00EF4B3C">
          <w:rPr>
            <w:noProof/>
            <w:webHidden/>
          </w:rPr>
          <w:instrText xml:space="preserve"> PAGEREF _Toc43388051 \h </w:instrText>
        </w:r>
        <w:r w:rsidR="00EF4B3C">
          <w:rPr>
            <w:noProof/>
            <w:webHidden/>
          </w:rPr>
        </w:r>
        <w:r w:rsidR="00EF4B3C">
          <w:rPr>
            <w:noProof/>
            <w:webHidden/>
          </w:rPr>
          <w:fldChar w:fldCharType="separate"/>
        </w:r>
        <w:r w:rsidR="00EF4B3C">
          <w:rPr>
            <w:noProof/>
            <w:webHidden/>
          </w:rPr>
          <w:t>13</w:t>
        </w:r>
        <w:r w:rsidR="00EF4B3C">
          <w:rPr>
            <w:noProof/>
            <w:webHidden/>
          </w:rPr>
          <w:fldChar w:fldCharType="end"/>
        </w:r>
      </w:hyperlink>
    </w:p>
    <w:p w14:paraId="79A4CC55" w14:textId="76C47FEF" w:rsidR="00EF4B3C" w:rsidRDefault="000306CA">
      <w:pPr>
        <w:pStyle w:val="TOC2"/>
        <w:tabs>
          <w:tab w:val="left" w:pos="880"/>
          <w:tab w:val="right" w:leader="dot" w:pos="9016"/>
        </w:tabs>
        <w:rPr>
          <w:rFonts w:eastAsiaTheme="minorEastAsia"/>
          <w:smallCaps w:val="0"/>
          <w:noProof/>
          <w:sz w:val="22"/>
          <w:szCs w:val="22"/>
          <w:lang w:eastAsia="en-GB"/>
        </w:rPr>
      </w:pPr>
      <w:hyperlink w:anchor="_Toc43388052" w:history="1">
        <w:r w:rsidR="00EF4B3C" w:rsidRPr="00930078">
          <w:rPr>
            <w:rStyle w:val="Hyperlink"/>
            <w:noProof/>
          </w:rPr>
          <w:t>3.1</w:t>
        </w:r>
        <w:r w:rsidR="00EF4B3C">
          <w:rPr>
            <w:rFonts w:eastAsiaTheme="minorEastAsia"/>
            <w:smallCaps w:val="0"/>
            <w:noProof/>
            <w:sz w:val="22"/>
            <w:szCs w:val="22"/>
            <w:lang w:eastAsia="en-GB"/>
          </w:rPr>
          <w:tab/>
        </w:r>
        <w:r w:rsidR="00EF4B3C" w:rsidRPr="00930078">
          <w:rPr>
            <w:rStyle w:val="Hyperlink"/>
            <w:noProof/>
          </w:rPr>
          <w:t>Review of Validation Approaches</w:t>
        </w:r>
        <w:r w:rsidR="00EF4B3C">
          <w:rPr>
            <w:noProof/>
            <w:webHidden/>
          </w:rPr>
          <w:tab/>
        </w:r>
        <w:r w:rsidR="00EF4B3C">
          <w:rPr>
            <w:noProof/>
            <w:webHidden/>
          </w:rPr>
          <w:fldChar w:fldCharType="begin"/>
        </w:r>
        <w:r w:rsidR="00EF4B3C">
          <w:rPr>
            <w:noProof/>
            <w:webHidden/>
          </w:rPr>
          <w:instrText xml:space="preserve"> PAGEREF _Toc43388052 \h </w:instrText>
        </w:r>
        <w:r w:rsidR="00EF4B3C">
          <w:rPr>
            <w:noProof/>
            <w:webHidden/>
          </w:rPr>
        </w:r>
        <w:r w:rsidR="00EF4B3C">
          <w:rPr>
            <w:noProof/>
            <w:webHidden/>
          </w:rPr>
          <w:fldChar w:fldCharType="separate"/>
        </w:r>
        <w:r w:rsidR="00EF4B3C">
          <w:rPr>
            <w:noProof/>
            <w:webHidden/>
          </w:rPr>
          <w:t>13</w:t>
        </w:r>
        <w:r w:rsidR="00EF4B3C">
          <w:rPr>
            <w:noProof/>
            <w:webHidden/>
          </w:rPr>
          <w:fldChar w:fldCharType="end"/>
        </w:r>
      </w:hyperlink>
    </w:p>
    <w:p w14:paraId="423FDEDA" w14:textId="57ACE734"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3" w:history="1">
        <w:r w:rsidR="00EF4B3C" w:rsidRPr="00930078">
          <w:rPr>
            <w:rStyle w:val="Hyperlink"/>
            <w:noProof/>
          </w:rPr>
          <w:t>3.1.1</w:t>
        </w:r>
        <w:r w:rsidR="00EF4B3C">
          <w:rPr>
            <w:rFonts w:eastAsiaTheme="minorEastAsia"/>
            <w:i w:val="0"/>
            <w:iCs w:val="0"/>
            <w:noProof/>
            <w:sz w:val="22"/>
            <w:szCs w:val="22"/>
            <w:lang w:eastAsia="en-GB"/>
          </w:rPr>
          <w:tab/>
        </w:r>
        <w:r w:rsidR="00EF4B3C" w:rsidRPr="00930078">
          <w:rPr>
            <w:rStyle w:val="Hyperlink"/>
            <w:noProof/>
          </w:rPr>
          <w:t>Direct Validation</w:t>
        </w:r>
        <w:r w:rsidR="00EF4B3C">
          <w:rPr>
            <w:noProof/>
            <w:webHidden/>
          </w:rPr>
          <w:tab/>
        </w:r>
        <w:r w:rsidR="00EF4B3C">
          <w:rPr>
            <w:noProof/>
            <w:webHidden/>
          </w:rPr>
          <w:fldChar w:fldCharType="begin"/>
        </w:r>
        <w:r w:rsidR="00EF4B3C">
          <w:rPr>
            <w:noProof/>
            <w:webHidden/>
          </w:rPr>
          <w:instrText xml:space="preserve"> PAGEREF _Toc43388053 \h </w:instrText>
        </w:r>
        <w:r w:rsidR="00EF4B3C">
          <w:rPr>
            <w:noProof/>
            <w:webHidden/>
          </w:rPr>
        </w:r>
        <w:r w:rsidR="00EF4B3C">
          <w:rPr>
            <w:noProof/>
            <w:webHidden/>
          </w:rPr>
          <w:fldChar w:fldCharType="separate"/>
        </w:r>
        <w:r w:rsidR="00EF4B3C">
          <w:rPr>
            <w:noProof/>
            <w:webHidden/>
          </w:rPr>
          <w:t>13</w:t>
        </w:r>
        <w:r w:rsidR="00EF4B3C">
          <w:rPr>
            <w:noProof/>
            <w:webHidden/>
          </w:rPr>
          <w:fldChar w:fldCharType="end"/>
        </w:r>
      </w:hyperlink>
    </w:p>
    <w:p w14:paraId="27552258" w14:textId="3B00BBB9"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4" w:history="1">
        <w:r w:rsidR="00EF4B3C" w:rsidRPr="00930078">
          <w:rPr>
            <w:rStyle w:val="Hyperlink"/>
            <w:noProof/>
          </w:rPr>
          <w:t>3.1.2</w:t>
        </w:r>
        <w:r w:rsidR="00EF4B3C">
          <w:rPr>
            <w:rFonts w:eastAsiaTheme="minorEastAsia"/>
            <w:i w:val="0"/>
            <w:iCs w:val="0"/>
            <w:noProof/>
            <w:sz w:val="22"/>
            <w:szCs w:val="22"/>
            <w:lang w:eastAsia="en-GB"/>
          </w:rPr>
          <w:tab/>
        </w:r>
        <w:r w:rsidR="00EF4B3C" w:rsidRPr="00930078">
          <w:rPr>
            <w:rStyle w:val="Hyperlink"/>
            <w:noProof/>
          </w:rPr>
          <w:t>Direct Validation: Networks and Projects</w:t>
        </w:r>
        <w:r w:rsidR="00EF4B3C">
          <w:rPr>
            <w:noProof/>
            <w:webHidden/>
          </w:rPr>
          <w:tab/>
        </w:r>
        <w:r w:rsidR="00EF4B3C">
          <w:rPr>
            <w:noProof/>
            <w:webHidden/>
          </w:rPr>
          <w:fldChar w:fldCharType="begin"/>
        </w:r>
        <w:r w:rsidR="00EF4B3C">
          <w:rPr>
            <w:noProof/>
            <w:webHidden/>
          </w:rPr>
          <w:instrText xml:space="preserve"> PAGEREF _Toc43388054 \h </w:instrText>
        </w:r>
        <w:r w:rsidR="00EF4B3C">
          <w:rPr>
            <w:noProof/>
            <w:webHidden/>
          </w:rPr>
        </w:r>
        <w:r w:rsidR="00EF4B3C">
          <w:rPr>
            <w:noProof/>
            <w:webHidden/>
          </w:rPr>
          <w:fldChar w:fldCharType="separate"/>
        </w:r>
        <w:r w:rsidR="00EF4B3C">
          <w:rPr>
            <w:noProof/>
            <w:webHidden/>
          </w:rPr>
          <w:t>13</w:t>
        </w:r>
        <w:r w:rsidR="00EF4B3C">
          <w:rPr>
            <w:noProof/>
            <w:webHidden/>
          </w:rPr>
          <w:fldChar w:fldCharType="end"/>
        </w:r>
      </w:hyperlink>
    </w:p>
    <w:p w14:paraId="081358F2" w14:textId="19B39F44"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5" w:history="1">
        <w:r w:rsidR="00EF4B3C" w:rsidRPr="00930078">
          <w:rPr>
            <w:rStyle w:val="Hyperlink"/>
            <w:noProof/>
          </w:rPr>
          <w:t>3.1.3</w:t>
        </w:r>
        <w:r w:rsidR="00EF4B3C">
          <w:rPr>
            <w:rFonts w:eastAsiaTheme="minorEastAsia"/>
            <w:i w:val="0"/>
            <w:iCs w:val="0"/>
            <w:noProof/>
            <w:sz w:val="22"/>
            <w:szCs w:val="22"/>
            <w:lang w:eastAsia="en-GB"/>
          </w:rPr>
          <w:tab/>
        </w:r>
        <w:r w:rsidR="00EF4B3C" w:rsidRPr="00930078">
          <w:rPr>
            <w:rStyle w:val="Hyperlink"/>
            <w:noProof/>
          </w:rPr>
          <w:t>Indirect Validation</w:t>
        </w:r>
        <w:r w:rsidR="00EF4B3C">
          <w:rPr>
            <w:noProof/>
            <w:webHidden/>
          </w:rPr>
          <w:tab/>
        </w:r>
        <w:r w:rsidR="00EF4B3C">
          <w:rPr>
            <w:noProof/>
            <w:webHidden/>
          </w:rPr>
          <w:fldChar w:fldCharType="begin"/>
        </w:r>
        <w:r w:rsidR="00EF4B3C">
          <w:rPr>
            <w:noProof/>
            <w:webHidden/>
          </w:rPr>
          <w:instrText xml:space="preserve"> PAGEREF _Toc43388055 \h </w:instrText>
        </w:r>
        <w:r w:rsidR="00EF4B3C">
          <w:rPr>
            <w:noProof/>
            <w:webHidden/>
          </w:rPr>
        </w:r>
        <w:r w:rsidR="00EF4B3C">
          <w:rPr>
            <w:noProof/>
            <w:webHidden/>
          </w:rPr>
          <w:fldChar w:fldCharType="separate"/>
        </w:r>
        <w:r w:rsidR="00EF4B3C">
          <w:rPr>
            <w:noProof/>
            <w:webHidden/>
          </w:rPr>
          <w:t>16</w:t>
        </w:r>
        <w:r w:rsidR="00EF4B3C">
          <w:rPr>
            <w:noProof/>
            <w:webHidden/>
          </w:rPr>
          <w:fldChar w:fldCharType="end"/>
        </w:r>
      </w:hyperlink>
    </w:p>
    <w:p w14:paraId="6948009F" w14:textId="4DA8B7AF"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6" w:history="1">
        <w:r w:rsidR="00EF4B3C" w:rsidRPr="00930078">
          <w:rPr>
            <w:rStyle w:val="Hyperlink"/>
            <w:noProof/>
          </w:rPr>
          <w:t>3.1.4</w:t>
        </w:r>
        <w:r w:rsidR="00EF4B3C">
          <w:rPr>
            <w:rFonts w:eastAsiaTheme="minorEastAsia"/>
            <w:i w:val="0"/>
            <w:iCs w:val="0"/>
            <w:noProof/>
            <w:sz w:val="22"/>
            <w:szCs w:val="22"/>
            <w:lang w:eastAsia="en-GB"/>
          </w:rPr>
          <w:tab/>
        </w:r>
        <w:r w:rsidR="00EF4B3C" w:rsidRPr="00930078">
          <w:rPr>
            <w:rStyle w:val="Hyperlink"/>
            <w:noProof/>
          </w:rPr>
          <w:t>Indirect Validation: Networks and Projects</w:t>
        </w:r>
        <w:r w:rsidR="00EF4B3C">
          <w:rPr>
            <w:noProof/>
            <w:webHidden/>
          </w:rPr>
          <w:tab/>
        </w:r>
        <w:r w:rsidR="00EF4B3C">
          <w:rPr>
            <w:noProof/>
            <w:webHidden/>
          </w:rPr>
          <w:fldChar w:fldCharType="begin"/>
        </w:r>
        <w:r w:rsidR="00EF4B3C">
          <w:rPr>
            <w:noProof/>
            <w:webHidden/>
          </w:rPr>
          <w:instrText xml:space="preserve"> PAGEREF _Toc43388056 \h </w:instrText>
        </w:r>
        <w:r w:rsidR="00EF4B3C">
          <w:rPr>
            <w:noProof/>
            <w:webHidden/>
          </w:rPr>
        </w:r>
        <w:r w:rsidR="00EF4B3C">
          <w:rPr>
            <w:noProof/>
            <w:webHidden/>
          </w:rPr>
          <w:fldChar w:fldCharType="separate"/>
        </w:r>
        <w:r w:rsidR="00EF4B3C">
          <w:rPr>
            <w:noProof/>
            <w:webHidden/>
          </w:rPr>
          <w:t>16</w:t>
        </w:r>
        <w:r w:rsidR="00EF4B3C">
          <w:rPr>
            <w:noProof/>
            <w:webHidden/>
          </w:rPr>
          <w:fldChar w:fldCharType="end"/>
        </w:r>
      </w:hyperlink>
    </w:p>
    <w:p w14:paraId="0A4CC342" w14:textId="00B638E6" w:rsidR="00EF4B3C" w:rsidRDefault="000306CA">
      <w:pPr>
        <w:pStyle w:val="TOC2"/>
        <w:tabs>
          <w:tab w:val="left" w:pos="880"/>
          <w:tab w:val="right" w:leader="dot" w:pos="9016"/>
        </w:tabs>
        <w:rPr>
          <w:rFonts w:eastAsiaTheme="minorEastAsia"/>
          <w:smallCaps w:val="0"/>
          <w:noProof/>
          <w:sz w:val="22"/>
          <w:szCs w:val="22"/>
          <w:lang w:eastAsia="en-GB"/>
        </w:rPr>
      </w:pPr>
      <w:hyperlink w:anchor="_Toc43388057" w:history="1">
        <w:r w:rsidR="00EF4B3C" w:rsidRPr="00930078">
          <w:rPr>
            <w:rStyle w:val="Hyperlink"/>
            <w:noProof/>
          </w:rPr>
          <w:t>3.2</w:t>
        </w:r>
        <w:r w:rsidR="00EF4B3C">
          <w:rPr>
            <w:rFonts w:eastAsiaTheme="minorEastAsia"/>
            <w:smallCaps w:val="0"/>
            <w:noProof/>
            <w:sz w:val="22"/>
            <w:szCs w:val="22"/>
            <w:lang w:eastAsia="en-GB"/>
          </w:rPr>
          <w:tab/>
        </w:r>
        <w:r w:rsidR="00EF4B3C" w:rsidRPr="00930078">
          <w:rPr>
            <w:rStyle w:val="Hyperlink"/>
            <w:noProof/>
          </w:rPr>
          <w:t>Review of Current Direct Validation Methodology</w:t>
        </w:r>
        <w:r w:rsidR="00EF4B3C">
          <w:rPr>
            <w:noProof/>
            <w:webHidden/>
          </w:rPr>
          <w:tab/>
        </w:r>
        <w:r w:rsidR="00EF4B3C">
          <w:rPr>
            <w:noProof/>
            <w:webHidden/>
          </w:rPr>
          <w:fldChar w:fldCharType="begin"/>
        </w:r>
        <w:r w:rsidR="00EF4B3C">
          <w:rPr>
            <w:noProof/>
            <w:webHidden/>
          </w:rPr>
          <w:instrText xml:space="preserve"> PAGEREF _Toc43388057 \h </w:instrText>
        </w:r>
        <w:r w:rsidR="00EF4B3C">
          <w:rPr>
            <w:noProof/>
            <w:webHidden/>
          </w:rPr>
        </w:r>
        <w:r w:rsidR="00EF4B3C">
          <w:rPr>
            <w:noProof/>
            <w:webHidden/>
          </w:rPr>
          <w:fldChar w:fldCharType="separate"/>
        </w:r>
        <w:r w:rsidR="00EF4B3C">
          <w:rPr>
            <w:noProof/>
            <w:webHidden/>
          </w:rPr>
          <w:t>18</w:t>
        </w:r>
        <w:r w:rsidR="00EF4B3C">
          <w:rPr>
            <w:noProof/>
            <w:webHidden/>
          </w:rPr>
          <w:fldChar w:fldCharType="end"/>
        </w:r>
      </w:hyperlink>
    </w:p>
    <w:p w14:paraId="3DEB793E" w14:textId="1D62F99E"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8" w:history="1">
        <w:r w:rsidR="00EF4B3C" w:rsidRPr="00930078">
          <w:rPr>
            <w:rStyle w:val="Hyperlink"/>
            <w:noProof/>
          </w:rPr>
          <w:t>3.2.1</w:t>
        </w:r>
        <w:r w:rsidR="00EF4B3C">
          <w:rPr>
            <w:rFonts w:eastAsiaTheme="minorEastAsia"/>
            <w:i w:val="0"/>
            <w:iCs w:val="0"/>
            <w:noProof/>
            <w:sz w:val="22"/>
            <w:szCs w:val="22"/>
            <w:lang w:eastAsia="en-GB"/>
          </w:rPr>
          <w:tab/>
        </w:r>
        <w:r w:rsidR="00EF4B3C" w:rsidRPr="00930078">
          <w:rPr>
            <w:rStyle w:val="Hyperlink"/>
            <w:noProof/>
          </w:rPr>
          <w:t>Site Characteristics</w:t>
        </w:r>
        <w:r w:rsidR="00EF4B3C">
          <w:rPr>
            <w:noProof/>
            <w:webHidden/>
          </w:rPr>
          <w:tab/>
        </w:r>
        <w:r w:rsidR="00EF4B3C">
          <w:rPr>
            <w:noProof/>
            <w:webHidden/>
          </w:rPr>
          <w:fldChar w:fldCharType="begin"/>
        </w:r>
        <w:r w:rsidR="00EF4B3C">
          <w:rPr>
            <w:noProof/>
            <w:webHidden/>
          </w:rPr>
          <w:instrText xml:space="preserve"> PAGEREF _Toc43388058 \h </w:instrText>
        </w:r>
        <w:r w:rsidR="00EF4B3C">
          <w:rPr>
            <w:noProof/>
            <w:webHidden/>
          </w:rPr>
        </w:r>
        <w:r w:rsidR="00EF4B3C">
          <w:rPr>
            <w:noProof/>
            <w:webHidden/>
          </w:rPr>
          <w:fldChar w:fldCharType="separate"/>
        </w:r>
        <w:r w:rsidR="00EF4B3C">
          <w:rPr>
            <w:noProof/>
            <w:webHidden/>
          </w:rPr>
          <w:t>18</w:t>
        </w:r>
        <w:r w:rsidR="00EF4B3C">
          <w:rPr>
            <w:noProof/>
            <w:webHidden/>
          </w:rPr>
          <w:fldChar w:fldCharType="end"/>
        </w:r>
      </w:hyperlink>
    </w:p>
    <w:p w14:paraId="0D971731" w14:textId="0CEA0845"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59" w:history="1">
        <w:r w:rsidR="00EF4B3C" w:rsidRPr="00930078">
          <w:rPr>
            <w:rStyle w:val="Hyperlink"/>
            <w:noProof/>
          </w:rPr>
          <w:t>3.2.2</w:t>
        </w:r>
        <w:r w:rsidR="00EF4B3C">
          <w:rPr>
            <w:rFonts w:eastAsiaTheme="minorEastAsia"/>
            <w:i w:val="0"/>
            <w:iCs w:val="0"/>
            <w:noProof/>
            <w:sz w:val="22"/>
            <w:szCs w:val="22"/>
            <w:lang w:eastAsia="en-GB"/>
          </w:rPr>
          <w:tab/>
        </w:r>
        <w:r w:rsidR="00EF4B3C" w:rsidRPr="00930078">
          <w:rPr>
            <w:rStyle w:val="Hyperlink"/>
            <w:noProof/>
          </w:rPr>
          <w:t>Site Sampling Strategy</w:t>
        </w:r>
        <w:r w:rsidR="00EF4B3C">
          <w:rPr>
            <w:noProof/>
            <w:webHidden/>
          </w:rPr>
          <w:tab/>
        </w:r>
        <w:r w:rsidR="00EF4B3C">
          <w:rPr>
            <w:noProof/>
            <w:webHidden/>
          </w:rPr>
          <w:fldChar w:fldCharType="begin"/>
        </w:r>
        <w:r w:rsidR="00EF4B3C">
          <w:rPr>
            <w:noProof/>
            <w:webHidden/>
          </w:rPr>
          <w:instrText xml:space="preserve"> PAGEREF _Toc43388059 \h </w:instrText>
        </w:r>
        <w:r w:rsidR="00EF4B3C">
          <w:rPr>
            <w:noProof/>
            <w:webHidden/>
          </w:rPr>
        </w:r>
        <w:r w:rsidR="00EF4B3C">
          <w:rPr>
            <w:noProof/>
            <w:webHidden/>
          </w:rPr>
          <w:fldChar w:fldCharType="separate"/>
        </w:r>
        <w:r w:rsidR="00EF4B3C">
          <w:rPr>
            <w:noProof/>
            <w:webHidden/>
          </w:rPr>
          <w:t>19</w:t>
        </w:r>
        <w:r w:rsidR="00EF4B3C">
          <w:rPr>
            <w:noProof/>
            <w:webHidden/>
          </w:rPr>
          <w:fldChar w:fldCharType="end"/>
        </w:r>
      </w:hyperlink>
    </w:p>
    <w:p w14:paraId="78617A34" w14:textId="124F8C09"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60" w:history="1">
        <w:r w:rsidR="00EF4B3C" w:rsidRPr="00930078">
          <w:rPr>
            <w:rStyle w:val="Hyperlink"/>
            <w:noProof/>
          </w:rPr>
          <w:t>3.2.3</w:t>
        </w:r>
        <w:r w:rsidR="00EF4B3C">
          <w:rPr>
            <w:rFonts w:eastAsiaTheme="minorEastAsia"/>
            <w:i w:val="0"/>
            <w:iCs w:val="0"/>
            <w:noProof/>
            <w:sz w:val="22"/>
            <w:szCs w:val="22"/>
            <w:lang w:eastAsia="en-GB"/>
          </w:rPr>
          <w:tab/>
        </w:r>
        <w:r w:rsidR="00EF4B3C" w:rsidRPr="00930078">
          <w:rPr>
            <w:rStyle w:val="Hyperlink"/>
            <w:noProof/>
          </w:rPr>
          <w:t>ESU Sampling Strategy</w:t>
        </w:r>
        <w:r w:rsidR="00EF4B3C">
          <w:rPr>
            <w:noProof/>
            <w:webHidden/>
          </w:rPr>
          <w:tab/>
        </w:r>
        <w:r w:rsidR="00EF4B3C">
          <w:rPr>
            <w:noProof/>
            <w:webHidden/>
          </w:rPr>
          <w:fldChar w:fldCharType="begin"/>
        </w:r>
        <w:r w:rsidR="00EF4B3C">
          <w:rPr>
            <w:noProof/>
            <w:webHidden/>
          </w:rPr>
          <w:instrText xml:space="preserve"> PAGEREF _Toc43388060 \h </w:instrText>
        </w:r>
        <w:r w:rsidR="00EF4B3C">
          <w:rPr>
            <w:noProof/>
            <w:webHidden/>
          </w:rPr>
        </w:r>
        <w:r w:rsidR="00EF4B3C">
          <w:rPr>
            <w:noProof/>
            <w:webHidden/>
          </w:rPr>
          <w:fldChar w:fldCharType="separate"/>
        </w:r>
        <w:r w:rsidR="00EF4B3C">
          <w:rPr>
            <w:noProof/>
            <w:webHidden/>
          </w:rPr>
          <w:t>20</w:t>
        </w:r>
        <w:r w:rsidR="00EF4B3C">
          <w:rPr>
            <w:noProof/>
            <w:webHidden/>
          </w:rPr>
          <w:fldChar w:fldCharType="end"/>
        </w:r>
      </w:hyperlink>
    </w:p>
    <w:p w14:paraId="4E9A2110" w14:textId="1B3F7DA3"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61" w:history="1">
        <w:r w:rsidR="00EF4B3C" w:rsidRPr="00930078">
          <w:rPr>
            <w:rStyle w:val="Hyperlink"/>
            <w:noProof/>
          </w:rPr>
          <w:t>3.2.4</w:t>
        </w:r>
        <w:r w:rsidR="00EF4B3C">
          <w:rPr>
            <w:rFonts w:eastAsiaTheme="minorEastAsia"/>
            <w:i w:val="0"/>
            <w:iCs w:val="0"/>
            <w:noProof/>
            <w:sz w:val="22"/>
            <w:szCs w:val="22"/>
            <w:lang w:eastAsia="en-GB"/>
          </w:rPr>
          <w:tab/>
        </w:r>
        <w:r w:rsidR="00EF4B3C" w:rsidRPr="00930078">
          <w:rPr>
            <w:rStyle w:val="Hyperlink"/>
            <w:noProof/>
          </w:rPr>
          <w:t>Upscaling Method</w:t>
        </w:r>
        <w:r w:rsidR="00EF4B3C">
          <w:rPr>
            <w:noProof/>
            <w:webHidden/>
          </w:rPr>
          <w:tab/>
        </w:r>
        <w:r w:rsidR="00EF4B3C">
          <w:rPr>
            <w:noProof/>
            <w:webHidden/>
          </w:rPr>
          <w:fldChar w:fldCharType="begin"/>
        </w:r>
        <w:r w:rsidR="00EF4B3C">
          <w:rPr>
            <w:noProof/>
            <w:webHidden/>
          </w:rPr>
          <w:instrText xml:space="preserve"> PAGEREF _Toc43388061 \h </w:instrText>
        </w:r>
        <w:r w:rsidR="00EF4B3C">
          <w:rPr>
            <w:noProof/>
            <w:webHidden/>
          </w:rPr>
        </w:r>
        <w:r w:rsidR="00EF4B3C">
          <w:rPr>
            <w:noProof/>
            <w:webHidden/>
          </w:rPr>
          <w:fldChar w:fldCharType="separate"/>
        </w:r>
        <w:r w:rsidR="00EF4B3C">
          <w:rPr>
            <w:noProof/>
            <w:webHidden/>
          </w:rPr>
          <w:t>21</w:t>
        </w:r>
        <w:r w:rsidR="00EF4B3C">
          <w:rPr>
            <w:noProof/>
            <w:webHidden/>
          </w:rPr>
          <w:fldChar w:fldCharType="end"/>
        </w:r>
      </w:hyperlink>
    </w:p>
    <w:p w14:paraId="09F34C8A" w14:textId="3413D5D6"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62" w:history="1">
        <w:r w:rsidR="00EF4B3C" w:rsidRPr="00930078">
          <w:rPr>
            <w:rStyle w:val="Hyperlink"/>
            <w:noProof/>
          </w:rPr>
          <w:t>3.2.5</w:t>
        </w:r>
        <w:r w:rsidR="00EF4B3C">
          <w:rPr>
            <w:rFonts w:eastAsiaTheme="minorEastAsia"/>
            <w:i w:val="0"/>
            <w:iCs w:val="0"/>
            <w:noProof/>
            <w:sz w:val="22"/>
            <w:szCs w:val="22"/>
            <w:lang w:eastAsia="en-GB"/>
          </w:rPr>
          <w:tab/>
        </w:r>
        <w:r w:rsidR="00EF4B3C" w:rsidRPr="00930078">
          <w:rPr>
            <w:rStyle w:val="Hyperlink"/>
            <w:noProof/>
          </w:rPr>
          <w:t>Convex Hulls</w:t>
        </w:r>
        <w:r w:rsidR="00EF4B3C">
          <w:rPr>
            <w:noProof/>
            <w:webHidden/>
          </w:rPr>
          <w:tab/>
        </w:r>
        <w:r w:rsidR="00EF4B3C">
          <w:rPr>
            <w:noProof/>
            <w:webHidden/>
          </w:rPr>
          <w:fldChar w:fldCharType="begin"/>
        </w:r>
        <w:r w:rsidR="00EF4B3C">
          <w:rPr>
            <w:noProof/>
            <w:webHidden/>
          </w:rPr>
          <w:instrText xml:space="preserve"> PAGEREF _Toc43388062 \h </w:instrText>
        </w:r>
        <w:r w:rsidR="00EF4B3C">
          <w:rPr>
            <w:noProof/>
            <w:webHidden/>
          </w:rPr>
        </w:r>
        <w:r w:rsidR="00EF4B3C">
          <w:rPr>
            <w:noProof/>
            <w:webHidden/>
          </w:rPr>
          <w:fldChar w:fldCharType="separate"/>
        </w:r>
        <w:r w:rsidR="00EF4B3C">
          <w:rPr>
            <w:noProof/>
            <w:webHidden/>
          </w:rPr>
          <w:t>22</w:t>
        </w:r>
        <w:r w:rsidR="00EF4B3C">
          <w:rPr>
            <w:noProof/>
            <w:webHidden/>
          </w:rPr>
          <w:fldChar w:fldCharType="end"/>
        </w:r>
      </w:hyperlink>
    </w:p>
    <w:p w14:paraId="55CC08EC" w14:textId="274B82BE"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63" w:history="1">
        <w:r w:rsidR="00EF4B3C" w:rsidRPr="00930078">
          <w:rPr>
            <w:rStyle w:val="Hyperlink"/>
            <w:noProof/>
          </w:rPr>
          <w:t>3.2.6</w:t>
        </w:r>
        <w:r w:rsidR="00EF4B3C">
          <w:rPr>
            <w:rFonts w:eastAsiaTheme="minorEastAsia"/>
            <w:i w:val="0"/>
            <w:iCs w:val="0"/>
            <w:noProof/>
            <w:sz w:val="22"/>
            <w:szCs w:val="22"/>
            <w:lang w:eastAsia="en-GB"/>
          </w:rPr>
          <w:tab/>
        </w:r>
        <w:r w:rsidR="00EF4B3C" w:rsidRPr="00930078">
          <w:rPr>
            <w:rStyle w:val="Hyperlink"/>
            <w:noProof/>
          </w:rPr>
          <w:t>Aggregation Method</w:t>
        </w:r>
        <w:r w:rsidR="00EF4B3C">
          <w:rPr>
            <w:noProof/>
            <w:webHidden/>
          </w:rPr>
          <w:tab/>
        </w:r>
        <w:r w:rsidR="00EF4B3C">
          <w:rPr>
            <w:noProof/>
            <w:webHidden/>
          </w:rPr>
          <w:fldChar w:fldCharType="begin"/>
        </w:r>
        <w:r w:rsidR="00EF4B3C">
          <w:rPr>
            <w:noProof/>
            <w:webHidden/>
          </w:rPr>
          <w:instrText xml:space="preserve"> PAGEREF _Toc43388063 \h </w:instrText>
        </w:r>
        <w:r w:rsidR="00EF4B3C">
          <w:rPr>
            <w:noProof/>
            <w:webHidden/>
          </w:rPr>
        </w:r>
        <w:r w:rsidR="00EF4B3C">
          <w:rPr>
            <w:noProof/>
            <w:webHidden/>
          </w:rPr>
          <w:fldChar w:fldCharType="separate"/>
        </w:r>
        <w:r w:rsidR="00EF4B3C">
          <w:rPr>
            <w:noProof/>
            <w:webHidden/>
          </w:rPr>
          <w:t>23</w:t>
        </w:r>
        <w:r w:rsidR="00EF4B3C">
          <w:rPr>
            <w:noProof/>
            <w:webHidden/>
          </w:rPr>
          <w:fldChar w:fldCharType="end"/>
        </w:r>
      </w:hyperlink>
    </w:p>
    <w:p w14:paraId="0F7F27D2" w14:textId="18D5975B" w:rsidR="00EF4B3C" w:rsidRDefault="000306CA">
      <w:pPr>
        <w:pStyle w:val="TOC3"/>
        <w:tabs>
          <w:tab w:val="left" w:pos="1100"/>
          <w:tab w:val="right" w:leader="dot" w:pos="9016"/>
        </w:tabs>
        <w:rPr>
          <w:rFonts w:eastAsiaTheme="minorEastAsia"/>
          <w:i w:val="0"/>
          <w:iCs w:val="0"/>
          <w:noProof/>
          <w:sz w:val="22"/>
          <w:szCs w:val="22"/>
          <w:lang w:eastAsia="en-GB"/>
        </w:rPr>
      </w:pPr>
      <w:hyperlink w:anchor="_Toc43388064" w:history="1">
        <w:r w:rsidR="00EF4B3C" w:rsidRPr="00930078">
          <w:rPr>
            <w:rStyle w:val="Hyperlink"/>
            <w:noProof/>
          </w:rPr>
          <w:t>3.2.7</w:t>
        </w:r>
        <w:r w:rsidR="00EF4B3C">
          <w:rPr>
            <w:rFonts w:eastAsiaTheme="minorEastAsia"/>
            <w:i w:val="0"/>
            <w:iCs w:val="0"/>
            <w:noProof/>
            <w:sz w:val="22"/>
            <w:szCs w:val="22"/>
            <w:lang w:eastAsia="en-GB"/>
          </w:rPr>
          <w:tab/>
        </w:r>
        <w:r w:rsidR="00EF4B3C" w:rsidRPr="00930078">
          <w:rPr>
            <w:rStyle w:val="Hyperlink"/>
            <w:noProof/>
          </w:rPr>
          <w:t>Validation Metrics</w:t>
        </w:r>
        <w:r w:rsidR="00EF4B3C">
          <w:rPr>
            <w:noProof/>
            <w:webHidden/>
          </w:rPr>
          <w:tab/>
        </w:r>
        <w:r w:rsidR="00EF4B3C">
          <w:rPr>
            <w:noProof/>
            <w:webHidden/>
          </w:rPr>
          <w:fldChar w:fldCharType="begin"/>
        </w:r>
        <w:r w:rsidR="00EF4B3C">
          <w:rPr>
            <w:noProof/>
            <w:webHidden/>
          </w:rPr>
          <w:instrText xml:space="preserve"> PAGEREF _Toc43388064 \h </w:instrText>
        </w:r>
        <w:r w:rsidR="00EF4B3C">
          <w:rPr>
            <w:noProof/>
            <w:webHidden/>
          </w:rPr>
        </w:r>
        <w:r w:rsidR="00EF4B3C">
          <w:rPr>
            <w:noProof/>
            <w:webHidden/>
          </w:rPr>
          <w:fldChar w:fldCharType="separate"/>
        </w:r>
        <w:r w:rsidR="00EF4B3C">
          <w:rPr>
            <w:noProof/>
            <w:webHidden/>
          </w:rPr>
          <w:t>23</w:t>
        </w:r>
        <w:r w:rsidR="00EF4B3C">
          <w:rPr>
            <w:noProof/>
            <w:webHidden/>
          </w:rPr>
          <w:fldChar w:fldCharType="end"/>
        </w:r>
      </w:hyperlink>
    </w:p>
    <w:p w14:paraId="1C274DDA" w14:textId="1B74348A" w:rsidR="00EF4B3C" w:rsidRDefault="000306CA">
      <w:pPr>
        <w:pStyle w:val="TOC1"/>
        <w:tabs>
          <w:tab w:val="left" w:pos="440"/>
        </w:tabs>
        <w:rPr>
          <w:rFonts w:eastAsiaTheme="minorEastAsia"/>
          <w:b w:val="0"/>
          <w:bCs w:val="0"/>
          <w:caps w:val="0"/>
          <w:noProof/>
          <w:sz w:val="22"/>
          <w:szCs w:val="22"/>
          <w:lang w:eastAsia="en-GB"/>
        </w:rPr>
      </w:pPr>
      <w:hyperlink w:anchor="_Toc43388065" w:history="1">
        <w:r w:rsidR="00EF4B3C" w:rsidRPr="00930078">
          <w:rPr>
            <w:rStyle w:val="Hyperlink"/>
            <w:noProof/>
          </w:rPr>
          <w:t>4</w:t>
        </w:r>
        <w:r w:rsidR="00EF4B3C">
          <w:rPr>
            <w:rFonts w:eastAsiaTheme="minorEastAsia"/>
            <w:b w:val="0"/>
            <w:bCs w:val="0"/>
            <w:caps w:val="0"/>
            <w:noProof/>
            <w:sz w:val="22"/>
            <w:szCs w:val="22"/>
            <w:lang w:eastAsia="en-GB"/>
          </w:rPr>
          <w:tab/>
        </w:r>
        <w:r w:rsidR="00EF4B3C" w:rsidRPr="00930078">
          <w:rPr>
            <w:rStyle w:val="Hyperlink"/>
            <w:noProof/>
          </w:rPr>
          <w:t>Validation Status and Challenges</w:t>
        </w:r>
        <w:r w:rsidR="00EF4B3C">
          <w:rPr>
            <w:noProof/>
            <w:webHidden/>
          </w:rPr>
          <w:tab/>
        </w:r>
        <w:r w:rsidR="00EF4B3C">
          <w:rPr>
            <w:noProof/>
            <w:webHidden/>
          </w:rPr>
          <w:fldChar w:fldCharType="begin"/>
        </w:r>
        <w:r w:rsidR="00EF4B3C">
          <w:rPr>
            <w:noProof/>
            <w:webHidden/>
          </w:rPr>
          <w:instrText xml:space="preserve"> PAGEREF _Toc43388065 \h </w:instrText>
        </w:r>
        <w:r w:rsidR="00EF4B3C">
          <w:rPr>
            <w:noProof/>
            <w:webHidden/>
          </w:rPr>
        </w:r>
        <w:r w:rsidR="00EF4B3C">
          <w:rPr>
            <w:noProof/>
            <w:webHidden/>
          </w:rPr>
          <w:fldChar w:fldCharType="separate"/>
        </w:r>
        <w:r w:rsidR="00EF4B3C">
          <w:rPr>
            <w:noProof/>
            <w:webHidden/>
          </w:rPr>
          <w:t>25</w:t>
        </w:r>
        <w:r w:rsidR="00EF4B3C">
          <w:rPr>
            <w:noProof/>
            <w:webHidden/>
          </w:rPr>
          <w:fldChar w:fldCharType="end"/>
        </w:r>
      </w:hyperlink>
    </w:p>
    <w:p w14:paraId="2AE25E44" w14:textId="51CDE3CF" w:rsidR="00EF4B3C" w:rsidRDefault="000306CA">
      <w:pPr>
        <w:pStyle w:val="TOC2"/>
        <w:tabs>
          <w:tab w:val="left" w:pos="880"/>
          <w:tab w:val="right" w:leader="dot" w:pos="9016"/>
        </w:tabs>
        <w:rPr>
          <w:rFonts w:eastAsiaTheme="minorEastAsia"/>
          <w:smallCaps w:val="0"/>
          <w:noProof/>
          <w:sz w:val="22"/>
          <w:szCs w:val="22"/>
          <w:lang w:eastAsia="en-GB"/>
        </w:rPr>
      </w:pPr>
      <w:hyperlink w:anchor="_Toc43388066" w:history="1">
        <w:r w:rsidR="00EF4B3C" w:rsidRPr="00930078">
          <w:rPr>
            <w:rStyle w:val="Hyperlink"/>
            <w:noProof/>
          </w:rPr>
          <w:t>4.1</w:t>
        </w:r>
        <w:r w:rsidR="00EF4B3C">
          <w:rPr>
            <w:rFonts w:eastAsiaTheme="minorEastAsia"/>
            <w:smallCaps w:val="0"/>
            <w:noProof/>
            <w:sz w:val="22"/>
            <w:szCs w:val="22"/>
            <w:lang w:eastAsia="en-GB"/>
          </w:rPr>
          <w:tab/>
        </w:r>
        <w:r w:rsidR="00EF4B3C" w:rsidRPr="00930078">
          <w:rPr>
            <w:rStyle w:val="Hyperlink"/>
            <w:noProof/>
          </w:rPr>
          <w:t>Validation Status of Considered Products</w:t>
        </w:r>
        <w:r w:rsidR="00EF4B3C">
          <w:rPr>
            <w:noProof/>
            <w:webHidden/>
          </w:rPr>
          <w:tab/>
        </w:r>
        <w:r w:rsidR="00EF4B3C">
          <w:rPr>
            <w:noProof/>
            <w:webHidden/>
          </w:rPr>
          <w:fldChar w:fldCharType="begin"/>
        </w:r>
        <w:r w:rsidR="00EF4B3C">
          <w:rPr>
            <w:noProof/>
            <w:webHidden/>
          </w:rPr>
          <w:instrText xml:space="preserve"> PAGEREF _Toc43388066 \h </w:instrText>
        </w:r>
        <w:r w:rsidR="00EF4B3C">
          <w:rPr>
            <w:noProof/>
            <w:webHidden/>
          </w:rPr>
        </w:r>
        <w:r w:rsidR="00EF4B3C">
          <w:rPr>
            <w:noProof/>
            <w:webHidden/>
          </w:rPr>
          <w:fldChar w:fldCharType="separate"/>
        </w:r>
        <w:r w:rsidR="00EF4B3C">
          <w:rPr>
            <w:noProof/>
            <w:webHidden/>
          </w:rPr>
          <w:t>25</w:t>
        </w:r>
        <w:r w:rsidR="00EF4B3C">
          <w:rPr>
            <w:noProof/>
            <w:webHidden/>
          </w:rPr>
          <w:fldChar w:fldCharType="end"/>
        </w:r>
      </w:hyperlink>
    </w:p>
    <w:p w14:paraId="494727C6" w14:textId="74AF14BB" w:rsidR="00EF4B3C" w:rsidRDefault="000306CA">
      <w:pPr>
        <w:pStyle w:val="TOC2"/>
        <w:tabs>
          <w:tab w:val="left" w:pos="880"/>
          <w:tab w:val="right" w:leader="dot" w:pos="9016"/>
        </w:tabs>
        <w:rPr>
          <w:rFonts w:eastAsiaTheme="minorEastAsia"/>
          <w:smallCaps w:val="0"/>
          <w:noProof/>
          <w:sz w:val="22"/>
          <w:szCs w:val="22"/>
          <w:lang w:eastAsia="en-GB"/>
        </w:rPr>
      </w:pPr>
      <w:hyperlink w:anchor="_Toc43388067" w:history="1">
        <w:r w:rsidR="00EF4B3C" w:rsidRPr="00930078">
          <w:rPr>
            <w:rStyle w:val="Hyperlink"/>
            <w:noProof/>
          </w:rPr>
          <w:t>4.2</w:t>
        </w:r>
        <w:r w:rsidR="00EF4B3C">
          <w:rPr>
            <w:rFonts w:eastAsiaTheme="minorEastAsia"/>
            <w:smallCaps w:val="0"/>
            <w:noProof/>
            <w:sz w:val="22"/>
            <w:szCs w:val="22"/>
            <w:lang w:eastAsia="en-GB"/>
          </w:rPr>
          <w:tab/>
        </w:r>
        <w:r w:rsidR="00EF4B3C" w:rsidRPr="00930078">
          <w:rPr>
            <w:rStyle w:val="Hyperlink"/>
            <w:noProof/>
          </w:rPr>
          <w:t>Gaps and Challenges in Current Validation Protocols</w:t>
        </w:r>
        <w:r w:rsidR="00EF4B3C">
          <w:rPr>
            <w:noProof/>
            <w:webHidden/>
          </w:rPr>
          <w:tab/>
        </w:r>
        <w:r w:rsidR="00EF4B3C">
          <w:rPr>
            <w:noProof/>
            <w:webHidden/>
          </w:rPr>
          <w:fldChar w:fldCharType="begin"/>
        </w:r>
        <w:r w:rsidR="00EF4B3C">
          <w:rPr>
            <w:noProof/>
            <w:webHidden/>
          </w:rPr>
          <w:instrText xml:space="preserve"> PAGEREF _Toc43388067 \h </w:instrText>
        </w:r>
        <w:r w:rsidR="00EF4B3C">
          <w:rPr>
            <w:noProof/>
            <w:webHidden/>
          </w:rPr>
        </w:r>
        <w:r w:rsidR="00EF4B3C">
          <w:rPr>
            <w:noProof/>
            <w:webHidden/>
          </w:rPr>
          <w:fldChar w:fldCharType="separate"/>
        </w:r>
        <w:r w:rsidR="00EF4B3C">
          <w:rPr>
            <w:noProof/>
            <w:webHidden/>
          </w:rPr>
          <w:t>26</w:t>
        </w:r>
        <w:r w:rsidR="00EF4B3C">
          <w:rPr>
            <w:noProof/>
            <w:webHidden/>
          </w:rPr>
          <w:fldChar w:fldCharType="end"/>
        </w:r>
      </w:hyperlink>
    </w:p>
    <w:p w14:paraId="49CDC54C" w14:textId="0D30422A" w:rsidR="00EF4B3C" w:rsidRDefault="000306CA">
      <w:pPr>
        <w:pStyle w:val="TOC1"/>
        <w:tabs>
          <w:tab w:val="left" w:pos="440"/>
        </w:tabs>
        <w:rPr>
          <w:rFonts w:eastAsiaTheme="minorEastAsia"/>
          <w:b w:val="0"/>
          <w:bCs w:val="0"/>
          <w:caps w:val="0"/>
          <w:noProof/>
          <w:sz w:val="22"/>
          <w:szCs w:val="22"/>
          <w:lang w:eastAsia="en-GB"/>
        </w:rPr>
      </w:pPr>
      <w:hyperlink w:anchor="_Toc43388068" w:history="1">
        <w:r w:rsidR="00EF4B3C" w:rsidRPr="00930078">
          <w:rPr>
            <w:rStyle w:val="Hyperlink"/>
            <w:noProof/>
          </w:rPr>
          <w:t>5</w:t>
        </w:r>
        <w:r w:rsidR="00EF4B3C">
          <w:rPr>
            <w:rFonts w:eastAsiaTheme="minorEastAsia"/>
            <w:b w:val="0"/>
            <w:bCs w:val="0"/>
            <w:caps w:val="0"/>
            <w:noProof/>
            <w:sz w:val="22"/>
            <w:szCs w:val="22"/>
            <w:lang w:eastAsia="en-GB"/>
          </w:rPr>
          <w:tab/>
        </w:r>
        <w:r w:rsidR="00EF4B3C" w:rsidRPr="00930078">
          <w:rPr>
            <w:rStyle w:val="Hyperlink"/>
            <w:noProof/>
          </w:rPr>
          <w:t>Recommended Validation Strategy</w:t>
        </w:r>
        <w:r w:rsidR="00EF4B3C">
          <w:rPr>
            <w:noProof/>
            <w:webHidden/>
          </w:rPr>
          <w:tab/>
        </w:r>
        <w:r w:rsidR="00EF4B3C">
          <w:rPr>
            <w:noProof/>
            <w:webHidden/>
          </w:rPr>
          <w:fldChar w:fldCharType="begin"/>
        </w:r>
        <w:r w:rsidR="00EF4B3C">
          <w:rPr>
            <w:noProof/>
            <w:webHidden/>
          </w:rPr>
          <w:instrText xml:space="preserve"> PAGEREF _Toc43388068 \h </w:instrText>
        </w:r>
        <w:r w:rsidR="00EF4B3C">
          <w:rPr>
            <w:noProof/>
            <w:webHidden/>
          </w:rPr>
        </w:r>
        <w:r w:rsidR="00EF4B3C">
          <w:rPr>
            <w:noProof/>
            <w:webHidden/>
          </w:rPr>
          <w:fldChar w:fldCharType="separate"/>
        </w:r>
        <w:r w:rsidR="00EF4B3C">
          <w:rPr>
            <w:noProof/>
            <w:webHidden/>
          </w:rPr>
          <w:t>27</w:t>
        </w:r>
        <w:r w:rsidR="00EF4B3C">
          <w:rPr>
            <w:noProof/>
            <w:webHidden/>
          </w:rPr>
          <w:fldChar w:fldCharType="end"/>
        </w:r>
      </w:hyperlink>
    </w:p>
    <w:p w14:paraId="7616E3CD" w14:textId="1743C92A" w:rsidR="00EF4B3C" w:rsidRDefault="000306CA">
      <w:pPr>
        <w:pStyle w:val="TOC2"/>
        <w:tabs>
          <w:tab w:val="left" w:pos="880"/>
          <w:tab w:val="right" w:leader="dot" w:pos="9016"/>
        </w:tabs>
        <w:rPr>
          <w:rFonts w:eastAsiaTheme="minorEastAsia"/>
          <w:smallCaps w:val="0"/>
          <w:noProof/>
          <w:sz w:val="22"/>
          <w:szCs w:val="22"/>
          <w:lang w:eastAsia="en-GB"/>
        </w:rPr>
      </w:pPr>
      <w:hyperlink w:anchor="_Toc43388069" w:history="1">
        <w:r w:rsidR="00EF4B3C" w:rsidRPr="00930078">
          <w:rPr>
            <w:rStyle w:val="Hyperlink"/>
            <w:noProof/>
          </w:rPr>
          <w:t>5.1</w:t>
        </w:r>
        <w:r w:rsidR="00EF4B3C">
          <w:rPr>
            <w:rFonts w:eastAsiaTheme="minorEastAsia"/>
            <w:smallCaps w:val="0"/>
            <w:noProof/>
            <w:sz w:val="22"/>
            <w:szCs w:val="22"/>
            <w:lang w:eastAsia="en-GB"/>
          </w:rPr>
          <w:tab/>
        </w:r>
        <w:r w:rsidR="00EF4B3C" w:rsidRPr="00930078">
          <w:rPr>
            <w:rStyle w:val="Hyperlink"/>
            <w:noProof/>
          </w:rPr>
          <w:t>Sampling Strategy</w:t>
        </w:r>
        <w:r w:rsidR="00EF4B3C">
          <w:rPr>
            <w:noProof/>
            <w:webHidden/>
          </w:rPr>
          <w:tab/>
        </w:r>
        <w:r w:rsidR="00EF4B3C">
          <w:rPr>
            <w:noProof/>
            <w:webHidden/>
          </w:rPr>
          <w:fldChar w:fldCharType="begin"/>
        </w:r>
        <w:r w:rsidR="00EF4B3C">
          <w:rPr>
            <w:noProof/>
            <w:webHidden/>
          </w:rPr>
          <w:instrText xml:space="preserve"> PAGEREF _Toc43388069 \h </w:instrText>
        </w:r>
        <w:r w:rsidR="00EF4B3C">
          <w:rPr>
            <w:noProof/>
            <w:webHidden/>
          </w:rPr>
        </w:r>
        <w:r w:rsidR="00EF4B3C">
          <w:rPr>
            <w:noProof/>
            <w:webHidden/>
          </w:rPr>
          <w:fldChar w:fldCharType="separate"/>
        </w:r>
        <w:r w:rsidR="00EF4B3C">
          <w:rPr>
            <w:noProof/>
            <w:webHidden/>
          </w:rPr>
          <w:t>27</w:t>
        </w:r>
        <w:r w:rsidR="00EF4B3C">
          <w:rPr>
            <w:noProof/>
            <w:webHidden/>
          </w:rPr>
          <w:fldChar w:fldCharType="end"/>
        </w:r>
      </w:hyperlink>
    </w:p>
    <w:p w14:paraId="672E1E97" w14:textId="36744CB4" w:rsidR="00EF4B3C" w:rsidRDefault="000306CA">
      <w:pPr>
        <w:pStyle w:val="TOC2"/>
        <w:tabs>
          <w:tab w:val="left" w:pos="880"/>
          <w:tab w:val="right" w:leader="dot" w:pos="9016"/>
        </w:tabs>
        <w:rPr>
          <w:rFonts w:eastAsiaTheme="minorEastAsia"/>
          <w:smallCaps w:val="0"/>
          <w:noProof/>
          <w:sz w:val="22"/>
          <w:szCs w:val="22"/>
          <w:lang w:eastAsia="en-GB"/>
        </w:rPr>
      </w:pPr>
      <w:hyperlink w:anchor="_Toc43388070" w:history="1">
        <w:r w:rsidR="00EF4B3C" w:rsidRPr="00930078">
          <w:rPr>
            <w:rStyle w:val="Hyperlink"/>
            <w:noProof/>
          </w:rPr>
          <w:t>5.2</w:t>
        </w:r>
        <w:r w:rsidR="00EF4B3C">
          <w:rPr>
            <w:rFonts w:eastAsiaTheme="minorEastAsia"/>
            <w:smallCaps w:val="0"/>
            <w:noProof/>
            <w:sz w:val="22"/>
            <w:szCs w:val="22"/>
            <w:lang w:eastAsia="en-GB"/>
          </w:rPr>
          <w:tab/>
        </w:r>
        <w:r w:rsidR="00EF4B3C" w:rsidRPr="00930078">
          <w:rPr>
            <w:rStyle w:val="Hyperlink"/>
            <w:noProof/>
          </w:rPr>
          <w:t>Quality Control</w:t>
        </w:r>
        <w:r w:rsidR="00EF4B3C">
          <w:rPr>
            <w:noProof/>
            <w:webHidden/>
          </w:rPr>
          <w:tab/>
        </w:r>
        <w:r w:rsidR="00EF4B3C">
          <w:rPr>
            <w:noProof/>
            <w:webHidden/>
          </w:rPr>
          <w:fldChar w:fldCharType="begin"/>
        </w:r>
        <w:r w:rsidR="00EF4B3C">
          <w:rPr>
            <w:noProof/>
            <w:webHidden/>
          </w:rPr>
          <w:instrText xml:space="preserve"> PAGEREF _Toc43388070 \h </w:instrText>
        </w:r>
        <w:r w:rsidR="00EF4B3C">
          <w:rPr>
            <w:noProof/>
            <w:webHidden/>
          </w:rPr>
        </w:r>
        <w:r w:rsidR="00EF4B3C">
          <w:rPr>
            <w:noProof/>
            <w:webHidden/>
          </w:rPr>
          <w:fldChar w:fldCharType="separate"/>
        </w:r>
        <w:r w:rsidR="00EF4B3C">
          <w:rPr>
            <w:noProof/>
            <w:webHidden/>
          </w:rPr>
          <w:t>27</w:t>
        </w:r>
        <w:r w:rsidR="00EF4B3C">
          <w:rPr>
            <w:noProof/>
            <w:webHidden/>
          </w:rPr>
          <w:fldChar w:fldCharType="end"/>
        </w:r>
      </w:hyperlink>
    </w:p>
    <w:p w14:paraId="6F586F14" w14:textId="7800AD81" w:rsidR="00EF4B3C" w:rsidRDefault="000306CA">
      <w:pPr>
        <w:pStyle w:val="TOC2"/>
        <w:tabs>
          <w:tab w:val="left" w:pos="880"/>
          <w:tab w:val="right" w:leader="dot" w:pos="9016"/>
        </w:tabs>
        <w:rPr>
          <w:rFonts w:eastAsiaTheme="minorEastAsia"/>
          <w:smallCaps w:val="0"/>
          <w:noProof/>
          <w:sz w:val="22"/>
          <w:szCs w:val="22"/>
          <w:lang w:eastAsia="en-GB"/>
        </w:rPr>
      </w:pPr>
      <w:hyperlink w:anchor="_Toc43388071" w:history="1">
        <w:r w:rsidR="00EF4B3C" w:rsidRPr="00930078">
          <w:rPr>
            <w:rStyle w:val="Hyperlink"/>
            <w:noProof/>
          </w:rPr>
          <w:t>5.3</w:t>
        </w:r>
        <w:r w:rsidR="00EF4B3C">
          <w:rPr>
            <w:rFonts w:eastAsiaTheme="minorEastAsia"/>
            <w:smallCaps w:val="0"/>
            <w:noProof/>
            <w:sz w:val="22"/>
            <w:szCs w:val="22"/>
            <w:lang w:eastAsia="en-GB"/>
          </w:rPr>
          <w:tab/>
        </w:r>
        <w:r w:rsidR="00EF4B3C" w:rsidRPr="00930078">
          <w:rPr>
            <w:rStyle w:val="Hyperlink"/>
            <w:noProof/>
          </w:rPr>
          <w:t>Upscaling Approach</w:t>
        </w:r>
        <w:r w:rsidR="00EF4B3C">
          <w:rPr>
            <w:noProof/>
            <w:webHidden/>
          </w:rPr>
          <w:tab/>
        </w:r>
        <w:r w:rsidR="00EF4B3C">
          <w:rPr>
            <w:noProof/>
            <w:webHidden/>
          </w:rPr>
          <w:fldChar w:fldCharType="begin"/>
        </w:r>
        <w:r w:rsidR="00EF4B3C">
          <w:rPr>
            <w:noProof/>
            <w:webHidden/>
          </w:rPr>
          <w:instrText xml:space="preserve"> PAGEREF _Toc43388071 \h </w:instrText>
        </w:r>
        <w:r w:rsidR="00EF4B3C">
          <w:rPr>
            <w:noProof/>
            <w:webHidden/>
          </w:rPr>
        </w:r>
        <w:r w:rsidR="00EF4B3C">
          <w:rPr>
            <w:noProof/>
            <w:webHidden/>
          </w:rPr>
          <w:fldChar w:fldCharType="separate"/>
        </w:r>
        <w:r w:rsidR="00EF4B3C">
          <w:rPr>
            <w:noProof/>
            <w:webHidden/>
          </w:rPr>
          <w:t>28</w:t>
        </w:r>
        <w:r w:rsidR="00EF4B3C">
          <w:rPr>
            <w:noProof/>
            <w:webHidden/>
          </w:rPr>
          <w:fldChar w:fldCharType="end"/>
        </w:r>
      </w:hyperlink>
    </w:p>
    <w:p w14:paraId="2EAA4582" w14:textId="69CE0057" w:rsidR="00EF4B3C" w:rsidRDefault="000306CA">
      <w:pPr>
        <w:pStyle w:val="TOC2"/>
        <w:tabs>
          <w:tab w:val="left" w:pos="880"/>
          <w:tab w:val="right" w:leader="dot" w:pos="9016"/>
        </w:tabs>
        <w:rPr>
          <w:rFonts w:eastAsiaTheme="minorEastAsia"/>
          <w:smallCaps w:val="0"/>
          <w:noProof/>
          <w:sz w:val="22"/>
          <w:szCs w:val="22"/>
          <w:lang w:eastAsia="en-GB"/>
        </w:rPr>
      </w:pPr>
      <w:hyperlink w:anchor="_Toc43388072" w:history="1">
        <w:r w:rsidR="00EF4B3C" w:rsidRPr="00930078">
          <w:rPr>
            <w:rStyle w:val="Hyperlink"/>
            <w:noProof/>
          </w:rPr>
          <w:t>5.4</w:t>
        </w:r>
        <w:r w:rsidR="00EF4B3C">
          <w:rPr>
            <w:rFonts w:eastAsiaTheme="minorEastAsia"/>
            <w:smallCaps w:val="0"/>
            <w:noProof/>
            <w:sz w:val="22"/>
            <w:szCs w:val="22"/>
            <w:lang w:eastAsia="en-GB"/>
          </w:rPr>
          <w:tab/>
        </w:r>
        <w:r w:rsidR="00EF4B3C" w:rsidRPr="00930078">
          <w:rPr>
            <w:rStyle w:val="Hyperlink"/>
            <w:noProof/>
          </w:rPr>
          <w:t>High Spatial Resolution Imagery</w:t>
        </w:r>
        <w:r w:rsidR="00EF4B3C">
          <w:rPr>
            <w:noProof/>
            <w:webHidden/>
          </w:rPr>
          <w:tab/>
        </w:r>
        <w:r w:rsidR="00EF4B3C">
          <w:rPr>
            <w:noProof/>
            <w:webHidden/>
          </w:rPr>
          <w:fldChar w:fldCharType="begin"/>
        </w:r>
        <w:r w:rsidR="00EF4B3C">
          <w:rPr>
            <w:noProof/>
            <w:webHidden/>
          </w:rPr>
          <w:instrText xml:space="preserve"> PAGEREF _Toc43388072 \h </w:instrText>
        </w:r>
        <w:r w:rsidR="00EF4B3C">
          <w:rPr>
            <w:noProof/>
            <w:webHidden/>
          </w:rPr>
        </w:r>
        <w:r w:rsidR="00EF4B3C">
          <w:rPr>
            <w:noProof/>
            <w:webHidden/>
          </w:rPr>
          <w:fldChar w:fldCharType="separate"/>
        </w:r>
        <w:r w:rsidR="00EF4B3C">
          <w:rPr>
            <w:noProof/>
            <w:webHidden/>
          </w:rPr>
          <w:t>28</w:t>
        </w:r>
        <w:r w:rsidR="00EF4B3C">
          <w:rPr>
            <w:noProof/>
            <w:webHidden/>
          </w:rPr>
          <w:fldChar w:fldCharType="end"/>
        </w:r>
      </w:hyperlink>
    </w:p>
    <w:p w14:paraId="55394DCA" w14:textId="49B927CF" w:rsidR="00EF4B3C" w:rsidRDefault="000306CA">
      <w:pPr>
        <w:pStyle w:val="TOC2"/>
        <w:tabs>
          <w:tab w:val="left" w:pos="880"/>
          <w:tab w:val="right" w:leader="dot" w:pos="9016"/>
        </w:tabs>
        <w:rPr>
          <w:rFonts w:eastAsiaTheme="minorEastAsia"/>
          <w:smallCaps w:val="0"/>
          <w:noProof/>
          <w:sz w:val="22"/>
          <w:szCs w:val="22"/>
          <w:lang w:eastAsia="en-GB"/>
        </w:rPr>
      </w:pPr>
      <w:hyperlink w:anchor="_Toc43388073" w:history="1">
        <w:r w:rsidR="00EF4B3C" w:rsidRPr="00930078">
          <w:rPr>
            <w:rStyle w:val="Hyperlink"/>
            <w:noProof/>
          </w:rPr>
          <w:t>5.5</w:t>
        </w:r>
        <w:r w:rsidR="00EF4B3C">
          <w:rPr>
            <w:rFonts w:eastAsiaTheme="minorEastAsia"/>
            <w:smallCaps w:val="0"/>
            <w:noProof/>
            <w:sz w:val="22"/>
            <w:szCs w:val="22"/>
            <w:lang w:eastAsia="en-GB"/>
          </w:rPr>
          <w:tab/>
        </w:r>
        <w:r w:rsidR="00EF4B3C" w:rsidRPr="00930078">
          <w:rPr>
            <w:rStyle w:val="Hyperlink"/>
            <w:noProof/>
          </w:rPr>
          <w:t>Incorporation of Uncertainties in Upscaling</w:t>
        </w:r>
        <w:r w:rsidR="00EF4B3C">
          <w:rPr>
            <w:noProof/>
            <w:webHidden/>
          </w:rPr>
          <w:tab/>
        </w:r>
        <w:r w:rsidR="00EF4B3C">
          <w:rPr>
            <w:noProof/>
            <w:webHidden/>
          </w:rPr>
          <w:fldChar w:fldCharType="begin"/>
        </w:r>
        <w:r w:rsidR="00EF4B3C">
          <w:rPr>
            <w:noProof/>
            <w:webHidden/>
          </w:rPr>
          <w:instrText xml:space="preserve"> PAGEREF _Toc43388073 \h </w:instrText>
        </w:r>
        <w:r w:rsidR="00EF4B3C">
          <w:rPr>
            <w:noProof/>
            <w:webHidden/>
          </w:rPr>
        </w:r>
        <w:r w:rsidR="00EF4B3C">
          <w:rPr>
            <w:noProof/>
            <w:webHidden/>
          </w:rPr>
          <w:fldChar w:fldCharType="separate"/>
        </w:r>
        <w:r w:rsidR="00EF4B3C">
          <w:rPr>
            <w:noProof/>
            <w:webHidden/>
          </w:rPr>
          <w:t>29</w:t>
        </w:r>
        <w:r w:rsidR="00EF4B3C">
          <w:rPr>
            <w:noProof/>
            <w:webHidden/>
          </w:rPr>
          <w:fldChar w:fldCharType="end"/>
        </w:r>
      </w:hyperlink>
    </w:p>
    <w:p w14:paraId="126A15C1" w14:textId="49E8BBF4" w:rsidR="00EF4B3C" w:rsidRDefault="000306CA">
      <w:pPr>
        <w:pStyle w:val="TOC2"/>
        <w:tabs>
          <w:tab w:val="left" w:pos="880"/>
          <w:tab w:val="right" w:leader="dot" w:pos="9016"/>
        </w:tabs>
        <w:rPr>
          <w:rFonts w:eastAsiaTheme="minorEastAsia"/>
          <w:smallCaps w:val="0"/>
          <w:noProof/>
          <w:sz w:val="22"/>
          <w:szCs w:val="22"/>
          <w:lang w:eastAsia="en-GB"/>
        </w:rPr>
      </w:pPr>
      <w:hyperlink w:anchor="_Toc43388074" w:history="1">
        <w:r w:rsidR="00EF4B3C" w:rsidRPr="00930078">
          <w:rPr>
            <w:rStyle w:val="Hyperlink"/>
            <w:noProof/>
          </w:rPr>
          <w:t>5.6</w:t>
        </w:r>
        <w:r w:rsidR="00EF4B3C">
          <w:rPr>
            <w:rFonts w:eastAsiaTheme="minorEastAsia"/>
            <w:smallCaps w:val="0"/>
            <w:noProof/>
            <w:sz w:val="22"/>
            <w:szCs w:val="22"/>
            <w:lang w:eastAsia="en-GB"/>
          </w:rPr>
          <w:tab/>
        </w:r>
        <w:r w:rsidR="00EF4B3C" w:rsidRPr="00930078">
          <w:rPr>
            <w:rStyle w:val="Hyperlink"/>
            <w:noProof/>
          </w:rPr>
          <w:t>Derivation of Quality Flags</w:t>
        </w:r>
        <w:r w:rsidR="00EF4B3C">
          <w:rPr>
            <w:noProof/>
            <w:webHidden/>
          </w:rPr>
          <w:tab/>
        </w:r>
        <w:r w:rsidR="00EF4B3C">
          <w:rPr>
            <w:noProof/>
            <w:webHidden/>
          </w:rPr>
          <w:fldChar w:fldCharType="begin"/>
        </w:r>
        <w:r w:rsidR="00EF4B3C">
          <w:rPr>
            <w:noProof/>
            <w:webHidden/>
          </w:rPr>
          <w:instrText xml:space="preserve"> PAGEREF _Toc43388074 \h </w:instrText>
        </w:r>
        <w:r w:rsidR="00EF4B3C">
          <w:rPr>
            <w:noProof/>
            <w:webHidden/>
          </w:rPr>
        </w:r>
        <w:r w:rsidR="00EF4B3C">
          <w:rPr>
            <w:noProof/>
            <w:webHidden/>
          </w:rPr>
          <w:fldChar w:fldCharType="separate"/>
        </w:r>
        <w:r w:rsidR="00EF4B3C">
          <w:rPr>
            <w:noProof/>
            <w:webHidden/>
          </w:rPr>
          <w:t>30</w:t>
        </w:r>
        <w:r w:rsidR="00EF4B3C">
          <w:rPr>
            <w:noProof/>
            <w:webHidden/>
          </w:rPr>
          <w:fldChar w:fldCharType="end"/>
        </w:r>
      </w:hyperlink>
    </w:p>
    <w:p w14:paraId="0AD138A6" w14:textId="42F7B813" w:rsidR="00EF4B3C" w:rsidRDefault="000306CA">
      <w:pPr>
        <w:pStyle w:val="TOC1"/>
        <w:tabs>
          <w:tab w:val="left" w:pos="440"/>
        </w:tabs>
        <w:rPr>
          <w:rFonts w:eastAsiaTheme="minorEastAsia"/>
          <w:b w:val="0"/>
          <w:bCs w:val="0"/>
          <w:caps w:val="0"/>
          <w:noProof/>
          <w:sz w:val="22"/>
          <w:szCs w:val="22"/>
          <w:lang w:eastAsia="en-GB"/>
        </w:rPr>
      </w:pPr>
      <w:hyperlink w:anchor="_Toc43388075" w:history="1">
        <w:r w:rsidR="00EF4B3C" w:rsidRPr="00930078">
          <w:rPr>
            <w:rStyle w:val="Hyperlink"/>
            <w:noProof/>
          </w:rPr>
          <w:t>A</w:t>
        </w:r>
        <w:r w:rsidR="00EF4B3C">
          <w:rPr>
            <w:rFonts w:eastAsiaTheme="minorEastAsia"/>
            <w:b w:val="0"/>
            <w:bCs w:val="0"/>
            <w:caps w:val="0"/>
            <w:noProof/>
            <w:sz w:val="22"/>
            <w:szCs w:val="22"/>
            <w:lang w:eastAsia="en-GB"/>
          </w:rPr>
          <w:tab/>
        </w:r>
        <w:r w:rsidR="00EF4B3C" w:rsidRPr="00930078">
          <w:rPr>
            <w:rStyle w:val="Hyperlink"/>
            <w:noProof/>
          </w:rPr>
          <w:t>Appendix</w:t>
        </w:r>
        <w:r w:rsidR="00EF4B3C">
          <w:rPr>
            <w:noProof/>
            <w:webHidden/>
          </w:rPr>
          <w:tab/>
        </w:r>
        <w:r w:rsidR="00EF4B3C">
          <w:rPr>
            <w:noProof/>
            <w:webHidden/>
          </w:rPr>
          <w:fldChar w:fldCharType="begin"/>
        </w:r>
        <w:r w:rsidR="00EF4B3C">
          <w:rPr>
            <w:noProof/>
            <w:webHidden/>
          </w:rPr>
          <w:instrText xml:space="preserve"> PAGEREF _Toc43388075 \h </w:instrText>
        </w:r>
        <w:r w:rsidR="00EF4B3C">
          <w:rPr>
            <w:noProof/>
            <w:webHidden/>
          </w:rPr>
        </w:r>
        <w:r w:rsidR="00EF4B3C">
          <w:rPr>
            <w:noProof/>
            <w:webHidden/>
          </w:rPr>
          <w:fldChar w:fldCharType="separate"/>
        </w:r>
        <w:r w:rsidR="00EF4B3C">
          <w:rPr>
            <w:noProof/>
            <w:webHidden/>
          </w:rPr>
          <w:t>35</w:t>
        </w:r>
        <w:r w:rsidR="00EF4B3C">
          <w:rPr>
            <w:noProof/>
            <w:webHidden/>
          </w:rPr>
          <w:fldChar w:fldCharType="end"/>
        </w:r>
      </w:hyperlink>
    </w:p>
    <w:p w14:paraId="51F253B2" w14:textId="1777003D" w:rsidR="0077130D" w:rsidRDefault="00D60F20">
      <w:pPr>
        <w:sectPr w:rsidR="0077130D" w:rsidSect="00A95F5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titlePg/>
          <w:docGrid w:linePitch="360"/>
        </w:sectPr>
      </w:pPr>
      <w:r>
        <w:fldChar w:fldCharType="end"/>
      </w:r>
    </w:p>
    <w:p w14:paraId="56FEFFC0" w14:textId="4342A74C" w:rsidR="00716831" w:rsidRDefault="00C85190" w:rsidP="00491C2E">
      <w:pPr>
        <w:pStyle w:val="Heading5"/>
      </w:pPr>
      <w:bookmarkStart w:id="3" w:name="_Toc43388038"/>
      <w:r>
        <w:lastRenderedPageBreak/>
        <w:t>List</w:t>
      </w:r>
      <w:r w:rsidR="00716831" w:rsidRPr="00F61910">
        <w:t xml:space="preserve"> of </w:t>
      </w:r>
      <w:r w:rsidR="00491C2E">
        <w:t>F</w:t>
      </w:r>
      <w:r w:rsidR="00716831" w:rsidRPr="00F61910">
        <w:t>igures</w:t>
      </w:r>
      <w:bookmarkEnd w:id="3"/>
      <w:r w:rsidR="00716831" w:rsidRPr="00F61910">
        <w:t xml:space="preserve"> </w:t>
      </w:r>
    </w:p>
    <w:p w14:paraId="27B1017D" w14:textId="77777777" w:rsidR="00C85190" w:rsidRPr="00C85190" w:rsidRDefault="00C85190" w:rsidP="00491C2E">
      <w:pPr>
        <w:spacing w:after="0" w:line="360" w:lineRule="auto"/>
      </w:pPr>
    </w:p>
    <w:p w14:paraId="61E5922B" w14:textId="00D43DEE" w:rsidR="00EF4B3C" w:rsidRDefault="00EA408D">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43388018" w:history="1">
        <w:r w:rsidR="00EF4B3C" w:rsidRPr="00DD3BAD">
          <w:rPr>
            <w:rStyle w:val="Hyperlink"/>
            <w:noProof/>
          </w:rPr>
          <w:t>Figure 1: Diagram illustrating the ‘two stage’ or ‘bottom up’ approach to validation proposed by the CEOS WGCV LPV sub-group [34].</w:t>
        </w:r>
        <w:r w:rsidR="00EF4B3C">
          <w:rPr>
            <w:noProof/>
            <w:webHidden/>
          </w:rPr>
          <w:tab/>
        </w:r>
        <w:r w:rsidR="00EF4B3C">
          <w:rPr>
            <w:noProof/>
            <w:webHidden/>
          </w:rPr>
          <w:fldChar w:fldCharType="begin"/>
        </w:r>
        <w:r w:rsidR="00EF4B3C">
          <w:rPr>
            <w:noProof/>
            <w:webHidden/>
          </w:rPr>
          <w:instrText xml:space="preserve"> PAGEREF _Toc43388018 \h </w:instrText>
        </w:r>
        <w:r w:rsidR="00EF4B3C">
          <w:rPr>
            <w:noProof/>
            <w:webHidden/>
          </w:rPr>
        </w:r>
        <w:r w:rsidR="00EF4B3C">
          <w:rPr>
            <w:noProof/>
            <w:webHidden/>
          </w:rPr>
          <w:fldChar w:fldCharType="separate"/>
        </w:r>
        <w:r w:rsidR="00EF4B3C">
          <w:rPr>
            <w:noProof/>
            <w:webHidden/>
          </w:rPr>
          <w:t>18</w:t>
        </w:r>
        <w:r w:rsidR="00EF4B3C">
          <w:rPr>
            <w:noProof/>
            <w:webHidden/>
          </w:rPr>
          <w:fldChar w:fldCharType="end"/>
        </w:r>
      </w:hyperlink>
    </w:p>
    <w:p w14:paraId="3F2557B5" w14:textId="021A59E4" w:rsidR="00EF4B3C" w:rsidRDefault="000306CA">
      <w:pPr>
        <w:pStyle w:val="TableofFigures"/>
        <w:tabs>
          <w:tab w:val="right" w:leader="dot" w:pos="9016"/>
        </w:tabs>
        <w:rPr>
          <w:rFonts w:eastAsiaTheme="minorEastAsia"/>
          <w:noProof/>
          <w:lang w:eastAsia="en-GB"/>
        </w:rPr>
      </w:pPr>
      <w:hyperlink w:anchor="_Toc43388019" w:history="1">
        <w:r w:rsidR="00EF4B3C" w:rsidRPr="00DD3BAD">
          <w:rPr>
            <w:rStyle w:val="Hyperlink"/>
            <w:noProof/>
          </w:rPr>
          <w:t>Figure 2: Distribution of ESUs over the site, as suggested by [10].</w:t>
        </w:r>
        <w:r w:rsidR="00EF4B3C">
          <w:rPr>
            <w:noProof/>
            <w:webHidden/>
          </w:rPr>
          <w:tab/>
        </w:r>
        <w:r w:rsidR="00EF4B3C">
          <w:rPr>
            <w:noProof/>
            <w:webHidden/>
          </w:rPr>
          <w:fldChar w:fldCharType="begin"/>
        </w:r>
        <w:r w:rsidR="00EF4B3C">
          <w:rPr>
            <w:noProof/>
            <w:webHidden/>
          </w:rPr>
          <w:instrText xml:space="preserve"> PAGEREF _Toc43388019 \h </w:instrText>
        </w:r>
        <w:r w:rsidR="00EF4B3C">
          <w:rPr>
            <w:noProof/>
            <w:webHidden/>
          </w:rPr>
        </w:r>
        <w:r w:rsidR="00EF4B3C">
          <w:rPr>
            <w:noProof/>
            <w:webHidden/>
          </w:rPr>
          <w:fldChar w:fldCharType="separate"/>
        </w:r>
        <w:r w:rsidR="00EF4B3C">
          <w:rPr>
            <w:noProof/>
            <w:webHidden/>
          </w:rPr>
          <w:t>20</w:t>
        </w:r>
        <w:r w:rsidR="00EF4B3C">
          <w:rPr>
            <w:noProof/>
            <w:webHidden/>
          </w:rPr>
          <w:fldChar w:fldCharType="end"/>
        </w:r>
      </w:hyperlink>
    </w:p>
    <w:p w14:paraId="16A29DA9" w14:textId="66FB7335" w:rsidR="00EF4B3C" w:rsidRDefault="000306CA">
      <w:pPr>
        <w:pStyle w:val="TableofFigures"/>
        <w:tabs>
          <w:tab w:val="right" w:leader="dot" w:pos="9016"/>
        </w:tabs>
        <w:rPr>
          <w:rFonts w:eastAsiaTheme="minorEastAsia"/>
          <w:noProof/>
          <w:lang w:eastAsia="en-GB"/>
        </w:rPr>
      </w:pPr>
      <w:hyperlink w:anchor="_Toc43388020" w:history="1">
        <w:r w:rsidR="00EF4B3C" w:rsidRPr="00DD3BAD">
          <w:rPr>
            <w:rStyle w:val="Hyperlink"/>
            <w:noProof/>
          </w:rPr>
          <w:t>Figure 3: Within ESU sampling schemes, as suggested by [10].</w:t>
        </w:r>
        <w:r w:rsidR="00EF4B3C">
          <w:rPr>
            <w:noProof/>
            <w:webHidden/>
          </w:rPr>
          <w:tab/>
        </w:r>
        <w:r w:rsidR="00EF4B3C">
          <w:rPr>
            <w:noProof/>
            <w:webHidden/>
          </w:rPr>
          <w:fldChar w:fldCharType="begin"/>
        </w:r>
        <w:r w:rsidR="00EF4B3C">
          <w:rPr>
            <w:noProof/>
            <w:webHidden/>
          </w:rPr>
          <w:instrText xml:space="preserve"> PAGEREF _Toc43388020 \h </w:instrText>
        </w:r>
        <w:r w:rsidR="00EF4B3C">
          <w:rPr>
            <w:noProof/>
            <w:webHidden/>
          </w:rPr>
        </w:r>
        <w:r w:rsidR="00EF4B3C">
          <w:rPr>
            <w:noProof/>
            <w:webHidden/>
          </w:rPr>
          <w:fldChar w:fldCharType="separate"/>
        </w:r>
        <w:r w:rsidR="00EF4B3C">
          <w:rPr>
            <w:noProof/>
            <w:webHidden/>
          </w:rPr>
          <w:t>21</w:t>
        </w:r>
        <w:r w:rsidR="00EF4B3C">
          <w:rPr>
            <w:noProof/>
            <w:webHidden/>
          </w:rPr>
          <w:fldChar w:fldCharType="end"/>
        </w:r>
      </w:hyperlink>
    </w:p>
    <w:p w14:paraId="5C6CBE62" w14:textId="77872D3D" w:rsidR="00C85190" w:rsidRDefault="00EA408D" w:rsidP="0083359B">
      <w:pPr>
        <w:spacing w:line="240" w:lineRule="auto"/>
      </w:pPr>
      <w:r>
        <w:fldChar w:fldCharType="end"/>
      </w:r>
    </w:p>
    <w:p w14:paraId="41B0EAD4" w14:textId="77777777" w:rsidR="0083359B" w:rsidRDefault="0083359B" w:rsidP="0083359B">
      <w:pPr>
        <w:spacing w:after="0" w:line="240" w:lineRule="auto"/>
      </w:pPr>
    </w:p>
    <w:p w14:paraId="527A22E8" w14:textId="4D91E508" w:rsidR="00C85190" w:rsidRDefault="00C85190" w:rsidP="00491C2E">
      <w:pPr>
        <w:pStyle w:val="Heading5"/>
      </w:pPr>
      <w:bookmarkStart w:id="4" w:name="_Toc43388039"/>
      <w:r>
        <w:t>List</w:t>
      </w:r>
      <w:r w:rsidRPr="00F61910">
        <w:t xml:space="preserve"> of </w:t>
      </w:r>
      <w:r w:rsidR="00491C2E">
        <w:t>T</w:t>
      </w:r>
      <w:r>
        <w:t>ables</w:t>
      </w:r>
      <w:bookmarkEnd w:id="4"/>
      <w:r w:rsidRPr="00F61910">
        <w:t xml:space="preserve"> </w:t>
      </w:r>
    </w:p>
    <w:p w14:paraId="2CC3E01B" w14:textId="06742E5C" w:rsidR="00C85190" w:rsidRDefault="00C85190" w:rsidP="00491C2E">
      <w:pPr>
        <w:spacing w:after="0"/>
      </w:pPr>
    </w:p>
    <w:p w14:paraId="413B4855" w14:textId="5CFD37F6" w:rsidR="00EF4B3C" w:rsidRDefault="00C85190">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43388025" w:history="1">
        <w:r w:rsidR="00EF4B3C" w:rsidRPr="009B71AD">
          <w:rPr>
            <w:rStyle w:val="Hyperlink"/>
            <w:noProof/>
          </w:rPr>
          <w:t>Table 1: OLCI L2 land quality flags [21].</w:t>
        </w:r>
        <w:r w:rsidR="00EF4B3C">
          <w:rPr>
            <w:noProof/>
            <w:webHidden/>
          </w:rPr>
          <w:tab/>
        </w:r>
        <w:r w:rsidR="00EF4B3C">
          <w:rPr>
            <w:noProof/>
            <w:webHidden/>
          </w:rPr>
          <w:fldChar w:fldCharType="begin"/>
        </w:r>
        <w:r w:rsidR="00EF4B3C">
          <w:rPr>
            <w:noProof/>
            <w:webHidden/>
          </w:rPr>
          <w:instrText xml:space="preserve"> PAGEREF _Toc43388025 \h </w:instrText>
        </w:r>
        <w:r w:rsidR="00EF4B3C">
          <w:rPr>
            <w:noProof/>
            <w:webHidden/>
          </w:rPr>
        </w:r>
        <w:r w:rsidR="00EF4B3C">
          <w:rPr>
            <w:noProof/>
            <w:webHidden/>
          </w:rPr>
          <w:fldChar w:fldCharType="separate"/>
        </w:r>
        <w:r w:rsidR="00EF4B3C">
          <w:rPr>
            <w:noProof/>
            <w:webHidden/>
          </w:rPr>
          <w:t>11</w:t>
        </w:r>
        <w:r w:rsidR="00EF4B3C">
          <w:rPr>
            <w:noProof/>
            <w:webHidden/>
          </w:rPr>
          <w:fldChar w:fldCharType="end"/>
        </w:r>
      </w:hyperlink>
    </w:p>
    <w:p w14:paraId="1A52BA00" w14:textId="1182A735" w:rsidR="00EF4B3C" w:rsidRDefault="000306CA">
      <w:pPr>
        <w:pStyle w:val="TableofFigures"/>
        <w:tabs>
          <w:tab w:val="right" w:leader="dot" w:pos="9016"/>
        </w:tabs>
        <w:rPr>
          <w:rFonts w:eastAsiaTheme="minorEastAsia"/>
          <w:noProof/>
          <w:lang w:eastAsia="en-GB"/>
        </w:rPr>
      </w:pPr>
      <w:hyperlink w:anchor="_Toc43388026" w:history="1">
        <w:r w:rsidR="00EF4B3C" w:rsidRPr="009B71AD">
          <w:rPr>
            <w:rStyle w:val="Hyperlink"/>
            <w:noProof/>
          </w:rPr>
          <w:t>Table 2: OLCI L2 land science flags [21].</w:t>
        </w:r>
        <w:r w:rsidR="00EF4B3C">
          <w:rPr>
            <w:noProof/>
            <w:webHidden/>
          </w:rPr>
          <w:tab/>
        </w:r>
        <w:r w:rsidR="00EF4B3C">
          <w:rPr>
            <w:noProof/>
            <w:webHidden/>
          </w:rPr>
          <w:fldChar w:fldCharType="begin"/>
        </w:r>
        <w:r w:rsidR="00EF4B3C">
          <w:rPr>
            <w:noProof/>
            <w:webHidden/>
          </w:rPr>
          <w:instrText xml:space="preserve"> PAGEREF _Toc43388026 \h </w:instrText>
        </w:r>
        <w:r w:rsidR="00EF4B3C">
          <w:rPr>
            <w:noProof/>
            <w:webHidden/>
          </w:rPr>
        </w:r>
        <w:r w:rsidR="00EF4B3C">
          <w:rPr>
            <w:noProof/>
            <w:webHidden/>
          </w:rPr>
          <w:fldChar w:fldCharType="separate"/>
        </w:r>
        <w:r w:rsidR="00EF4B3C">
          <w:rPr>
            <w:noProof/>
            <w:webHidden/>
          </w:rPr>
          <w:t>12</w:t>
        </w:r>
        <w:r w:rsidR="00EF4B3C">
          <w:rPr>
            <w:noProof/>
            <w:webHidden/>
          </w:rPr>
          <w:fldChar w:fldCharType="end"/>
        </w:r>
      </w:hyperlink>
    </w:p>
    <w:p w14:paraId="72B652A9" w14:textId="2F6DD3FA" w:rsidR="00EF4B3C" w:rsidRDefault="000306CA">
      <w:pPr>
        <w:pStyle w:val="TableofFigures"/>
        <w:tabs>
          <w:tab w:val="right" w:leader="dot" w:pos="9016"/>
        </w:tabs>
        <w:rPr>
          <w:rFonts w:eastAsiaTheme="minorEastAsia"/>
          <w:noProof/>
          <w:lang w:eastAsia="en-GB"/>
        </w:rPr>
      </w:pPr>
      <w:hyperlink w:anchor="_Toc43388027" w:history="1">
        <w:r w:rsidR="00EF4B3C" w:rsidRPr="009B71AD">
          <w:rPr>
            <w:rStyle w:val="Hyperlink"/>
            <w:noProof/>
          </w:rPr>
          <w:t>Table 3: Studies making use of the BELMANIP network of sites for indirect validation</w:t>
        </w:r>
        <w:r w:rsidR="00EF4B3C">
          <w:rPr>
            <w:noProof/>
            <w:webHidden/>
          </w:rPr>
          <w:tab/>
        </w:r>
        <w:r w:rsidR="00EF4B3C">
          <w:rPr>
            <w:noProof/>
            <w:webHidden/>
          </w:rPr>
          <w:fldChar w:fldCharType="begin"/>
        </w:r>
        <w:r w:rsidR="00EF4B3C">
          <w:rPr>
            <w:noProof/>
            <w:webHidden/>
          </w:rPr>
          <w:instrText xml:space="preserve"> PAGEREF _Toc43388027 \h </w:instrText>
        </w:r>
        <w:r w:rsidR="00EF4B3C">
          <w:rPr>
            <w:noProof/>
            <w:webHidden/>
          </w:rPr>
        </w:r>
        <w:r w:rsidR="00EF4B3C">
          <w:rPr>
            <w:noProof/>
            <w:webHidden/>
          </w:rPr>
          <w:fldChar w:fldCharType="separate"/>
        </w:r>
        <w:r w:rsidR="00EF4B3C">
          <w:rPr>
            <w:noProof/>
            <w:webHidden/>
          </w:rPr>
          <w:t>17</w:t>
        </w:r>
        <w:r w:rsidR="00EF4B3C">
          <w:rPr>
            <w:noProof/>
            <w:webHidden/>
          </w:rPr>
          <w:fldChar w:fldCharType="end"/>
        </w:r>
      </w:hyperlink>
    </w:p>
    <w:p w14:paraId="578E143B" w14:textId="50EA2471" w:rsidR="00EF4B3C" w:rsidRDefault="000306CA">
      <w:pPr>
        <w:pStyle w:val="TableofFigures"/>
        <w:tabs>
          <w:tab w:val="right" w:leader="dot" w:pos="9016"/>
        </w:tabs>
        <w:rPr>
          <w:rFonts w:eastAsiaTheme="minorEastAsia"/>
          <w:noProof/>
          <w:lang w:eastAsia="en-GB"/>
        </w:rPr>
      </w:pPr>
      <w:hyperlink w:anchor="_Toc43388028" w:history="1">
        <w:r w:rsidR="00EF4B3C" w:rsidRPr="009B71AD">
          <w:rPr>
            <w:rStyle w:val="Hyperlink"/>
            <w:noProof/>
          </w:rPr>
          <w:t>Table 4: Categories of validation metrics, after [51].</w:t>
        </w:r>
        <w:r w:rsidR="00EF4B3C">
          <w:rPr>
            <w:noProof/>
            <w:webHidden/>
          </w:rPr>
          <w:tab/>
        </w:r>
        <w:r w:rsidR="00EF4B3C">
          <w:rPr>
            <w:noProof/>
            <w:webHidden/>
          </w:rPr>
          <w:fldChar w:fldCharType="begin"/>
        </w:r>
        <w:r w:rsidR="00EF4B3C">
          <w:rPr>
            <w:noProof/>
            <w:webHidden/>
          </w:rPr>
          <w:instrText xml:space="preserve"> PAGEREF _Toc43388028 \h </w:instrText>
        </w:r>
        <w:r w:rsidR="00EF4B3C">
          <w:rPr>
            <w:noProof/>
            <w:webHidden/>
          </w:rPr>
        </w:r>
        <w:r w:rsidR="00EF4B3C">
          <w:rPr>
            <w:noProof/>
            <w:webHidden/>
          </w:rPr>
          <w:fldChar w:fldCharType="separate"/>
        </w:r>
        <w:r w:rsidR="00EF4B3C">
          <w:rPr>
            <w:noProof/>
            <w:webHidden/>
          </w:rPr>
          <w:t>24</w:t>
        </w:r>
        <w:r w:rsidR="00EF4B3C">
          <w:rPr>
            <w:noProof/>
            <w:webHidden/>
          </w:rPr>
          <w:fldChar w:fldCharType="end"/>
        </w:r>
      </w:hyperlink>
    </w:p>
    <w:p w14:paraId="32232C3B" w14:textId="00AAF893" w:rsidR="00C85190" w:rsidRDefault="00C85190" w:rsidP="0083359B">
      <w:pPr>
        <w:spacing w:line="240" w:lineRule="auto"/>
      </w:pPr>
      <w:r>
        <w:fldChar w:fldCharType="end"/>
      </w:r>
    </w:p>
    <w:p w14:paraId="68FC5EDB" w14:textId="752A2AD9" w:rsidR="00491C2E" w:rsidRDefault="00491C2E" w:rsidP="00DB1978">
      <w:pPr>
        <w:spacing w:line="360" w:lineRule="auto"/>
      </w:pPr>
    </w:p>
    <w:p w14:paraId="6DBAB5A6" w14:textId="4FDDC17F" w:rsidR="0083359B" w:rsidRDefault="0083359B" w:rsidP="00DB1978">
      <w:pPr>
        <w:spacing w:line="360" w:lineRule="auto"/>
      </w:pPr>
    </w:p>
    <w:p w14:paraId="0954F889" w14:textId="1BCF599E" w:rsidR="0083359B" w:rsidRDefault="0083359B" w:rsidP="00DB1978">
      <w:pPr>
        <w:spacing w:line="360" w:lineRule="auto"/>
      </w:pPr>
    </w:p>
    <w:p w14:paraId="7CADBE90" w14:textId="3074950C" w:rsidR="0083359B" w:rsidRDefault="0083359B" w:rsidP="00DB1978">
      <w:pPr>
        <w:spacing w:line="360" w:lineRule="auto"/>
      </w:pPr>
    </w:p>
    <w:p w14:paraId="0386B538" w14:textId="61E2E03C" w:rsidR="0083359B" w:rsidRDefault="0083359B" w:rsidP="00DB1978">
      <w:pPr>
        <w:spacing w:line="360" w:lineRule="auto"/>
      </w:pPr>
    </w:p>
    <w:p w14:paraId="57C15528" w14:textId="2EECC6EF" w:rsidR="0083359B" w:rsidRDefault="0083359B" w:rsidP="00DB1978">
      <w:pPr>
        <w:spacing w:line="360" w:lineRule="auto"/>
      </w:pPr>
    </w:p>
    <w:p w14:paraId="4C988BC6" w14:textId="77777777" w:rsidR="0083359B" w:rsidRDefault="0083359B" w:rsidP="00DB1978">
      <w:pPr>
        <w:spacing w:line="360" w:lineRule="auto"/>
      </w:pPr>
    </w:p>
    <w:p w14:paraId="6FAE0A5B" w14:textId="730F84EC" w:rsidR="008751A1" w:rsidRDefault="008751A1" w:rsidP="00255C56">
      <w:pPr>
        <w:widowControl w:val="0"/>
        <w:autoSpaceDE w:val="0"/>
        <w:autoSpaceDN w:val="0"/>
        <w:adjustRightInd w:val="0"/>
        <w:spacing w:line="240" w:lineRule="auto"/>
        <w:ind w:left="640" w:hanging="640"/>
      </w:pPr>
    </w:p>
    <w:p w14:paraId="6D65C629" w14:textId="77777777" w:rsidR="00D533BE" w:rsidRDefault="00D533BE" w:rsidP="00491C2E">
      <w:pPr>
        <w:pStyle w:val="Heading5"/>
        <w:sectPr w:rsidR="00D533BE" w:rsidSect="00024274">
          <w:footerReference w:type="default" r:id="rId23"/>
          <w:footerReference w:type="first" r:id="rId24"/>
          <w:pgSz w:w="11906" w:h="16838"/>
          <w:pgMar w:top="1440" w:right="1440" w:bottom="1440" w:left="1440" w:header="708" w:footer="708" w:gutter="0"/>
          <w:cols w:space="708"/>
          <w:docGrid w:linePitch="360"/>
        </w:sectPr>
      </w:pPr>
    </w:p>
    <w:p w14:paraId="14291B68" w14:textId="38353CAF" w:rsidR="007A6626" w:rsidRDefault="00DD6994" w:rsidP="00491C2E">
      <w:pPr>
        <w:pStyle w:val="Heading5"/>
      </w:pPr>
      <w:bookmarkStart w:id="5" w:name="_Toc43388040"/>
      <w:r>
        <w:lastRenderedPageBreak/>
        <w:t>Acronyms</w:t>
      </w:r>
      <w:bookmarkEnd w:id="5"/>
    </w:p>
    <w:p w14:paraId="0365D8E7" w14:textId="77777777" w:rsidR="00491C2E" w:rsidRPr="00491C2E" w:rsidRDefault="00491C2E" w:rsidP="00491C2E">
      <w:pPr>
        <w:spacing w:after="0"/>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352"/>
      </w:tblGrid>
      <w:tr w:rsidR="00CA22E4" w:rsidRPr="00500B18" w14:paraId="3E73B3F2" w14:textId="77777777" w:rsidTr="00D533BE">
        <w:tc>
          <w:tcPr>
            <w:tcW w:w="923" w:type="pct"/>
          </w:tcPr>
          <w:p w14:paraId="11B2B335" w14:textId="666EB053" w:rsidR="00CA22E4" w:rsidRPr="00500B18" w:rsidRDefault="00CA22E4" w:rsidP="004B191E">
            <w:pPr>
              <w:rPr>
                <w:b/>
                <w:bCs/>
              </w:rPr>
            </w:pPr>
            <w:r w:rsidRPr="00500B18">
              <w:rPr>
                <w:b/>
                <w:bCs/>
              </w:rPr>
              <w:t>Abbreviation</w:t>
            </w:r>
          </w:p>
        </w:tc>
        <w:tc>
          <w:tcPr>
            <w:tcW w:w="4077" w:type="pct"/>
          </w:tcPr>
          <w:p w14:paraId="0F91C43C" w14:textId="7B209C78" w:rsidR="00CA22E4" w:rsidRPr="00500B18" w:rsidRDefault="00CA22E4" w:rsidP="004B191E">
            <w:pPr>
              <w:rPr>
                <w:b/>
                <w:bCs/>
              </w:rPr>
            </w:pPr>
            <w:r w:rsidRPr="00500B18">
              <w:rPr>
                <w:b/>
                <w:bCs/>
              </w:rPr>
              <w:t xml:space="preserve">Stands </w:t>
            </w:r>
            <w:r w:rsidR="0083359B" w:rsidRPr="00500B18">
              <w:rPr>
                <w:b/>
                <w:bCs/>
              </w:rPr>
              <w:t>F</w:t>
            </w:r>
            <w:r w:rsidRPr="00500B18">
              <w:rPr>
                <w:b/>
                <w:bCs/>
              </w:rPr>
              <w:t>or</w:t>
            </w:r>
          </w:p>
        </w:tc>
      </w:tr>
      <w:tr w:rsidR="002343F3" w:rsidRPr="00500B18" w14:paraId="11D435F4" w14:textId="77777777" w:rsidTr="00D533BE">
        <w:trPr>
          <w:trHeight w:val="80"/>
        </w:trPr>
        <w:tc>
          <w:tcPr>
            <w:tcW w:w="923" w:type="pct"/>
          </w:tcPr>
          <w:p w14:paraId="4C85BDDA" w14:textId="77777777" w:rsidR="002343F3" w:rsidRPr="00500B18" w:rsidRDefault="002343F3" w:rsidP="00EC3910">
            <w:r>
              <w:t>ANN</w:t>
            </w:r>
          </w:p>
        </w:tc>
        <w:tc>
          <w:tcPr>
            <w:tcW w:w="4077" w:type="pct"/>
          </w:tcPr>
          <w:p w14:paraId="41D13467" w14:textId="77777777" w:rsidR="002343F3" w:rsidRPr="00500B18" w:rsidRDefault="002343F3" w:rsidP="00EC3910">
            <w:r>
              <w:t>Artificial neural network</w:t>
            </w:r>
          </w:p>
        </w:tc>
      </w:tr>
      <w:tr w:rsidR="002343F3" w:rsidRPr="00500B18" w14:paraId="56A80569" w14:textId="77777777" w:rsidTr="00D533BE">
        <w:trPr>
          <w:trHeight w:val="80"/>
        </w:trPr>
        <w:tc>
          <w:tcPr>
            <w:tcW w:w="923" w:type="pct"/>
          </w:tcPr>
          <w:p w14:paraId="15267FA6" w14:textId="77777777" w:rsidR="002343F3" w:rsidRPr="00500B18" w:rsidRDefault="002343F3" w:rsidP="00EC3910">
            <w:r>
              <w:t>BELMANIP</w:t>
            </w:r>
          </w:p>
        </w:tc>
        <w:tc>
          <w:tcPr>
            <w:tcW w:w="4077" w:type="pct"/>
          </w:tcPr>
          <w:p w14:paraId="00FBCB04" w14:textId="5F1FCE62" w:rsidR="002343F3" w:rsidRPr="00500B18" w:rsidRDefault="002343F3" w:rsidP="00EC3910">
            <w:r w:rsidRPr="00814597">
              <w:t>Benchmark Land Multisite Analysis and Inter</w:t>
            </w:r>
            <w:r w:rsidR="00E413DE">
              <w:t>-</w:t>
            </w:r>
            <w:r w:rsidRPr="00814597">
              <w:t>comparison of Products</w:t>
            </w:r>
          </w:p>
        </w:tc>
      </w:tr>
      <w:tr w:rsidR="002343F3" w:rsidRPr="00500B18" w14:paraId="30B9F1D3" w14:textId="77777777" w:rsidTr="00D533BE">
        <w:trPr>
          <w:trHeight w:val="80"/>
        </w:trPr>
        <w:tc>
          <w:tcPr>
            <w:tcW w:w="923" w:type="pct"/>
          </w:tcPr>
          <w:p w14:paraId="06E46664" w14:textId="77777777" w:rsidR="002343F3" w:rsidRPr="00500B18" w:rsidRDefault="002343F3" w:rsidP="006B588A">
            <w:r w:rsidRPr="00500B18">
              <w:t>BRF</w:t>
            </w:r>
          </w:p>
        </w:tc>
        <w:tc>
          <w:tcPr>
            <w:tcW w:w="4077" w:type="pct"/>
          </w:tcPr>
          <w:p w14:paraId="0338AFB9" w14:textId="77777777" w:rsidR="002343F3" w:rsidRPr="00500B18" w:rsidRDefault="002343F3" w:rsidP="00902631">
            <w:r w:rsidRPr="00500B18">
              <w:t>Bidirectional reflectance factor</w:t>
            </w:r>
          </w:p>
        </w:tc>
      </w:tr>
      <w:tr w:rsidR="002343F3" w:rsidRPr="00500B18" w14:paraId="2C1974CE" w14:textId="77777777" w:rsidTr="00D533BE">
        <w:trPr>
          <w:trHeight w:val="80"/>
        </w:trPr>
        <w:tc>
          <w:tcPr>
            <w:tcW w:w="923" w:type="pct"/>
          </w:tcPr>
          <w:p w14:paraId="687EE62C" w14:textId="77777777" w:rsidR="002343F3" w:rsidRPr="00500B18" w:rsidRDefault="002343F3" w:rsidP="006B588A">
            <w:r w:rsidRPr="00500B18">
              <w:t>CCC</w:t>
            </w:r>
          </w:p>
        </w:tc>
        <w:tc>
          <w:tcPr>
            <w:tcW w:w="4077" w:type="pct"/>
          </w:tcPr>
          <w:p w14:paraId="67511181" w14:textId="77777777" w:rsidR="002343F3" w:rsidRPr="00500B18" w:rsidRDefault="002343F3" w:rsidP="00902631">
            <w:r w:rsidRPr="00500B18">
              <w:t>Canopy chlorophyll content</w:t>
            </w:r>
          </w:p>
        </w:tc>
      </w:tr>
      <w:tr w:rsidR="002343F3" w:rsidRPr="00500B18" w14:paraId="58899A0B" w14:textId="77777777" w:rsidTr="00D533BE">
        <w:trPr>
          <w:trHeight w:val="80"/>
        </w:trPr>
        <w:tc>
          <w:tcPr>
            <w:tcW w:w="923" w:type="pct"/>
          </w:tcPr>
          <w:p w14:paraId="67A2CEBC" w14:textId="77777777" w:rsidR="002343F3" w:rsidRPr="00500B18" w:rsidRDefault="002343F3" w:rsidP="00EC3910">
            <w:r>
              <w:t>CCRS</w:t>
            </w:r>
          </w:p>
        </w:tc>
        <w:tc>
          <w:tcPr>
            <w:tcW w:w="4077" w:type="pct"/>
          </w:tcPr>
          <w:p w14:paraId="6BE20292" w14:textId="77777777" w:rsidR="002343F3" w:rsidRPr="00500B18" w:rsidRDefault="002343F3" w:rsidP="00EC3910">
            <w:r>
              <w:t>Canada Centre for Remote Sensing</w:t>
            </w:r>
          </w:p>
        </w:tc>
      </w:tr>
      <w:tr w:rsidR="002343F3" w:rsidRPr="00500B18" w14:paraId="27C11A76" w14:textId="77777777" w:rsidTr="00D533BE">
        <w:trPr>
          <w:trHeight w:val="80"/>
        </w:trPr>
        <w:tc>
          <w:tcPr>
            <w:tcW w:w="923" w:type="pct"/>
          </w:tcPr>
          <w:p w14:paraId="31E76D57" w14:textId="77777777" w:rsidR="002343F3" w:rsidRPr="00500B18" w:rsidRDefault="002343F3" w:rsidP="006B588A">
            <w:r w:rsidRPr="00500B18">
              <w:t>CEOS</w:t>
            </w:r>
          </w:p>
        </w:tc>
        <w:tc>
          <w:tcPr>
            <w:tcW w:w="4077" w:type="pct"/>
          </w:tcPr>
          <w:p w14:paraId="165A782D" w14:textId="77777777" w:rsidR="002343F3" w:rsidRPr="00500B18" w:rsidRDefault="002343F3" w:rsidP="00902631">
            <w:r w:rsidRPr="00500B18">
              <w:t>Committee on Earth Observation Satellites</w:t>
            </w:r>
          </w:p>
        </w:tc>
      </w:tr>
      <w:tr w:rsidR="002343F3" w:rsidRPr="00500B18" w14:paraId="45B5D1BC" w14:textId="77777777" w:rsidTr="00D533BE">
        <w:trPr>
          <w:trHeight w:val="80"/>
        </w:trPr>
        <w:tc>
          <w:tcPr>
            <w:tcW w:w="923" w:type="pct"/>
          </w:tcPr>
          <w:p w14:paraId="3620D89D" w14:textId="77777777" w:rsidR="002343F3" w:rsidRPr="00500B18" w:rsidRDefault="002343F3" w:rsidP="00EC3910">
            <w:r>
              <w:t>CGLS</w:t>
            </w:r>
          </w:p>
        </w:tc>
        <w:tc>
          <w:tcPr>
            <w:tcW w:w="4077" w:type="pct"/>
          </w:tcPr>
          <w:p w14:paraId="2522DE45" w14:textId="77777777" w:rsidR="002343F3" w:rsidRPr="00500B18" w:rsidRDefault="002343F3" w:rsidP="00EC3910">
            <w:r>
              <w:t>Copernicus Global Land Service</w:t>
            </w:r>
          </w:p>
        </w:tc>
      </w:tr>
      <w:tr w:rsidR="002343F3" w:rsidRPr="00500B18" w14:paraId="60461024" w14:textId="77777777" w:rsidTr="00D533BE">
        <w:trPr>
          <w:trHeight w:val="80"/>
        </w:trPr>
        <w:tc>
          <w:tcPr>
            <w:tcW w:w="923" w:type="pct"/>
          </w:tcPr>
          <w:p w14:paraId="6B3BFCE0" w14:textId="77777777" w:rsidR="002343F3" w:rsidRPr="00500B18" w:rsidRDefault="002343F3" w:rsidP="00EC3910">
            <w:r>
              <w:t>CNES</w:t>
            </w:r>
          </w:p>
        </w:tc>
        <w:tc>
          <w:tcPr>
            <w:tcW w:w="4077" w:type="pct"/>
          </w:tcPr>
          <w:p w14:paraId="77610692" w14:textId="77777777" w:rsidR="002343F3" w:rsidRPr="00500B18" w:rsidRDefault="002343F3" w:rsidP="00EC3910">
            <w:r w:rsidRPr="00814597">
              <w:t xml:space="preserve">Centre National </w:t>
            </w:r>
            <w:proofErr w:type="spellStart"/>
            <w:r w:rsidRPr="00814597">
              <w:t>d'Études</w:t>
            </w:r>
            <w:proofErr w:type="spellEnd"/>
            <w:r w:rsidRPr="00814597">
              <w:t xml:space="preserve"> </w:t>
            </w:r>
            <w:proofErr w:type="spellStart"/>
            <w:r w:rsidRPr="00814597">
              <w:t>Spatiales</w:t>
            </w:r>
            <w:proofErr w:type="spellEnd"/>
          </w:p>
        </w:tc>
      </w:tr>
      <w:tr w:rsidR="002343F3" w:rsidRPr="00500B18" w14:paraId="0168244A" w14:textId="77777777" w:rsidTr="00D533BE">
        <w:trPr>
          <w:trHeight w:val="80"/>
        </w:trPr>
        <w:tc>
          <w:tcPr>
            <w:tcW w:w="923" w:type="pct"/>
          </w:tcPr>
          <w:p w14:paraId="7AE60DB7" w14:textId="77777777" w:rsidR="002343F3" w:rsidRPr="00500B18" w:rsidRDefault="002343F3" w:rsidP="00EC3910">
            <w:r>
              <w:t>CYCLOPES</w:t>
            </w:r>
          </w:p>
        </w:tc>
        <w:tc>
          <w:tcPr>
            <w:tcW w:w="4077" w:type="pct"/>
          </w:tcPr>
          <w:p w14:paraId="66A9211C" w14:textId="77777777" w:rsidR="002343F3" w:rsidRPr="00500B18" w:rsidRDefault="002343F3" w:rsidP="00EC3910">
            <w:r w:rsidRPr="002343F3">
              <w:t>Carbon Cycle and Change in Land Observational Products from an Ensemble of Satellites</w:t>
            </w:r>
          </w:p>
        </w:tc>
      </w:tr>
      <w:tr w:rsidR="002343F3" w:rsidRPr="00500B18" w14:paraId="663AD5F7" w14:textId="77777777" w:rsidTr="00D533BE">
        <w:trPr>
          <w:trHeight w:val="80"/>
        </w:trPr>
        <w:tc>
          <w:tcPr>
            <w:tcW w:w="923" w:type="pct"/>
          </w:tcPr>
          <w:p w14:paraId="1344DAB1" w14:textId="77777777" w:rsidR="002343F3" w:rsidRPr="00500B18" w:rsidRDefault="002343F3" w:rsidP="006B588A">
            <w:r w:rsidRPr="00500B18">
              <w:t>DHP</w:t>
            </w:r>
          </w:p>
        </w:tc>
        <w:tc>
          <w:tcPr>
            <w:tcW w:w="4077" w:type="pct"/>
          </w:tcPr>
          <w:p w14:paraId="5386676E" w14:textId="77777777" w:rsidR="002343F3" w:rsidRPr="00500B18" w:rsidRDefault="002343F3" w:rsidP="00902631">
            <w:r w:rsidRPr="00500B18">
              <w:t>Digital hemispherical photography</w:t>
            </w:r>
          </w:p>
        </w:tc>
      </w:tr>
      <w:tr w:rsidR="002343F3" w:rsidRPr="00500B18" w14:paraId="6D7D7403" w14:textId="77777777" w:rsidTr="00D533BE">
        <w:trPr>
          <w:trHeight w:val="80"/>
        </w:trPr>
        <w:tc>
          <w:tcPr>
            <w:tcW w:w="923" w:type="pct"/>
          </w:tcPr>
          <w:p w14:paraId="7A2F5592" w14:textId="77777777" w:rsidR="002343F3" w:rsidRPr="00500B18" w:rsidRDefault="002343F3" w:rsidP="006B588A">
            <w:r w:rsidRPr="00500B18">
              <w:t>ECN</w:t>
            </w:r>
          </w:p>
        </w:tc>
        <w:tc>
          <w:tcPr>
            <w:tcW w:w="4077" w:type="pct"/>
          </w:tcPr>
          <w:p w14:paraId="04F2B103" w14:textId="77777777" w:rsidR="002343F3" w:rsidRPr="00500B18" w:rsidRDefault="002343F3" w:rsidP="00902631">
            <w:r w:rsidRPr="00500B18">
              <w:t>Environmental Change Network</w:t>
            </w:r>
          </w:p>
        </w:tc>
      </w:tr>
      <w:tr w:rsidR="002343F3" w:rsidRPr="00500B18" w14:paraId="1C36A6A7" w14:textId="77777777" w:rsidTr="00D533BE">
        <w:trPr>
          <w:trHeight w:val="80"/>
        </w:trPr>
        <w:tc>
          <w:tcPr>
            <w:tcW w:w="923" w:type="pct"/>
          </w:tcPr>
          <w:p w14:paraId="00D89293" w14:textId="77777777" w:rsidR="002343F3" w:rsidRPr="00500B18" w:rsidRDefault="002343F3" w:rsidP="006B588A">
            <w:r w:rsidRPr="00500B18">
              <w:t>ECV</w:t>
            </w:r>
          </w:p>
        </w:tc>
        <w:tc>
          <w:tcPr>
            <w:tcW w:w="4077" w:type="pct"/>
          </w:tcPr>
          <w:p w14:paraId="0F7BD212" w14:textId="77777777" w:rsidR="002343F3" w:rsidRPr="00500B18" w:rsidRDefault="002343F3" w:rsidP="00902631">
            <w:r w:rsidRPr="00500B18">
              <w:t>Essential climate variable</w:t>
            </w:r>
          </w:p>
        </w:tc>
      </w:tr>
      <w:tr w:rsidR="002343F3" w:rsidRPr="00500B18" w14:paraId="63032096" w14:textId="77777777" w:rsidTr="00D533BE">
        <w:trPr>
          <w:trHeight w:val="80"/>
        </w:trPr>
        <w:tc>
          <w:tcPr>
            <w:tcW w:w="923" w:type="pct"/>
          </w:tcPr>
          <w:p w14:paraId="77A416CA" w14:textId="77777777" w:rsidR="002343F3" w:rsidRPr="00500B18" w:rsidRDefault="002343F3" w:rsidP="006B588A">
            <w:r w:rsidRPr="00500B18">
              <w:t>EOLAB</w:t>
            </w:r>
          </w:p>
        </w:tc>
        <w:tc>
          <w:tcPr>
            <w:tcW w:w="4077" w:type="pct"/>
          </w:tcPr>
          <w:p w14:paraId="6D0B3BD4" w14:textId="77777777" w:rsidR="002343F3" w:rsidRPr="00500B18" w:rsidRDefault="002343F3" w:rsidP="00902631">
            <w:r w:rsidRPr="00500B18">
              <w:t>Earth Observation Laboratory</w:t>
            </w:r>
          </w:p>
        </w:tc>
      </w:tr>
      <w:tr w:rsidR="002343F3" w:rsidRPr="00500B18" w14:paraId="7E5D5575" w14:textId="77777777" w:rsidTr="00D533BE">
        <w:trPr>
          <w:trHeight w:val="80"/>
        </w:trPr>
        <w:tc>
          <w:tcPr>
            <w:tcW w:w="923" w:type="pct"/>
          </w:tcPr>
          <w:p w14:paraId="0A05FBFA" w14:textId="77777777" w:rsidR="002343F3" w:rsidRPr="00500B18" w:rsidRDefault="002343F3" w:rsidP="00EC3910">
            <w:r>
              <w:t>EPA</w:t>
            </w:r>
          </w:p>
        </w:tc>
        <w:tc>
          <w:tcPr>
            <w:tcW w:w="4077" w:type="pct"/>
          </w:tcPr>
          <w:p w14:paraId="22A0655D" w14:textId="77777777" w:rsidR="002343F3" w:rsidRPr="00500B18" w:rsidRDefault="002343F3" w:rsidP="00EC3910">
            <w:r>
              <w:t>Environmental Protection Agency</w:t>
            </w:r>
          </w:p>
        </w:tc>
      </w:tr>
      <w:tr w:rsidR="002343F3" w:rsidRPr="00500B18" w14:paraId="03D7FBE6" w14:textId="77777777" w:rsidTr="00D533BE">
        <w:tc>
          <w:tcPr>
            <w:tcW w:w="923" w:type="pct"/>
          </w:tcPr>
          <w:p w14:paraId="5DA45DF1" w14:textId="77777777" w:rsidR="002343F3" w:rsidRPr="00500B18" w:rsidRDefault="002343F3" w:rsidP="006B588A">
            <w:r w:rsidRPr="00500B18">
              <w:t>ESA</w:t>
            </w:r>
          </w:p>
        </w:tc>
        <w:tc>
          <w:tcPr>
            <w:tcW w:w="4077" w:type="pct"/>
          </w:tcPr>
          <w:p w14:paraId="05B4CAE2" w14:textId="77777777" w:rsidR="002343F3" w:rsidRPr="00500B18" w:rsidRDefault="002343F3" w:rsidP="00902631">
            <w:r w:rsidRPr="00500B18">
              <w:t>European Space Agency</w:t>
            </w:r>
          </w:p>
        </w:tc>
      </w:tr>
      <w:tr w:rsidR="002343F3" w:rsidRPr="00500B18" w14:paraId="40C36400" w14:textId="77777777" w:rsidTr="00D533BE">
        <w:trPr>
          <w:trHeight w:val="80"/>
        </w:trPr>
        <w:tc>
          <w:tcPr>
            <w:tcW w:w="923" w:type="pct"/>
          </w:tcPr>
          <w:p w14:paraId="0FE75816" w14:textId="77777777" w:rsidR="002343F3" w:rsidRPr="00500B18" w:rsidRDefault="002343F3" w:rsidP="006B588A">
            <w:r w:rsidRPr="00500B18">
              <w:t>ESU</w:t>
            </w:r>
          </w:p>
        </w:tc>
        <w:tc>
          <w:tcPr>
            <w:tcW w:w="4077" w:type="pct"/>
          </w:tcPr>
          <w:p w14:paraId="392AF9F1" w14:textId="77777777" w:rsidR="002343F3" w:rsidRPr="00500B18" w:rsidRDefault="002343F3" w:rsidP="00902631">
            <w:r w:rsidRPr="00500B18">
              <w:t>Elementary sampling unit</w:t>
            </w:r>
          </w:p>
        </w:tc>
      </w:tr>
      <w:tr w:rsidR="002343F3" w:rsidRPr="00500B18" w14:paraId="5BB562D8" w14:textId="77777777" w:rsidTr="00D533BE">
        <w:trPr>
          <w:trHeight w:val="80"/>
        </w:trPr>
        <w:tc>
          <w:tcPr>
            <w:tcW w:w="923" w:type="pct"/>
          </w:tcPr>
          <w:p w14:paraId="22E0187D" w14:textId="77777777" w:rsidR="002343F3" w:rsidRPr="00500B18" w:rsidRDefault="002343F3" w:rsidP="00EC3910">
            <w:r>
              <w:t>ETM+</w:t>
            </w:r>
          </w:p>
        </w:tc>
        <w:tc>
          <w:tcPr>
            <w:tcW w:w="4077" w:type="pct"/>
          </w:tcPr>
          <w:p w14:paraId="0A1827A4" w14:textId="77777777" w:rsidR="002343F3" w:rsidRPr="00500B18" w:rsidRDefault="002343F3" w:rsidP="00EC3910">
            <w:r>
              <w:t>Enhanced Thematic Mapper</w:t>
            </w:r>
          </w:p>
        </w:tc>
      </w:tr>
      <w:tr w:rsidR="002343F3" w:rsidRPr="00500B18" w14:paraId="6DD9CCB6" w14:textId="77777777" w:rsidTr="00D533BE">
        <w:trPr>
          <w:trHeight w:val="80"/>
        </w:trPr>
        <w:tc>
          <w:tcPr>
            <w:tcW w:w="923" w:type="pct"/>
          </w:tcPr>
          <w:p w14:paraId="589DCF02" w14:textId="77777777" w:rsidR="002343F3" w:rsidRPr="00500B18" w:rsidRDefault="002343F3" w:rsidP="00902631">
            <w:r w:rsidRPr="00500B18">
              <w:t>FAPAR</w:t>
            </w:r>
          </w:p>
        </w:tc>
        <w:tc>
          <w:tcPr>
            <w:tcW w:w="4077" w:type="pct"/>
          </w:tcPr>
          <w:p w14:paraId="391B7810" w14:textId="77777777" w:rsidR="002343F3" w:rsidRPr="00500B18" w:rsidRDefault="002343F3" w:rsidP="00902631">
            <w:r w:rsidRPr="00500B18">
              <w:t>Fraction of absorbed photosynthetically active radiation</w:t>
            </w:r>
          </w:p>
        </w:tc>
      </w:tr>
      <w:tr w:rsidR="002343F3" w:rsidRPr="00500B18" w14:paraId="5D082C42" w14:textId="77777777" w:rsidTr="00D533BE">
        <w:trPr>
          <w:trHeight w:val="80"/>
        </w:trPr>
        <w:tc>
          <w:tcPr>
            <w:tcW w:w="923" w:type="pct"/>
          </w:tcPr>
          <w:p w14:paraId="578F4638" w14:textId="77777777" w:rsidR="002343F3" w:rsidRPr="00500B18" w:rsidRDefault="002343F3" w:rsidP="00902631">
            <w:r w:rsidRPr="00500B18">
              <w:t>FCOVER</w:t>
            </w:r>
          </w:p>
        </w:tc>
        <w:tc>
          <w:tcPr>
            <w:tcW w:w="4077" w:type="pct"/>
          </w:tcPr>
          <w:p w14:paraId="2E85C5F6" w14:textId="77777777" w:rsidR="002343F3" w:rsidRPr="00500B18" w:rsidRDefault="002343F3" w:rsidP="00902631">
            <w:r w:rsidRPr="00500B18">
              <w:t>Fraction of vegetation cover</w:t>
            </w:r>
          </w:p>
        </w:tc>
      </w:tr>
      <w:tr w:rsidR="002343F3" w:rsidRPr="00500B18" w14:paraId="513E3101" w14:textId="77777777" w:rsidTr="00D533BE">
        <w:trPr>
          <w:trHeight w:val="80"/>
        </w:trPr>
        <w:tc>
          <w:tcPr>
            <w:tcW w:w="923" w:type="pct"/>
          </w:tcPr>
          <w:p w14:paraId="1D96BB2B" w14:textId="77777777" w:rsidR="002343F3" w:rsidRPr="00500B18" w:rsidRDefault="002343F3" w:rsidP="00902631">
            <w:r w:rsidRPr="00500B18">
              <w:t>FOV</w:t>
            </w:r>
          </w:p>
        </w:tc>
        <w:tc>
          <w:tcPr>
            <w:tcW w:w="4077" w:type="pct"/>
          </w:tcPr>
          <w:p w14:paraId="3A971645" w14:textId="77777777" w:rsidR="002343F3" w:rsidRPr="00500B18" w:rsidRDefault="002343F3" w:rsidP="00902631">
            <w:r w:rsidRPr="00500B18">
              <w:t>Field-of-view</w:t>
            </w:r>
          </w:p>
        </w:tc>
      </w:tr>
      <w:tr w:rsidR="002343F3" w:rsidRPr="00500B18" w14:paraId="669A2BCF" w14:textId="77777777" w:rsidTr="00D533BE">
        <w:trPr>
          <w:trHeight w:val="80"/>
        </w:trPr>
        <w:tc>
          <w:tcPr>
            <w:tcW w:w="923" w:type="pct"/>
          </w:tcPr>
          <w:p w14:paraId="59EAC855" w14:textId="77777777" w:rsidR="002343F3" w:rsidRPr="00500B18" w:rsidRDefault="002343F3" w:rsidP="00902631">
            <w:r w:rsidRPr="00500B18">
              <w:t>FPP</w:t>
            </w:r>
          </w:p>
        </w:tc>
        <w:tc>
          <w:tcPr>
            <w:tcW w:w="4077" w:type="pct"/>
          </w:tcPr>
          <w:p w14:paraId="1F143DF9" w14:textId="77777777" w:rsidR="002343F3" w:rsidRPr="00500B18" w:rsidRDefault="002343F3" w:rsidP="00902631">
            <w:r w:rsidRPr="00500B18">
              <w:t>FRM Protocols and Procedures</w:t>
            </w:r>
          </w:p>
        </w:tc>
      </w:tr>
      <w:tr w:rsidR="002343F3" w:rsidRPr="00500B18" w14:paraId="55CF213A" w14:textId="77777777" w:rsidTr="00D533BE">
        <w:trPr>
          <w:trHeight w:val="80"/>
        </w:trPr>
        <w:tc>
          <w:tcPr>
            <w:tcW w:w="923" w:type="pct"/>
          </w:tcPr>
          <w:p w14:paraId="438F8070" w14:textId="77777777" w:rsidR="002343F3" w:rsidRPr="00500B18" w:rsidRDefault="002343F3" w:rsidP="00902631">
            <w:r w:rsidRPr="00500B18">
              <w:t>FRM</w:t>
            </w:r>
          </w:p>
        </w:tc>
        <w:tc>
          <w:tcPr>
            <w:tcW w:w="4077" w:type="pct"/>
          </w:tcPr>
          <w:p w14:paraId="733F132A" w14:textId="77777777" w:rsidR="002343F3" w:rsidRPr="00500B18" w:rsidRDefault="002343F3" w:rsidP="00902631">
            <w:r w:rsidRPr="00500B18">
              <w:t>Fiducial Reference Measurements</w:t>
            </w:r>
          </w:p>
        </w:tc>
      </w:tr>
      <w:tr w:rsidR="002343F3" w:rsidRPr="00500B18" w14:paraId="799DC328" w14:textId="77777777" w:rsidTr="00D533BE">
        <w:trPr>
          <w:trHeight w:val="80"/>
        </w:trPr>
        <w:tc>
          <w:tcPr>
            <w:tcW w:w="923" w:type="pct"/>
          </w:tcPr>
          <w:p w14:paraId="063A885D" w14:textId="77777777" w:rsidR="002343F3" w:rsidRPr="00500B18" w:rsidRDefault="002343F3" w:rsidP="00902631">
            <w:r w:rsidRPr="00500B18">
              <w:t>FRM4VEG</w:t>
            </w:r>
          </w:p>
        </w:tc>
        <w:tc>
          <w:tcPr>
            <w:tcW w:w="4077" w:type="pct"/>
          </w:tcPr>
          <w:p w14:paraId="0E8E068B" w14:textId="77777777" w:rsidR="002343F3" w:rsidRPr="00500B18" w:rsidRDefault="002343F3" w:rsidP="00902631">
            <w:r w:rsidRPr="00500B18">
              <w:t>Fiducial Reference Measurements for Vegetation</w:t>
            </w:r>
          </w:p>
        </w:tc>
      </w:tr>
      <w:tr w:rsidR="002343F3" w:rsidRPr="00500B18" w14:paraId="592434E4" w14:textId="77777777" w:rsidTr="00D533BE">
        <w:trPr>
          <w:trHeight w:val="80"/>
        </w:trPr>
        <w:tc>
          <w:tcPr>
            <w:tcW w:w="923" w:type="pct"/>
          </w:tcPr>
          <w:p w14:paraId="3454CC5E" w14:textId="77777777" w:rsidR="002343F3" w:rsidRPr="00500B18" w:rsidRDefault="002343F3" w:rsidP="00EC3910">
            <w:r>
              <w:t>GBOV</w:t>
            </w:r>
          </w:p>
        </w:tc>
        <w:tc>
          <w:tcPr>
            <w:tcW w:w="4077" w:type="pct"/>
          </w:tcPr>
          <w:p w14:paraId="34310F49" w14:textId="77777777" w:rsidR="002343F3" w:rsidRPr="00500B18" w:rsidRDefault="002343F3" w:rsidP="00EC3910">
            <w:r>
              <w:t>Ground Based Observations for Validation</w:t>
            </w:r>
          </w:p>
        </w:tc>
      </w:tr>
      <w:tr w:rsidR="002343F3" w:rsidRPr="00500B18" w14:paraId="51F6E77C" w14:textId="77777777" w:rsidTr="00D533BE">
        <w:trPr>
          <w:trHeight w:val="80"/>
        </w:trPr>
        <w:tc>
          <w:tcPr>
            <w:tcW w:w="923" w:type="pct"/>
          </w:tcPr>
          <w:p w14:paraId="5D0DF2B5" w14:textId="77777777" w:rsidR="002343F3" w:rsidRPr="00500B18" w:rsidRDefault="002343F3" w:rsidP="00902631">
            <w:r w:rsidRPr="00500B18">
              <w:t>GCOS</w:t>
            </w:r>
          </w:p>
        </w:tc>
        <w:tc>
          <w:tcPr>
            <w:tcW w:w="4077" w:type="pct"/>
          </w:tcPr>
          <w:p w14:paraId="7B24E876" w14:textId="77777777" w:rsidR="002343F3" w:rsidRPr="00500B18" w:rsidRDefault="002343F3" w:rsidP="00902631">
            <w:r w:rsidRPr="00500B18">
              <w:t xml:space="preserve">Global Climate Observing System </w:t>
            </w:r>
          </w:p>
        </w:tc>
      </w:tr>
      <w:tr w:rsidR="002343F3" w:rsidRPr="00500B18" w14:paraId="1D215EAB" w14:textId="77777777" w:rsidTr="00D533BE">
        <w:trPr>
          <w:trHeight w:val="80"/>
        </w:trPr>
        <w:tc>
          <w:tcPr>
            <w:tcW w:w="923" w:type="pct"/>
          </w:tcPr>
          <w:p w14:paraId="081B5A30" w14:textId="77777777" w:rsidR="002343F3" w:rsidRPr="00500B18" w:rsidRDefault="002343F3" w:rsidP="00EC3910">
            <w:r>
              <w:t>GLASS</w:t>
            </w:r>
          </w:p>
        </w:tc>
        <w:tc>
          <w:tcPr>
            <w:tcW w:w="4077" w:type="pct"/>
          </w:tcPr>
          <w:p w14:paraId="1C5FAA9F" w14:textId="77777777" w:rsidR="002343F3" w:rsidRPr="00500B18" w:rsidRDefault="002343F3" w:rsidP="00EC3910">
            <w:r>
              <w:t>Global Land Surface Satellite</w:t>
            </w:r>
          </w:p>
        </w:tc>
      </w:tr>
      <w:tr w:rsidR="002343F3" w:rsidRPr="00500B18" w14:paraId="5193EBC8" w14:textId="77777777" w:rsidTr="00D533BE">
        <w:trPr>
          <w:trHeight w:val="80"/>
        </w:trPr>
        <w:tc>
          <w:tcPr>
            <w:tcW w:w="923" w:type="pct"/>
          </w:tcPr>
          <w:p w14:paraId="243995D9" w14:textId="77777777" w:rsidR="002343F3" w:rsidRPr="00500B18" w:rsidRDefault="002343F3" w:rsidP="00EC3910">
            <w:r>
              <w:t>GLOBCARBON</w:t>
            </w:r>
          </w:p>
        </w:tc>
        <w:tc>
          <w:tcPr>
            <w:tcW w:w="4077" w:type="pct"/>
          </w:tcPr>
          <w:p w14:paraId="5036637F" w14:textId="77777777" w:rsidR="002343F3" w:rsidRPr="00500B18" w:rsidRDefault="002343F3" w:rsidP="00EC3910">
            <w:r w:rsidRPr="002343F3">
              <w:t>Global Biophysical Products Terrestrial Carbon Studies</w:t>
            </w:r>
          </w:p>
        </w:tc>
      </w:tr>
      <w:tr w:rsidR="002343F3" w:rsidRPr="00500B18" w14:paraId="39746B61" w14:textId="77777777" w:rsidTr="00D533BE">
        <w:trPr>
          <w:trHeight w:val="80"/>
        </w:trPr>
        <w:tc>
          <w:tcPr>
            <w:tcW w:w="923" w:type="pct"/>
          </w:tcPr>
          <w:p w14:paraId="32C94008" w14:textId="77777777" w:rsidR="002343F3" w:rsidRPr="00500B18" w:rsidRDefault="002343F3" w:rsidP="00902631">
            <w:r w:rsidRPr="00500B18">
              <w:t>GPS</w:t>
            </w:r>
          </w:p>
        </w:tc>
        <w:tc>
          <w:tcPr>
            <w:tcW w:w="4077" w:type="pct"/>
          </w:tcPr>
          <w:p w14:paraId="6DAA4DB8" w14:textId="77777777" w:rsidR="002343F3" w:rsidRPr="00500B18" w:rsidRDefault="002343F3" w:rsidP="00902631">
            <w:r w:rsidRPr="00500B18">
              <w:t>Global positioning system</w:t>
            </w:r>
          </w:p>
        </w:tc>
      </w:tr>
      <w:tr w:rsidR="002343F3" w:rsidRPr="00500B18" w14:paraId="510F2951" w14:textId="77777777" w:rsidTr="00D533BE">
        <w:trPr>
          <w:trHeight w:val="80"/>
        </w:trPr>
        <w:tc>
          <w:tcPr>
            <w:tcW w:w="923" w:type="pct"/>
          </w:tcPr>
          <w:p w14:paraId="4248327E" w14:textId="77777777" w:rsidR="002343F3" w:rsidRPr="00500B18" w:rsidRDefault="002343F3" w:rsidP="00EC3910">
            <w:r>
              <w:t>HRV</w:t>
            </w:r>
          </w:p>
        </w:tc>
        <w:tc>
          <w:tcPr>
            <w:tcW w:w="4077" w:type="pct"/>
          </w:tcPr>
          <w:p w14:paraId="66C5E5D6" w14:textId="77777777" w:rsidR="002343F3" w:rsidRPr="00500B18" w:rsidRDefault="002343F3" w:rsidP="00EC3910">
            <w:r>
              <w:t>High Resolution Visible</w:t>
            </w:r>
          </w:p>
        </w:tc>
      </w:tr>
      <w:tr w:rsidR="002343F3" w:rsidRPr="00500B18" w14:paraId="754974FA" w14:textId="77777777" w:rsidTr="00D533BE">
        <w:trPr>
          <w:trHeight w:val="80"/>
        </w:trPr>
        <w:tc>
          <w:tcPr>
            <w:tcW w:w="923" w:type="pct"/>
          </w:tcPr>
          <w:p w14:paraId="4DB0FBD1" w14:textId="77777777" w:rsidR="002343F3" w:rsidRPr="00500B18" w:rsidRDefault="002343F3" w:rsidP="00EC3910">
            <w:r>
              <w:t>IGBP</w:t>
            </w:r>
          </w:p>
        </w:tc>
        <w:tc>
          <w:tcPr>
            <w:tcW w:w="4077" w:type="pct"/>
          </w:tcPr>
          <w:p w14:paraId="19B95047" w14:textId="77777777" w:rsidR="002343F3" w:rsidRPr="00500B18" w:rsidRDefault="002343F3" w:rsidP="00EC3910">
            <w:r w:rsidRPr="00814597">
              <w:t>International Geosphere Biosphere Programme</w:t>
            </w:r>
          </w:p>
        </w:tc>
      </w:tr>
      <w:tr w:rsidR="002343F3" w:rsidRPr="00500B18" w14:paraId="2EB95CED" w14:textId="77777777" w:rsidTr="00D533BE">
        <w:trPr>
          <w:trHeight w:val="80"/>
        </w:trPr>
        <w:tc>
          <w:tcPr>
            <w:tcW w:w="923" w:type="pct"/>
          </w:tcPr>
          <w:p w14:paraId="1E199C13" w14:textId="77777777" w:rsidR="002343F3" w:rsidRPr="00500B18" w:rsidRDefault="002343F3" w:rsidP="00EC3910">
            <w:proofErr w:type="spellStart"/>
            <w:r>
              <w:t>ImagineS</w:t>
            </w:r>
            <w:proofErr w:type="spellEnd"/>
          </w:p>
        </w:tc>
        <w:tc>
          <w:tcPr>
            <w:tcW w:w="4077" w:type="pct"/>
          </w:tcPr>
          <w:p w14:paraId="5785451D" w14:textId="77777777" w:rsidR="002343F3" w:rsidRPr="00500B18" w:rsidRDefault="002343F3" w:rsidP="00EC3910">
            <w:r w:rsidRPr="00814597">
              <w:t>Implementation of Multiscale Agricultural Indicators Exploring Sentinels</w:t>
            </w:r>
          </w:p>
        </w:tc>
      </w:tr>
      <w:tr w:rsidR="002343F3" w:rsidRPr="00500B18" w14:paraId="6935619E" w14:textId="77777777" w:rsidTr="00D533BE">
        <w:trPr>
          <w:trHeight w:val="80"/>
        </w:trPr>
        <w:tc>
          <w:tcPr>
            <w:tcW w:w="923" w:type="pct"/>
          </w:tcPr>
          <w:p w14:paraId="182EBF73" w14:textId="77777777" w:rsidR="002343F3" w:rsidRPr="00500B18" w:rsidRDefault="002343F3" w:rsidP="00902631">
            <w:r w:rsidRPr="00500B18">
              <w:t>INRA</w:t>
            </w:r>
          </w:p>
        </w:tc>
        <w:tc>
          <w:tcPr>
            <w:tcW w:w="4077" w:type="pct"/>
          </w:tcPr>
          <w:p w14:paraId="54735FF7" w14:textId="77777777" w:rsidR="002343F3" w:rsidRPr="00500B18" w:rsidRDefault="002343F3" w:rsidP="00902631">
            <w:proofErr w:type="spellStart"/>
            <w:r w:rsidRPr="00500B18">
              <w:t>Institut</w:t>
            </w:r>
            <w:proofErr w:type="spellEnd"/>
            <w:r w:rsidRPr="00500B18">
              <w:t xml:space="preserve"> National de la Recherche </w:t>
            </w:r>
            <w:proofErr w:type="spellStart"/>
            <w:r w:rsidRPr="00500B18">
              <w:t>Agronomique</w:t>
            </w:r>
            <w:proofErr w:type="spellEnd"/>
          </w:p>
        </w:tc>
      </w:tr>
      <w:tr w:rsidR="002343F3" w:rsidRPr="00500B18" w14:paraId="362C914B" w14:textId="77777777" w:rsidTr="00D533BE">
        <w:trPr>
          <w:trHeight w:val="80"/>
        </w:trPr>
        <w:tc>
          <w:tcPr>
            <w:tcW w:w="923" w:type="pct"/>
          </w:tcPr>
          <w:p w14:paraId="3FEED0E7" w14:textId="77777777" w:rsidR="002343F3" w:rsidRPr="00500B18" w:rsidRDefault="002343F3" w:rsidP="00EC3910">
            <w:r>
              <w:t>IRLS</w:t>
            </w:r>
          </w:p>
        </w:tc>
        <w:tc>
          <w:tcPr>
            <w:tcW w:w="4077" w:type="pct"/>
          </w:tcPr>
          <w:p w14:paraId="47D0F3FA" w14:textId="77777777" w:rsidR="002343F3" w:rsidRPr="00500B18" w:rsidRDefault="002343F3" w:rsidP="00EC3910">
            <w:r>
              <w:t>Iteratively reweighted least squares</w:t>
            </w:r>
          </w:p>
        </w:tc>
      </w:tr>
      <w:tr w:rsidR="002343F3" w:rsidRPr="00500B18" w14:paraId="0F7C98AB" w14:textId="77777777" w:rsidTr="00D533BE">
        <w:trPr>
          <w:trHeight w:val="80"/>
        </w:trPr>
        <w:tc>
          <w:tcPr>
            <w:tcW w:w="923" w:type="pct"/>
          </w:tcPr>
          <w:p w14:paraId="66CEAB0F" w14:textId="77777777" w:rsidR="002343F3" w:rsidRPr="00500B18" w:rsidRDefault="002343F3" w:rsidP="00EC3910">
            <w:r>
              <w:t>JRC</w:t>
            </w:r>
          </w:p>
        </w:tc>
        <w:tc>
          <w:tcPr>
            <w:tcW w:w="4077" w:type="pct"/>
          </w:tcPr>
          <w:p w14:paraId="21853CDC" w14:textId="77777777" w:rsidR="002343F3" w:rsidRPr="00500B18" w:rsidRDefault="002343F3" w:rsidP="00EC3910">
            <w:r>
              <w:t>Joint Research Centre</w:t>
            </w:r>
          </w:p>
        </w:tc>
      </w:tr>
      <w:tr w:rsidR="002343F3" w:rsidRPr="00500B18" w14:paraId="4A505A9F" w14:textId="77777777" w:rsidTr="00D533BE">
        <w:trPr>
          <w:trHeight w:val="80"/>
        </w:trPr>
        <w:tc>
          <w:tcPr>
            <w:tcW w:w="923" w:type="pct"/>
          </w:tcPr>
          <w:p w14:paraId="39F99C4E" w14:textId="77777777" w:rsidR="002343F3" w:rsidRPr="00500B18" w:rsidRDefault="002343F3" w:rsidP="00902631">
            <w:r w:rsidRPr="00500B18">
              <w:t>LAI</w:t>
            </w:r>
          </w:p>
        </w:tc>
        <w:tc>
          <w:tcPr>
            <w:tcW w:w="4077" w:type="pct"/>
          </w:tcPr>
          <w:p w14:paraId="37EE416A" w14:textId="77777777" w:rsidR="002343F3" w:rsidRPr="00500B18" w:rsidRDefault="002343F3" w:rsidP="00902631">
            <w:r w:rsidRPr="00500B18">
              <w:t>Leaf area index</w:t>
            </w:r>
          </w:p>
        </w:tc>
      </w:tr>
      <w:tr w:rsidR="002343F3" w:rsidRPr="00500B18" w14:paraId="17F8D5CA" w14:textId="77777777" w:rsidTr="00D533BE">
        <w:trPr>
          <w:trHeight w:val="80"/>
        </w:trPr>
        <w:tc>
          <w:tcPr>
            <w:tcW w:w="923" w:type="pct"/>
          </w:tcPr>
          <w:p w14:paraId="07B15ACF" w14:textId="77777777" w:rsidR="002343F3" w:rsidRPr="00500B18" w:rsidRDefault="002343F3" w:rsidP="00902631">
            <w:r w:rsidRPr="00500B18">
              <w:t>LCC</w:t>
            </w:r>
          </w:p>
        </w:tc>
        <w:tc>
          <w:tcPr>
            <w:tcW w:w="4077" w:type="pct"/>
          </w:tcPr>
          <w:p w14:paraId="39F570E5" w14:textId="77777777" w:rsidR="002343F3" w:rsidRPr="00500B18" w:rsidRDefault="002343F3" w:rsidP="00902631">
            <w:r w:rsidRPr="00500B18">
              <w:t>Leaf chlorophyll concentration</w:t>
            </w:r>
          </w:p>
        </w:tc>
      </w:tr>
      <w:tr w:rsidR="002343F3" w:rsidRPr="00500B18" w14:paraId="39E1D490" w14:textId="77777777" w:rsidTr="00D533BE">
        <w:trPr>
          <w:trHeight w:val="80"/>
        </w:trPr>
        <w:tc>
          <w:tcPr>
            <w:tcW w:w="923" w:type="pct"/>
          </w:tcPr>
          <w:p w14:paraId="402E5CA2" w14:textId="77777777" w:rsidR="002343F3" w:rsidRPr="00500B18" w:rsidRDefault="002343F3" w:rsidP="00902631">
            <w:r w:rsidRPr="00500B18">
              <w:t>LPV</w:t>
            </w:r>
          </w:p>
        </w:tc>
        <w:tc>
          <w:tcPr>
            <w:tcW w:w="4077" w:type="pct"/>
          </w:tcPr>
          <w:p w14:paraId="4DA479CF" w14:textId="77777777" w:rsidR="002343F3" w:rsidRPr="00500B18" w:rsidRDefault="002343F3" w:rsidP="00902631">
            <w:r w:rsidRPr="00500B18">
              <w:t>Land Product Validation</w:t>
            </w:r>
          </w:p>
        </w:tc>
      </w:tr>
      <w:tr w:rsidR="002343F3" w:rsidRPr="00500B18" w14:paraId="38926137" w14:textId="77777777" w:rsidTr="00D533BE">
        <w:trPr>
          <w:trHeight w:val="80"/>
        </w:trPr>
        <w:tc>
          <w:tcPr>
            <w:tcW w:w="923" w:type="pct"/>
          </w:tcPr>
          <w:p w14:paraId="27A47467" w14:textId="77777777" w:rsidR="002343F3" w:rsidRPr="00500B18" w:rsidRDefault="002343F3" w:rsidP="00902631">
            <w:r w:rsidRPr="00500B18">
              <w:t>LUT</w:t>
            </w:r>
          </w:p>
        </w:tc>
        <w:tc>
          <w:tcPr>
            <w:tcW w:w="4077" w:type="pct"/>
          </w:tcPr>
          <w:p w14:paraId="6B124FF5" w14:textId="77777777" w:rsidR="002343F3" w:rsidRPr="00500B18" w:rsidRDefault="002343F3" w:rsidP="00902631">
            <w:r w:rsidRPr="00500B18">
              <w:t>Look-up-table</w:t>
            </w:r>
          </w:p>
        </w:tc>
      </w:tr>
      <w:tr w:rsidR="002343F3" w:rsidRPr="00500B18" w14:paraId="3C328832" w14:textId="77777777" w:rsidTr="00D533BE">
        <w:trPr>
          <w:trHeight w:val="80"/>
        </w:trPr>
        <w:tc>
          <w:tcPr>
            <w:tcW w:w="923" w:type="pct"/>
          </w:tcPr>
          <w:p w14:paraId="62A85485" w14:textId="77777777" w:rsidR="002343F3" w:rsidRPr="00500B18" w:rsidRDefault="002343F3" w:rsidP="00EC3910">
            <w:r>
              <w:t>MERIS</w:t>
            </w:r>
          </w:p>
        </w:tc>
        <w:tc>
          <w:tcPr>
            <w:tcW w:w="4077" w:type="pct"/>
          </w:tcPr>
          <w:p w14:paraId="6EBF4E7A" w14:textId="77777777" w:rsidR="002343F3" w:rsidRPr="00500B18" w:rsidRDefault="002343F3" w:rsidP="00EC3910">
            <w:r>
              <w:t>Medium Resolution Imaging Spectrometer</w:t>
            </w:r>
          </w:p>
        </w:tc>
      </w:tr>
      <w:tr w:rsidR="002343F3" w:rsidRPr="00500B18" w14:paraId="16E611B0" w14:textId="77777777" w:rsidTr="00D533BE">
        <w:trPr>
          <w:trHeight w:val="80"/>
        </w:trPr>
        <w:tc>
          <w:tcPr>
            <w:tcW w:w="923" w:type="pct"/>
          </w:tcPr>
          <w:p w14:paraId="799FB2F6" w14:textId="77777777" w:rsidR="002343F3" w:rsidRPr="00500B18" w:rsidRDefault="002343F3" w:rsidP="00EC3910">
            <w:r>
              <w:t>MGVI</w:t>
            </w:r>
          </w:p>
        </w:tc>
        <w:tc>
          <w:tcPr>
            <w:tcW w:w="4077" w:type="pct"/>
          </w:tcPr>
          <w:p w14:paraId="7EA18E89" w14:textId="77777777" w:rsidR="002343F3" w:rsidRPr="00500B18" w:rsidRDefault="002343F3" w:rsidP="00EC3910">
            <w:r>
              <w:t>MERIS Global Vegetation Index</w:t>
            </w:r>
          </w:p>
        </w:tc>
      </w:tr>
      <w:tr w:rsidR="002343F3" w:rsidRPr="00500B18" w14:paraId="41B4621A" w14:textId="77777777" w:rsidTr="00D533BE">
        <w:trPr>
          <w:trHeight w:val="80"/>
        </w:trPr>
        <w:tc>
          <w:tcPr>
            <w:tcW w:w="923" w:type="pct"/>
          </w:tcPr>
          <w:p w14:paraId="1341406B" w14:textId="77777777" w:rsidR="002343F3" w:rsidRPr="00500B18" w:rsidRDefault="002343F3" w:rsidP="00EC3910">
            <w:r>
              <w:t>MODIS</w:t>
            </w:r>
          </w:p>
        </w:tc>
        <w:tc>
          <w:tcPr>
            <w:tcW w:w="4077" w:type="pct"/>
          </w:tcPr>
          <w:p w14:paraId="4950F42E" w14:textId="77777777" w:rsidR="002343F3" w:rsidRPr="00500B18" w:rsidRDefault="002343F3" w:rsidP="00EC3910">
            <w:r>
              <w:t>Moderate Resolution Imaging Spectroradiometer</w:t>
            </w:r>
          </w:p>
        </w:tc>
      </w:tr>
      <w:tr w:rsidR="002343F3" w:rsidRPr="00500B18" w14:paraId="4E1E6F23" w14:textId="77777777" w:rsidTr="00D533BE">
        <w:trPr>
          <w:trHeight w:val="80"/>
        </w:trPr>
        <w:tc>
          <w:tcPr>
            <w:tcW w:w="923" w:type="pct"/>
          </w:tcPr>
          <w:p w14:paraId="40244DAC" w14:textId="77777777" w:rsidR="002343F3" w:rsidRPr="00500B18" w:rsidRDefault="002343F3" w:rsidP="00EC3910">
            <w:r>
              <w:t>MODLAND</w:t>
            </w:r>
          </w:p>
        </w:tc>
        <w:tc>
          <w:tcPr>
            <w:tcW w:w="4077" w:type="pct"/>
          </w:tcPr>
          <w:p w14:paraId="4BC48B3D" w14:textId="77777777" w:rsidR="002343F3" w:rsidRPr="00500B18" w:rsidRDefault="002343F3" w:rsidP="00EC3910">
            <w:r>
              <w:t>MODIS Land Science Team</w:t>
            </w:r>
          </w:p>
        </w:tc>
      </w:tr>
      <w:tr w:rsidR="002343F3" w:rsidRPr="00500B18" w14:paraId="5347B717" w14:textId="77777777" w:rsidTr="00D533BE">
        <w:trPr>
          <w:trHeight w:val="80"/>
        </w:trPr>
        <w:tc>
          <w:tcPr>
            <w:tcW w:w="923" w:type="pct"/>
          </w:tcPr>
          <w:p w14:paraId="009A729A" w14:textId="77777777" w:rsidR="002343F3" w:rsidRPr="00500B18" w:rsidRDefault="002343F3" w:rsidP="00902631">
            <w:r w:rsidRPr="00500B18">
              <w:t>MSI</w:t>
            </w:r>
          </w:p>
        </w:tc>
        <w:tc>
          <w:tcPr>
            <w:tcW w:w="4077" w:type="pct"/>
          </w:tcPr>
          <w:p w14:paraId="402B2C1A" w14:textId="77777777" w:rsidR="002343F3" w:rsidRPr="00500B18" w:rsidRDefault="002343F3" w:rsidP="00902631">
            <w:r w:rsidRPr="00500B18">
              <w:t>Multispectral Instrument</w:t>
            </w:r>
          </w:p>
        </w:tc>
      </w:tr>
      <w:tr w:rsidR="002343F3" w:rsidRPr="00500B18" w14:paraId="7973A9F1" w14:textId="77777777" w:rsidTr="00D533BE">
        <w:trPr>
          <w:trHeight w:val="80"/>
        </w:trPr>
        <w:tc>
          <w:tcPr>
            <w:tcW w:w="923" w:type="pct"/>
          </w:tcPr>
          <w:p w14:paraId="0147C3E7" w14:textId="77777777" w:rsidR="002343F3" w:rsidRPr="00500B18" w:rsidRDefault="002343F3" w:rsidP="00EC3910">
            <w:r>
              <w:t>MTCI</w:t>
            </w:r>
          </w:p>
        </w:tc>
        <w:tc>
          <w:tcPr>
            <w:tcW w:w="4077" w:type="pct"/>
          </w:tcPr>
          <w:p w14:paraId="39332087" w14:textId="77777777" w:rsidR="002343F3" w:rsidRPr="00500B18" w:rsidRDefault="002343F3" w:rsidP="00EC3910">
            <w:r>
              <w:t>MERIS Terrestrial Chlorophyll Index</w:t>
            </w:r>
          </w:p>
        </w:tc>
      </w:tr>
      <w:tr w:rsidR="002343F3" w:rsidRPr="00500B18" w14:paraId="4F98BF8D" w14:textId="77777777" w:rsidTr="00D533BE">
        <w:trPr>
          <w:trHeight w:val="80"/>
        </w:trPr>
        <w:tc>
          <w:tcPr>
            <w:tcW w:w="923" w:type="pct"/>
          </w:tcPr>
          <w:p w14:paraId="654B721E" w14:textId="77777777" w:rsidR="002343F3" w:rsidRPr="00500B18" w:rsidRDefault="002343F3" w:rsidP="00902631">
            <w:r w:rsidRPr="00500B18">
              <w:t>NEON</w:t>
            </w:r>
          </w:p>
        </w:tc>
        <w:tc>
          <w:tcPr>
            <w:tcW w:w="4077" w:type="pct"/>
          </w:tcPr>
          <w:p w14:paraId="1A65D493" w14:textId="77777777" w:rsidR="002343F3" w:rsidRPr="00500B18" w:rsidRDefault="002343F3" w:rsidP="00902631">
            <w:r w:rsidRPr="00500B18">
              <w:t>National Ecology Observatory Network</w:t>
            </w:r>
          </w:p>
        </w:tc>
      </w:tr>
      <w:tr w:rsidR="002343F3" w:rsidRPr="00500B18" w14:paraId="366A8FD2" w14:textId="77777777" w:rsidTr="00D533BE">
        <w:trPr>
          <w:trHeight w:val="80"/>
        </w:trPr>
        <w:tc>
          <w:tcPr>
            <w:tcW w:w="923" w:type="pct"/>
          </w:tcPr>
          <w:p w14:paraId="31F96E3F" w14:textId="77777777" w:rsidR="002343F3" w:rsidRPr="00500B18" w:rsidRDefault="002343F3" w:rsidP="00902631">
            <w:r w:rsidRPr="00500B18">
              <w:lastRenderedPageBreak/>
              <w:t>NPL</w:t>
            </w:r>
          </w:p>
        </w:tc>
        <w:tc>
          <w:tcPr>
            <w:tcW w:w="4077" w:type="pct"/>
          </w:tcPr>
          <w:p w14:paraId="4907418D" w14:textId="77777777" w:rsidR="002343F3" w:rsidRPr="00500B18" w:rsidRDefault="002343F3" w:rsidP="00902631">
            <w:r w:rsidRPr="00500B18">
              <w:t>National Physical Laboratory</w:t>
            </w:r>
            <w:r>
              <w:t xml:space="preserve">                    </w:t>
            </w:r>
          </w:p>
        </w:tc>
      </w:tr>
      <w:tr w:rsidR="002343F3" w:rsidRPr="00500B18" w14:paraId="57743D9B" w14:textId="77777777" w:rsidTr="00D533BE">
        <w:trPr>
          <w:trHeight w:val="80"/>
        </w:trPr>
        <w:tc>
          <w:tcPr>
            <w:tcW w:w="923" w:type="pct"/>
          </w:tcPr>
          <w:p w14:paraId="311C3DB6" w14:textId="77777777" w:rsidR="002343F3" w:rsidRPr="00500B18" w:rsidRDefault="002343F3" w:rsidP="00EC3910">
            <w:r>
              <w:t>NPP</w:t>
            </w:r>
          </w:p>
        </w:tc>
        <w:tc>
          <w:tcPr>
            <w:tcW w:w="4077" w:type="pct"/>
          </w:tcPr>
          <w:p w14:paraId="23784177" w14:textId="77777777" w:rsidR="002343F3" w:rsidRPr="00500B18" w:rsidRDefault="002343F3" w:rsidP="00EC3910">
            <w:r>
              <w:t>Net primary productivity</w:t>
            </w:r>
          </w:p>
        </w:tc>
      </w:tr>
      <w:tr w:rsidR="002343F3" w:rsidRPr="00500B18" w14:paraId="752E50D1" w14:textId="77777777" w:rsidTr="00D533BE">
        <w:trPr>
          <w:trHeight w:val="80"/>
        </w:trPr>
        <w:tc>
          <w:tcPr>
            <w:tcW w:w="923" w:type="pct"/>
          </w:tcPr>
          <w:p w14:paraId="216C592C" w14:textId="77777777" w:rsidR="002343F3" w:rsidRPr="00500B18" w:rsidRDefault="002343F3" w:rsidP="00902631">
            <w:r w:rsidRPr="00500B18">
              <w:t>ODR</w:t>
            </w:r>
          </w:p>
        </w:tc>
        <w:tc>
          <w:tcPr>
            <w:tcW w:w="4077" w:type="pct"/>
          </w:tcPr>
          <w:p w14:paraId="54A5BC1C" w14:textId="77777777" w:rsidR="002343F3" w:rsidRPr="00500B18" w:rsidRDefault="002343F3" w:rsidP="00902631">
            <w:r w:rsidRPr="00500B18">
              <w:t>Orthogonal distance regression</w:t>
            </w:r>
          </w:p>
        </w:tc>
      </w:tr>
      <w:tr w:rsidR="002343F3" w:rsidRPr="00500B18" w14:paraId="46B7F7EF" w14:textId="77777777" w:rsidTr="00D533BE">
        <w:trPr>
          <w:trHeight w:val="80"/>
        </w:trPr>
        <w:tc>
          <w:tcPr>
            <w:tcW w:w="923" w:type="pct"/>
          </w:tcPr>
          <w:p w14:paraId="0CDF492E" w14:textId="77777777" w:rsidR="002343F3" w:rsidRPr="00500B18" w:rsidRDefault="002343F3" w:rsidP="00902631">
            <w:r w:rsidRPr="00500B18">
              <w:t>OGVI</w:t>
            </w:r>
          </w:p>
        </w:tc>
        <w:tc>
          <w:tcPr>
            <w:tcW w:w="4077" w:type="pct"/>
          </w:tcPr>
          <w:p w14:paraId="6D0728E0" w14:textId="77777777" w:rsidR="002343F3" w:rsidRPr="00500B18" w:rsidRDefault="002343F3" w:rsidP="00902631">
            <w:r w:rsidRPr="00500B18">
              <w:t>OLCI Global Vegetation Index</w:t>
            </w:r>
          </w:p>
        </w:tc>
      </w:tr>
      <w:tr w:rsidR="002343F3" w:rsidRPr="00500B18" w14:paraId="2471843B" w14:textId="77777777" w:rsidTr="00D533BE">
        <w:trPr>
          <w:trHeight w:val="80"/>
        </w:trPr>
        <w:tc>
          <w:tcPr>
            <w:tcW w:w="923" w:type="pct"/>
          </w:tcPr>
          <w:p w14:paraId="1AAF6EA8" w14:textId="77777777" w:rsidR="002343F3" w:rsidRPr="00500B18" w:rsidRDefault="002343F3" w:rsidP="00902631">
            <w:r w:rsidRPr="00500B18">
              <w:t>OLCI</w:t>
            </w:r>
          </w:p>
        </w:tc>
        <w:tc>
          <w:tcPr>
            <w:tcW w:w="4077" w:type="pct"/>
          </w:tcPr>
          <w:p w14:paraId="5734ECE9" w14:textId="77777777" w:rsidR="002343F3" w:rsidRPr="00500B18" w:rsidRDefault="002343F3" w:rsidP="00902631">
            <w:r w:rsidRPr="00500B18">
              <w:t>Ocean and Land Colour Instrument</w:t>
            </w:r>
          </w:p>
        </w:tc>
      </w:tr>
      <w:tr w:rsidR="002343F3" w:rsidRPr="00500B18" w14:paraId="13E1482A" w14:textId="77777777" w:rsidTr="00D533BE">
        <w:trPr>
          <w:trHeight w:val="80"/>
        </w:trPr>
        <w:tc>
          <w:tcPr>
            <w:tcW w:w="923" w:type="pct"/>
          </w:tcPr>
          <w:p w14:paraId="31EAA041" w14:textId="77777777" w:rsidR="002343F3" w:rsidRPr="00500B18" w:rsidRDefault="002343F3" w:rsidP="00EC3910">
            <w:r>
              <w:t>OLIVE</w:t>
            </w:r>
          </w:p>
        </w:tc>
        <w:tc>
          <w:tcPr>
            <w:tcW w:w="4077" w:type="pct"/>
          </w:tcPr>
          <w:p w14:paraId="1112A8C5" w14:textId="77777777" w:rsidR="002343F3" w:rsidRPr="00500B18" w:rsidRDefault="002343F3" w:rsidP="00EC3910">
            <w:r w:rsidRPr="002343F3">
              <w:t>Online Interactive Validation Exercise</w:t>
            </w:r>
          </w:p>
        </w:tc>
      </w:tr>
      <w:tr w:rsidR="002343F3" w:rsidRPr="00500B18" w14:paraId="0DC6DC15" w14:textId="77777777" w:rsidTr="00D533BE">
        <w:trPr>
          <w:trHeight w:val="80"/>
        </w:trPr>
        <w:tc>
          <w:tcPr>
            <w:tcW w:w="923" w:type="pct"/>
          </w:tcPr>
          <w:p w14:paraId="449A2862" w14:textId="77777777" w:rsidR="002343F3" w:rsidRPr="00500B18" w:rsidRDefault="002343F3" w:rsidP="00EC3910">
            <w:r>
              <w:t>OLS</w:t>
            </w:r>
          </w:p>
        </w:tc>
        <w:tc>
          <w:tcPr>
            <w:tcW w:w="4077" w:type="pct"/>
          </w:tcPr>
          <w:p w14:paraId="690C091F" w14:textId="77777777" w:rsidR="002343F3" w:rsidRPr="00500B18" w:rsidRDefault="002343F3" w:rsidP="00EC3910">
            <w:r>
              <w:t>Ordinary least squares</w:t>
            </w:r>
          </w:p>
        </w:tc>
      </w:tr>
      <w:tr w:rsidR="002343F3" w:rsidRPr="00500B18" w14:paraId="5D15A0FE" w14:textId="77777777" w:rsidTr="00D533BE">
        <w:trPr>
          <w:trHeight w:val="80"/>
        </w:trPr>
        <w:tc>
          <w:tcPr>
            <w:tcW w:w="923" w:type="pct"/>
          </w:tcPr>
          <w:p w14:paraId="20F5C1BC" w14:textId="77777777" w:rsidR="002343F3" w:rsidRPr="00500B18" w:rsidRDefault="002343F3" w:rsidP="00902631">
            <w:r w:rsidRPr="00500B18">
              <w:t>OTCI</w:t>
            </w:r>
          </w:p>
        </w:tc>
        <w:tc>
          <w:tcPr>
            <w:tcW w:w="4077" w:type="pct"/>
          </w:tcPr>
          <w:p w14:paraId="0F16144E" w14:textId="77777777" w:rsidR="002343F3" w:rsidRPr="00500B18" w:rsidRDefault="002343F3" w:rsidP="00902631">
            <w:r w:rsidRPr="00500B18">
              <w:t>OLCI Terrestrial Chlorophyll Index</w:t>
            </w:r>
          </w:p>
        </w:tc>
      </w:tr>
      <w:tr w:rsidR="002343F3" w:rsidRPr="00500B18" w14:paraId="77038035" w14:textId="77777777" w:rsidTr="00D533BE">
        <w:trPr>
          <w:trHeight w:val="80"/>
        </w:trPr>
        <w:tc>
          <w:tcPr>
            <w:tcW w:w="923" w:type="pct"/>
          </w:tcPr>
          <w:p w14:paraId="21CE1401" w14:textId="77777777" w:rsidR="002343F3" w:rsidRPr="00500B18" w:rsidRDefault="002343F3" w:rsidP="00902631">
            <w:r w:rsidRPr="00500B18">
              <w:t>PAR</w:t>
            </w:r>
          </w:p>
        </w:tc>
        <w:tc>
          <w:tcPr>
            <w:tcW w:w="4077" w:type="pct"/>
          </w:tcPr>
          <w:p w14:paraId="79E23B22" w14:textId="77777777" w:rsidR="002343F3" w:rsidRPr="00500B18" w:rsidRDefault="002343F3" w:rsidP="00902631">
            <w:r w:rsidRPr="00500B18">
              <w:t>Photosynthetically active radiation</w:t>
            </w:r>
          </w:p>
        </w:tc>
      </w:tr>
      <w:tr w:rsidR="002343F3" w:rsidRPr="00500B18" w14:paraId="78426743" w14:textId="77777777" w:rsidTr="00D533BE">
        <w:trPr>
          <w:trHeight w:val="80"/>
        </w:trPr>
        <w:tc>
          <w:tcPr>
            <w:tcW w:w="923" w:type="pct"/>
          </w:tcPr>
          <w:p w14:paraId="5C5A7101" w14:textId="77777777" w:rsidR="002343F3" w:rsidRDefault="002343F3" w:rsidP="00EC3910">
            <w:r>
              <w:t>PDGS</w:t>
            </w:r>
          </w:p>
        </w:tc>
        <w:tc>
          <w:tcPr>
            <w:tcW w:w="4077" w:type="pct"/>
          </w:tcPr>
          <w:p w14:paraId="14AE2808" w14:textId="77777777" w:rsidR="002343F3" w:rsidRDefault="002343F3" w:rsidP="00EC3910">
            <w:r>
              <w:t>Payload data ground segment</w:t>
            </w:r>
          </w:p>
        </w:tc>
      </w:tr>
      <w:tr w:rsidR="002343F3" w:rsidRPr="00500B18" w14:paraId="6F2D101F" w14:textId="77777777" w:rsidTr="00D533BE">
        <w:trPr>
          <w:trHeight w:val="80"/>
        </w:trPr>
        <w:tc>
          <w:tcPr>
            <w:tcW w:w="923" w:type="pct"/>
          </w:tcPr>
          <w:p w14:paraId="26806390" w14:textId="77777777" w:rsidR="002343F3" w:rsidRPr="00500B18" w:rsidRDefault="002343F3" w:rsidP="00EC3910">
            <w:r>
              <w:t>PROVE</w:t>
            </w:r>
          </w:p>
        </w:tc>
        <w:tc>
          <w:tcPr>
            <w:tcW w:w="4077" w:type="pct"/>
          </w:tcPr>
          <w:p w14:paraId="26784648" w14:textId="77777777" w:rsidR="002343F3" w:rsidRPr="00500B18" w:rsidRDefault="002343F3" w:rsidP="00EC3910">
            <w:r>
              <w:t>Prototype Validation Experiment</w:t>
            </w:r>
          </w:p>
        </w:tc>
      </w:tr>
      <w:tr w:rsidR="002343F3" w:rsidRPr="00500B18" w14:paraId="2ED9D862" w14:textId="77777777" w:rsidTr="00D533BE">
        <w:trPr>
          <w:trHeight w:val="80"/>
        </w:trPr>
        <w:tc>
          <w:tcPr>
            <w:tcW w:w="923" w:type="pct"/>
          </w:tcPr>
          <w:p w14:paraId="2ED0588B" w14:textId="77777777" w:rsidR="002343F3" w:rsidRPr="00500B18" w:rsidRDefault="002343F3" w:rsidP="00902631">
            <w:r w:rsidRPr="00500B18">
              <w:t>PSF</w:t>
            </w:r>
          </w:p>
        </w:tc>
        <w:tc>
          <w:tcPr>
            <w:tcW w:w="4077" w:type="pct"/>
          </w:tcPr>
          <w:p w14:paraId="09E199E7" w14:textId="77777777" w:rsidR="002343F3" w:rsidRPr="00500B18" w:rsidRDefault="002343F3" w:rsidP="00902631">
            <w:r w:rsidRPr="00500B18">
              <w:t>Point spread function</w:t>
            </w:r>
          </w:p>
        </w:tc>
      </w:tr>
      <w:tr w:rsidR="002343F3" w:rsidRPr="00500B18" w14:paraId="34EE0DCE" w14:textId="77777777" w:rsidTr="00D533BE">
        <w:trPr>
          <w:trHeight w:val="80"/>
        </w:trPr>
        <w:tc>
          <w:tcPr>
            <w:tcW w:w="923" w:type="pct"/>
          </w:tcPr>
          <w:p w14:paraId="764EFA8B" w14:textId="77777777" w:rsidR="002343F3" w:rsidRPr="00500B18" w:rsidRDefault="002343F3" w:rsidP="00902631">
            <w:r w:rsidRPr="00500B18">
              <w:t>RTM</w:t>
            </w:r>
          </w:p>
        </w:tc>
        <w:tc>
          <w:tcPr>
            <w:tcW w:w="4077" w:type="pct"/>
          </w:tcPr>
          <w:p w14:paraId="4EEEA99F" w14:textId="77777777" w:rsidR="002343F3" w:rsidRPr="00500B18" w:rsidRDefault="002343F3" w:rsidP="00902631">
            <w:r w:rsidRPr="00500B18">
              <w:t>Radiative transfer model</w:t>
            </w:r>
          </w:p>
        </w:tc>
      </w:tr>
      <w:tr w:rsidR="002343F3" w:rsidRPr="00500B18" w14:paraId="1735DBA2" w14:textId="77777777" w:rsidTr="00D533BE">
        <w:trPr>
          <w:trHeight w:val="80"/>
        </w:trPr>
        <w:tc>
          <w:tcPr>
            <w:tcW w:w="923" w:type="pct"/>
          </w:tcPr>
          <w:p w14:paraId="2B9477E5" w14:textId="77777777" w:rsidR="002343F3" w:rsidRDefault="002343F3" w:rsidP="00EC3910">
            <w:r>
              <w:t>RUT</w:t>
            </w:r>
          </w:p>
        </w:tc>
        <w:tc>
          <w:tcPr>
            <w:tcW w:w="4077" w:type="pct"/>
          </w:tcPr>
          <w:p w14:paraId="79C860C8" w14:textId="77777777" w:rsidR="002343F3" w:rsidRDefault="002343F3" w:rsidP="00EC3910">
            <w:r>
              <w:t>Radiometric Uncertainty Tool</w:t>
            </w:r>
          </w:p>
        </w:tc>
      </w:tr>
      <w:tr w:rsidR="002343F3" w:rsidRPr="00500B18" w14:paraId="6301EF66" w14:textId="77777777" w:rsidTr="00D533BE">
        <w:trPr>
          <w:trHeight w:val="80"/>
        </w:trPr>
        <w:tc>
          <w:tcPr>
            <w:tcW w:w="923" w:type="pct"/>
          </w:tcPr>
          <w:p w14:paraId="08379CD0" w14:textId="77777777" w:rsidR="002343F3" w:rsidRPr="00500B18" w:rsidRDefault="002343F3" w:rsidP="00EC3910">
            <w:r>
              <w:t>S3MPC</w:t>
            </w:r>
          </w:p>
        </w:tc>
        <w:tc>
          <w:tcPr>
            <w:tcW w:w="4077" w:type="pct"/>
          </w:tcPr>
          <w:p w14:paraId="58878B90" w14:textId="77777777" w:rsidR="002343F3" w:rsidRPr="00500B18" w:rsidRDefault="002343F3" w:rsidP="00EC3910">
            <w:r>
              <w:t>Sentinel-3 Mission Performance Centre</w:t>
            </w:r>
          </w:p>
        </w:tc>
      </w:tr>
      <w:tr w:rsidR="002343F3" w:rsidRPr="00500B18" w14:paraId="7493BB71" w14:textId="77777777" w:rsidTr="00D533BE">
        <w:trPr>
          <w:trHeight w:val="80"/>
        </w:trPr>
        <w:tc>
          <w:tcPr>
            <w:tcW w:w="923" w:type="pct"/>
          </w:tcPr>
          <w:p w14:paraId="5C49FEF5" w14:textId="77777777" w:rsidR="002343F3" w:rsidRPr="00500B18" w:rsidRDefault="002343F3" w:rsidP="00EC3910">
            <w:r>
              <w:t>SAFARI-2000</w:t>
            </w:r>
          </w:p>
        </w:tc>
        <w:tc>
          <w:tcPr>
            <w:tcW w:w="4077" w:type="pct"/>
          </w:tcPr>
          <w:p w14:paraId="1DC6F438" w14:textId="77777777" w:rsidR="002343F3" w:rsidRPr="00500B18" w:rsidRDefault="002343F3" w:rsidP="00EC3910">
            <w:r>
              <w:t xml:space="preserve">Southern </w:t>
            </w:r>
            <w:proofErr w:type="spellStart"/>
            <w:r w:rsidRPr="00814597">
              <w:t>Southern</w:t>
            </w:r>
            <w:proofErr w:type="spellEnd"/>
            <w:r w:rsidRPr="00814597">
              <w:t xml:space="preserve"> African Regional Science Initiative</w:t>
            </w:r>
          </w:p>
        </w:tc>
      </w:tr>
      <w:tr w:rsidR="002343F3" w:rsidRPr="00500B18" w14:paraId="1D674590" w14:textId="77777777" w:rsidTr="00D533BE">
        <w:trPr>
          <w:trHeight w:val="80"/>
        </w:trPr>
        <w:tc>
          <w:tcPr>
            <w:tcW w:w="923" w:type="pct"/>
          </w:tcPr>
          <w:p w14:paraId="628AD99B" w14:textId="77777777" w:rsidR="002343F3" w:rsidRPr="00500B18" w:rsidRDefault="002343F3" w:rsidP="00EC3910">
            <w:r>
              <w:t>SPOT</w:t>
            </w:r>
          </w:p>
        </w:tc>
        <w:tc>
          <w:tcPr>
            <w:tcW w:w="4077" w:type="pct"/>
          </w:tcPr>
          <w:p w14:paraId="03CAFD62" w14:textId="77777777" w:rsidR="002343F3" w:rsidRPr="00500B18" w:rsidRDefault="002343F3" w:rsidP="00EC3910">
            <w:r w:rsidRPr="002343F3">
              <w:t xml:space="preserve">Satellite Pour </w:t>
            </w:r>
            <w:proofErr w:type="spellStart"/>
            <w:r w:rsidRPr="002343F3">
              <w:t>l’Observation</w:t>
            </w:r>
            <w:proofErr w:type="spellEnd"/>
            <w:r w:rsidRPr="002343F3">
              <w:t xml:space="preserve"> de la Terre</w:t>
            </w:r>
          </w:p>
        </w:tc>
      </w:tr>
      <w:tr w:rsidR="002343F3" w:rsidRPr="00500B18" w14:paraId="222E165A" w14:textId="77777777" w:rsidTr="00D533BE">
        <w:trPr>
          <w:trHeight w:val="80"/>
        </w:trPr>
        <w:tc>
          <w:tcPr>
            <w:tcW w:w="923" w:type="pct"/>
          </w:tcPr>
          <w:p w14:paraId="1DE45831" w14:textId="77777777" w:rsidR="002343F3" w:rsidRPr="00500B18" w:rsidRDefault="002343F3" w:rsidP="00EC3910">
            <w:r>
              <w:t>TM</w:t>
            </w:r>
          </w:p>
        </w:tc>
        <w:tc>
          <w:tcPr>
            <w:tcW w:w="4077" w:type="pct"/>
          </w:tcPr>
          <w:p w14:paraId="5C181016" w14:textId="77777777" w:rsidR="002343F3" w:rsidRPr="00500B18" w:rsidRDefault="002343F3" w:rsidP="00EC3910">
            <w:r>
              <w:t>Thematic Mapper</w:t>
            </w:r>
          </w:p>
        </w:tc>
      </w:tr>
      <w:tr w:rsidR="002343F3" w:rsidRPr="00500B18" w14:paraId="1B1068C3" w14:textId="77777777" w:rsidTr="00D533BE">
        <w:trPr>
          <w:trHeight w:val="80"/>
        </w:trPr>
        <w:tc>
          <w:tcPr>
            <w:tcW w:w="923" w:type="pct"/>
          </w:tcPr>
          <w:p w14:paraId="5D1C45EC" w14:textId="77777777" w:rsidR="002343F3" w:rsidRPr="00500B18" w:rsidRDefault="002343F3" w:rsidP="00902631">
            <w:r w:rsidRPr="00500B18">
              <w:t>TOA</w:t>
            </w:r>
          </w:p>
        </w:tc>
        <w:tc>
          <w:tcPr>
            <w:tcW w:w="4077" w:type="pct"/>
          </w:tcPr>
          <w:p w14:paraId="20B356AA" w14:textId="77777777" w:rsidR="002343F3" w:rsidRPr="00500B18" w:rsidRDefault="002343F3" w:rsidP="00902631">
            <w:r w:rsidRPr="00500B18">
              <w:t>Top-of-atmosphere</w:t>
            </w:r>
          </w:p>
        </w:tc>
      </w:tr>
      <w:tr w:rsidR="002343F3" w:rsidRPr="00500B18" w14:paraId="76E3DD14" w14:textId="77777777" w:rsidTr="00D533BE">
        <w:trPr>
          <w:trHeight w:val="80"/>
        </w:trPr>
        <w:tc>
          <w:tcPr>
            <w:tcW w:w="923" w:type="pct"/>
          </w:tcPr>
          <w:p w14:paraId="5F8FD2BC" w14:textId="77777777" w:rsidR="002343F3" w:rsidRPr="00500B18" w:rsidRDefault="002343F3" w:rsidP="00EC3910">
            <w:r w:rsidRPr="00500B18">
              <w:t>VALERI</w:t>
            </w:r>
          </w:p>
        </w:tc>
        <w:tc>
          <w:tcPr>
            <w:tcW w:w="4077" w:type="pct"/>
          </w:tcPr>
          <w:p w14:paraId="2B946498" w14:textId="77777777" w:rsidR="002343F3" w:rsidRPr="00500B18" w:rsidRDefault="002343F3" w:rsidP="00EC3910">
            <w:r w:rsidRPr="00500B18">
              <w:t>Validation of European Land Remote Sensing Instruments</w:t>
            </w:r>
          </w:p>
        </w:tc>
      </w:tr>
      <w:tr w:rsidR="002343F3" w:rsidRPr="00500B18" w14:paraId="50133BC0" w14:textId="77777777" w:rsidTr="00D533BE">
        <w:trPr>
          <w:trHeight w:val="80"/>
        </w:trPr>
        <w:tc>
          <w:tcPr>
            <w:tcW w:w="923" w:type="pct"/>
          </w:tcPr>
          <w:p w14:paraId="1EA53B82" w14:textId="77777777" w:rsidR="002343F3" w:rsidRPr="00500B18" w:rsidRDefault="002343F3" w:rsidP="00EC3910">
            <w:r w:rsidRPr="00500B18">
              <w:t>WGCV</w:t>
            </w:r>
          </w:p>
        </w:tc>
        <w:tc>
          <w:tcPr>
            <w:tcW w:w="4077" w:type="pct"/>
          </w:tcPr>
          <w:p w14:paraId="43E8ABCA" w14:textId="77777777" w:rsidR="002343F3" w:rsidRPr="00500B18" w:rsidRDefault="002343F3" w:rsidP="00EC3910">
            <w:r w:rsidRPr="00500B18">
              <w:t>Working Group on Calibration and Validation</w:t>
            </w:r>
          </w:p>
        </w:tc>
      </w:tr>
    </w:tbl>
    <w:p w14:paraId="7134EE21" w14:textId="77777777" w:rsidR="00491C2E" w:rsidRDefault="00491C2E" w:rsidP="00EC3910">
      <w:pPr>
        <w:pStyle w:val="Heading1"/>
        <w:numPr>
          <w:ilvl w:val="0"/>
          <w:numId w:val="23"/>
        </w:numPr>
        <w:rPr>
          <w:rFonts w:cstheme="majorHAnsi"/>
        </w:rPr>
        <w:sectPr w:rsidR="00491C2E" w:rsidSect="00024274">
          <w:pgSz w:w="11906" w:h="16838"/>
          <w:pgMar w:top="1440" w:right="1440" w:bottom="1440" w:left="1440" w:header="708" w:footer="708" w:gutter="0"/>
          <w:cols w:space="708"/>
          <w:docGrid w:linePitch="360"/>
        </w:sectPr>
      </w:pPr>
    </w:p>
    <w:p w14:paraId="7E078FB5" w14:textId="1A37FEC1" w:rsidR="00EC3910" w:rsidRDefault="00EC3910" w:rsidP="00EC3910">
      <w:pPr>
        <w:pStyle w:val="Heading1"/>
        <w:numPr>
          <w:ilvl w:val="0"/>
          <w:numId w:val="23"/>
        </w:numPr>
        <w:rPr>
          <w:rFonts w:cstheme="majorHAnsi"/>
        </w:rPr>
      </w:pPr>
      <w:bookmarkStart w:id="6" w:name="_Toc43388041"/>
      <w:r w:rsidRPr="00EA2760">
        <w:rPr>
          <w:rFonts w:cstheme="majorHAnsi"/>
        </w:rPr>
        <w:lastRenderedPageBreak/>
        <w:t>Introduction</w:t>
      </w:r>
      <w:bookmarkEnd w:id="6"/>
    </w:p>
    <w:p w14:paraId="038C67C6" w14:textId="77777777" w:rsidR="00EC3910" w:rsidRPr="00EC3910" w:rsidRDefault="00EC3910" w:rsidP="00491C2E">
      <w:pPr>
        <w:spacing w:after="0"/>
      </w:pPr>
    </w:p>
    <w:p w14:paraId="4E3ACC1F" w14:textId="32B3635F" w:rsidR="00D60F20" w:rsidRPr="00EA2760" w:rsidRDefault="00D60F20" w:rsidP="00434DEA">
      <w:pPr>
        <w:pStyle w:val="Heading2"/>
        <w:numPr>
          <w:ilvl w:val="1"/>
          <w:numId w:val="1"/>
        </w:numPr>
        <w:rPr>
          <w:rFonts w:cstheme="majorHAnsi"/>
          <w:sz w:val="28"/>
          <w:szCs w:val="28"/>
        </w:rPr>
      </w:pPr>
      <w:bookmarkStart w:id="7" w:name="_Toc43388042"/>
      <w:r w:rsidRPr="00EA2760">
        <w:rPr>
          <w:rFonts w:cstheme="majorHAnsi"/>
          <w:sz w:val="28"/>
          <w:szCs w:val="28"/>
        </w:rPr>
        <w:t>Purpose and Scope</w:t>
      </w:r>
      <w:bookmarkEnd w:id="7"/>
    </w:p>
    <w:p w14:paraId="0BF4C7B1" w14:textId="77777777" w:rsidR="00BD626B" w:rsidRPr="00C85190" w:rsidRDefault="00BD626B" w:rsidP="00491C2E">
      <w:pPr>
        <w:spacing w:after="0"/>
        <w:rPr>
          <w:sz w:val="20"/>
          <w:szCs w:val="20"/>
        </w:rPr>
      </w:pPr>
    </w:p>
    <w:p w14:paraId="51ED61ED" w14:textId="3FD6C1A3" w:rsidR="00FD1F5F" w:rsidRPr="0068439A" w:rsidRDefault="00FD1F5F" w:rsidP="00FD1F5F">
      <w:pPr>
        <w:spacing w:line="360" w:lineRule="auto"/>
        <w:jc w:val="both"/>
      </w:pPr>
      <w:r w:rsidRPr="00EA2760">
        <w:t>This document forms part of deliverable D-</w:t>
      </w:r>
      <w:r>
        <w:t>40</w:t>
      </w:r>
      <w:r w:rsidRPr="00EA2760">
        <w:t xml:space="preserve"> of the European Space Agency (ESA) project </w:t>
      </w:r>
      <w:r w:rsidRPr="00122947">
        <w:t xml:space="preserve">‘Fiducial Reference Measurements for Vegetation (FRM4VEG Phase 2)’. </w:t>
      </w:r>
      <w:r w:rsidRPr="00EA2760">
        <w:t>The purpose of the document is to provide a</w:t>
      </w:r>
      <w:r>
        <w:t xml:space="preserve">n overview of </w:t>
      </w:r>
      <w:r w:rsidR="00491C2E">
        <w:t xml:space="preserve">a </w:t>
      </w:r>
      <w:r>
        <w:t xml:space="preserve">methodology for validating Copernicus </w:t>
      </w:r>
      <w:r w:rsidR="00411189">
        <w:t>S</w:t>
      </w:r>
      <w:r w:rsidR="00491C2E">
        <w:t>entinel-</w:t>
      </w:r>
      <w:r w:rsidR="00411189">
        <w:t xml:space="preserve">3 OGVI/OTCI </w:t>
      </w:r>
      <w:r w:rsidR="0095620E">
        <w:t>FAPAR and CCC</w:t>
      </w:r>
      <w:r>
        <w:t xml:space="preserve"> data products over vegetated FRM-compliant field sites. </w:t>
      </w:r>
      <w:r w:rsidRPr="0068439A">
        <w:t xml:space="preserve">The document is organized into </w:t>
      </w:r>
      <w:r>
        <w:t>4</w:t>
      </w:r>
      <w:r w:rsidRPr="0068439A">
        <w:t xml:space="preserve"> key sections:</w:t>
      </w:r>
    </w:p>
    <w:p w14:paraId="1AD292EC" w14:textId="38737F71" w:rsidR="00FD1F5F" w:rsidRDefault="00FD1F5F" w:rsidP="00FD1F5F">
      <w:pPr>
        <w:pStyle w:val="ListParagraph"/>
        <w:numPr>
          <w:ilvl w:val="0"/>
          <w:numId w:val="48"/>
        </w:numPr>
        <w:spacing w:line="360" w:lineRule="auto"/>
        <w:jc w:val="both"/>
      </w:pPr>
      <w:r w:rsidRPr="007B0B62">
        <w:rPr>
          <w:b/>
          <w:bCs/>
        </w:rPr>
        <w:t>Section 1</w:t>
      </w:r>
      <w:r>
        <w:t xml:space="preserve"> provides a summary of the VM-</w:t>
      </w:r>
      <w:r w:rsidR="0095620E">
        <w:t>FC</w:t>
      </w:r>
    </w:p>
    <w:p w14:paraId="1B5B28B3" w14:textId="62B89685" w:rsidR="00FD1F5F" w:rsidRDefault="00FD1F5F" w:rsidP="00FD1F5F">
      <w:pPr>
        <w:pStyle w:val="ListParagraph"/>
        <w:numPr>
          <w:ilvl w:val="0"/>
          <w:numId w:val="48"/>
        </w:numPr>
        <w:spacing w:line="360" w:lineRule="auto"/>
        <w:jc w:val="both"/>
      </w:pPr>
      <w:r w:rsidRPr="006412C0">
        <w:rPr>
          <w:b/>
          <w:bCs/>
        </w:rPr>
        <w:t>Section 2</w:t>
      </w:r>
      <w:r>
        <w:t xml:space="preserve"> provides an overview of</w:t>
      </w:r>
      <w:r w:rsidR="00491C2E">
        <w:t xml:space="preserve"> the considered</w:t>
      </w:r>
      <w:r>
        <w:t xml:space="preserve"> </w:t>
      </w:r>
      <w:r w:rsidR="00063D5D">
        <w:t>FAPAR and CCC</w:t>
      </w:r>
      <w:r>
        <w:t xml:space="preserve"> data products and relevant terminology.</w:t>
      </w:r>
    </w:p>
    <w:p w14:paraId="13352103" w14:textId="73C7A84E" w:rsidR="00FD1F5F" w:rsidRDefault="00FD1F5F" w:rsidP="00FD1F5F">
      <w:pPr>
        <w:pStyle w:val="ListParagraph"/>
        <w:numPr>
          <w:ilvl w:val="0"/>
          <w:numId w:val="48"/>
        </w:numPr>
        <w:spacing w:line="360" w:lineRule="auto"/>
        <w:jc w:val="both"/>
      </w:pPr>
      <w:r w:rsidRPr="00C97C0A">
        <w:rPr>
          <w:b/>
          <w:bCs/>
        </w:rPr>
        <w:t xml:space="preserve">Section </w:t>
      </w:r>
      <w:r>
        <w:rPr>
          <w:b/>
          <w:bCs/>
        </w:rPr>
        <w:t>3</w:t>
      </w:r>
      <w:r>
        <w:t xml:space="preserve"> provides a r</w:t>
      </w:r>
      <w:r w:rsidRPr="00EA2760">
        <w:t>eview of the state</w:t>
      </w:r>
      <w:r>
        <w:t>-</w:t>
      </w:r>
      <w:r w:rsidRPr="00EA2760">
        <w:t>of</w:t>
      </w:r>
      <w:r>
        <w:t>-</w:t>
      </w:r>
      <w:r w:rsidRPr="00EA2760">
        <w:t>the</w:t>
      </w:r>
      <w:r>
        <w:t>-</w:t>
      </w:r>
      <w:r w:rsidRPr="00EA2760">
        <w:t>art</w:t>
      </w:r>
      <w:r>
        <w:t xml:space="preserve"> methods for validation of satellite derived </w:t>
      </w:r>
      <w:r w:rsidR="00063D5D">
        <w:t>FAPAR and CCC</w:t>
      </w:r>
      <w:r>
        <w:t xml:space="preserve"> data products.</w:t>
      </w:r>
    </w:p>
    <w:p w14:paraId="78403C97" w14:textId="4DCBC4E0" w:rsidR="00FD1F5F" w:rsidRDefault="00FD1F5F" w:rsidP="00FD1F5F">
      <w:pPr>
        <w:pStyle w:val="ListParagraph"/>
        <w:numPr>
          <w:ilvl w:val="0"/>
          <w:numId w:val="48"/>
        </w:numPr>
        <w:spacing w:line="360" w:lineRule="auto"/>
        <w:jc w:val="both"/>
      </w:pPr>
      <w:r w:rsidRPr="007B0B62">
        <w:rPr>
          <w:b/>
          <w:bCs/>
        </w:rPr>
        <w:t xml:space="preserve">Section </w:t>
      </w:r>
      <w:r>
        <w:rPr>
          <w:b/>
          <w:bCs/>
        </w:rPr>
        <w:t>4</w:t>
      </w:r>
      <w:r>
        <w:t xml:space="preserve"> summarises the FRM-recommended validation methodology for validating satellite derived </w:t>
      </w:r>
      <w:r w:rsidR="00063D5D">
        <w:t>FAPAR and CCC</w:t>
      </w:r>
      <w:r>
        <w:t xml:space="preserve"> data products using FRM-compliant field site data. This section will discuss the requirements and challenges for validating moderate resolution data products as well as demonstrate the handling of various error sources and their relative impact on the validation methods and results.</w:t>
      </w:r>
    </w:p>
    <w:p w14:paraId="53615827" w14:textId="360B986E" w:rsidR="00FD1F5F" w:rsidRDefault="00FD1F5F" w:rsidP="00FD1F5F">
      <w:pPr>
        <w:pStyle w:val="ListParagraph"/>
        <w:numPr>
          <w:ilvl w:val="0"/>
          <w:numId w:val="48"/>
        </w:numPr>
        <w:spacing w:line="360" w:lineRule="auto"/>
        <w:jc w:val="both"/>
      </w:pPr>
      <w:r>
        <w:rPr>
          <w:b/>
          <w:bCs/>
        </w:rPr>
        <w:t xml:space="preserve">Appendix 1 </w:t>
      </w:r>
      <w:r>
        <w:t xml:space="preserve">provides a practical example of FRM-based validation methodology for validating </w:t>
      </w:r>
      <w:r w:rsidR="00063D5D">
        <w:t>S3 OGVI</w:t>
      </w:r>
      <w:r w:rsidR="00836FCC">
        <w:t xml:space="preserve">/OTCI FAPAR and CCC data products </w:t>
      </w:r>
      <w:r>
        <w:t>based on FRM4VEG Phase 1 field campaign data.</w:t>
      </w:r>
    </w:p>
    <w:p w14:paraId="682EA0EF" w14:textId="77777777" w:rsidR="00A7764E" w:rsidRDefault="00A7764E" w:rsidP="00476577"/>
    <w:p w14:paraId="53718C61" w14:textId="77777777" w:rsidR="00A7764E" w:rsidRDefault="00A7764E" w:rsidP="00476577"/>
    <w:p w14:paraId="7E2F4D04" w14:textId="77777777" w:rsidR="00A7764E" w:rsidRDefault="00A7764E" w:rsidP="00476577"/>
    <w:p w14:paraId="634AE57D" w14:textId="77777777" w:rsidR="00A7764E" w:rsidRDefault="00A7764E" w:rsidP="00476577"/>
    <w:p w14:paraId="41A915A1" w14:textId="77777777" w:rsidR="00A7764E" w:rsidRDefault="00A7764E" w:rsidP="00476577"/>
    <w:p w14:paraId="01683CE2" w14:textId="39B3FAE9" w:rsidR="00A7764E" w:rsidRDefault="00A7764E" w:rsidP="00476577"/>
    <w:p w14:paraId="48AD8074" w14:textId="4325CABE" w:rsidR="008377D7" w:rsidRDefault="008377D7" w:rsidP="00476577"/>
    <w:p w14:paraId="1BDFA461" w14:textId="77777777" w:rsidR="008377D7" w:rsidRPr="008377D7" w:rsidRDefault="008377D7" w:rsidP="00476577"/>
    <w:p w14:paraId="43E0C728" w14:textId="77777777" w:rsidR="0083359B" w:rsidRDefault="0083359B" w:rsidP="00424968">
      <w:pPr>
        <w:pStyle w:val="Heading1"/>
        <w:sectPr w:rsidR="0083359B" w:rsidSect="00024274">
          <w:pgSz w:w="11906" w:h="16838"/>
          <w:pgMar w:top="1440" w:right="1440" w:bottom="1440" w:left="1440" w:header="708" w:footer="708" w:gutter="0"/>
          <w:cols w:space="708"/>
          <w:docGrid w:linePitch="360"/>
        </w:sectPr>
      </w:pPr>
    </w:p>
    <w:p w14:paraId="65D94575" w14:textId="133719AD" w:rsidR="00C33785" w:rsidRDefault="008377D7" w:rsidP="00424968">
      <w:pPr>
        <w:pStyle w:val="Heading1"/>
      </w:pPr>
      <w:bookmarkStart w:id="8" w:name="_Toc43388043"/>
      <w:r w:rsidRPr="00424968">
        <w:lastRenderedPageBreak/>
        <w:t>Product</w:t>
      </w:r>
      <w:r w:rsidR="00491C2E" w:rsidRPr="00424968">
        <w:t>s</w:t>
      </w:r>
      <w:r w:rsidR="00491C2E">
        <w:t xml:space="preserve"> and</w:t>
      </w:r>
      <w:r>
        <w:t xml:space="preserve"> Terminology</w:t>
      </w:r>
      <w:bookmarkEnd w:id="8"/>
    </w:p>
    <w:p w14:paraId="1AA12D22" w14:textId="77777777" w:rsidR="00424968" w:rsidRPr="00424968" w:rsidRDefault="00424968" w:rsidP="00424968">
      <w:pPr>
        <w:spacing w:after="0"/>
      </w:pPr>
    </w:p>
    <w:p w14:paraId="6FC9CA5E" w14:textId="60028976" w:rsidR="00424968" w:rsidRPr="00424968" w:rsidRDefault="00424968" w:rsidP="00424968">
      <w:pPr>
        <w:pStyle w:val="Heading2"/>
      </w:pPr>
      <w:bookmarkStart w:id="9" w:name="_Toc43388044"/>
      <w:bookmarkStart w:id="10" w:name="_Hlk41668955"/>
      <w:r>
        <w:t>Terminology</w:t>
      </w:r>
      <w:bookmarkEnd w:id="9"/>
    </w:p>
    <w:p w14:paraId="16BB1D1D" w14:textId="7F109BF3" w:rsidR="00C33785" w:rsidRDefault="00C33785" w:rsidP="00491F1D">
      <w:pPr>
        <w:spacing w:after="0"/>
      </w:pPr>
    </w:p>
    <w:p w14:paraId="77C48187" w14:textId="77777777" w:rsidR="005226EB" w:rsidRDefault="005226EB" w:rsidP="005226EB">
      <w:pPr>
        <w:pStyle w:val="Heading3"/>
      </w:pPr>
      <w:bookmarkStart w:id="11" w:name="_Toc43388045"/>
      <w:r>
        <w:t>FAPAR</w:t>
      </w:r>
      <w:bookmarkEnd w:id="11"/>
    </w:p>
    <w:p w14:paraId="48AA20C9" w14:textId="77777777" w:rsidR="005226EB" w:rsidRDefault="005226EB" w:rsidP="005226EB">
      <w:pPr>
        <w:spacing w:after="0"/>
      </w:pPr>
    </w:p>
    <w:p w14:paraId="251A1513" w14:textId="5CB10656" w:rsidR="00570CD4" w:rsidRDefault="00570CD4" w:rsidP="00570CD4">
      <w:pPr>
        <w:spacing w:line="360" w:lineRule="auto"/>
        <w:jc w:val="both"/>
      </w:pPr>
      <w:r w:rsidRPr="000D6BC0">
        <w:t>The fraction of absorbed photosynthetically active radiation (FAPAR) is recognised as an essential climate variable (ECV) by the Global Climate Observing System (GCOS) as it has a primary role in estimation of</w:t>
      </w:r>
      <w:r>
        <w:t xml:space="preserve"> the</w:t>
      </w:r>
      <w:r w:rsidRPr="000D6BC0">
        <w:t xml:space="preserve"> carbon balance.</w:t>
      </w:r>
      <w:r w:rsidR="00500B18">
        <w:t xml:space="preserve"> </w:t>
      </w:r>
      <w:r w:rsidRPr="000D6BC0">
        <w:t>FAPAR is generally defined as the fraction of photosynthetically active radiation (PAR) absorbed by vegetation, where PAR is the solar radiation reaching the vegetati</w:t>
      </w:r>
      <w:r>
        <w:t xml:space="preserve">on in the wavelength region 400 nm to </w:t>
      </w:r>
      <w:r w:rsidRPr="000D6BC0">
        <w:t>700 nm.</w:t>
      </w:r>
      <w:r w:rsidR="00500B18">
        <w:t xml:space="preserve"> </w:t>
      </w:r>
      <w:r w:rsidRPr="000D6BC0">
        <w:t xml:space="preserve">It is a </w:t>
      </w:r>
      <w:r>
        <w:t>dimensionless</w:t>
      </w:r>
      <w:r w:rsidRPr="000D6BC0">
        <w:t xml:space="preserve"> quantity varying from </w:t>
      </w:r>
      <w:r>
        <w:t>zero</w:t>
      </w:r>
      <w:r w:rsidRPr="000D6BC0">
        <w:t xml:space="preserve"> (over bare soil) to almost </w:t>
      </w:r>
      <w:r>
        <w:t>one</w:t>
      </w:r>
      <w:r w:rsidRPr="000D6BC0">
        <w:t xml:space="preserve"> for the largest amount</w:t>
      </w:r>
      <w:r>
        <w:t>s</w:t>
      </w:r>
      <w:r w:rsidRPr="000D6BC0">
        <w:t xml:space="preserve"> of green vegetation.</w:t>
      </w:r>
      <w:r w:rsidR="00500B18">
        <w:t xml:space="preserve"> </w:t>
      </w:r>
      <w:r w:rsidRPr="000D6BC0">
        <w:t>Since FAPAR is mainly used as a descriptor of photosynthesis and evapotranspiration processes, only the green photosynthetic elements (leaves, needles, or other green ele</w:t>
      </w:r>
      <w:r>
        <w:t>ments) should be accounted for.</w:t>
      </w:r>
    </w:p>
    <w:p w14:paraId="74A747C0" w14:textId="591780B9" w:rsidR="00570CD4" w:rsidRDefault="00570CD4" w:rsidP="00570CD4">
      <w:pPr>
        <w:spacing w:after="0" w:line="360" w:lineRule="auto"/>
        <w:jc w:val="both"/>
      </w:pPr>
      <w:r w:rsidRPr="000D6BC0">
        <w:t>FAPAR depends on the illumination conditions, i.e. the angular position of the sun and the relative contributions of the direct and diffuse illumination.</w:t>
      </w:r>
      <w:r w:rsidR="00500B18">
        <w:t xml:space="preserve"> </w:t>
      </w:r>
      <w:r w:rsidRPr="000D6BC0">
        <w:t xml:space="preserve">Both black-sky (assuming only direct radiation) and white-sky (assuming that all incoming radiation is in the form of isotropic diffuse radiation) </w:t>
      </w:r>
      <w:r>
        <w:t>FAPAR values may be considered.</w:t>
      </w:r>
      <w:r w:rsidR="00500B18">
        <w:t xml:space="preserve"> </w:t>
      </w:r>
      <w:r w:rsidRPr="000D6BC0">
        <w:t xml:space="preserve">FAPAR </w:t>
      </w:r>
      <w:r>
        <w:t>may also be considered on an instantaneous</w:t>
      </w:r>
      <w:r w:rsidRPr="000D6BC0">
        <w:t xml:space="preserve"> (at the time of acquisition) or </w:t>
      </w:r>
      <w:r>
        <w:t xml:space="preserve">temporally </w:t>
      </w:r>
      <w:r w:rsidRPr="000D6BC0">
        <w:t xml:space="preserve">integrated </w:t>
      </w:r>
      <w:r>
        <w:t>basis.</w:t>
      </w:r>
    </w:p>
    <w:p w14:paraId="64A720BE" w14:textId="77777777" w:rsidR="005226EB" w:rsidRDefault="005226EB" w:rsidP="005226EB">
      <w:pPr>
        <w:spacing w:after="0"/>
      </w:pPr>
    </w:p>
    <w:p w14:paraId="7AA00DD5" w14:textId="77777777" w:rsidR="005226EB" w:rsidRDefault="005226EB" w:rsidP="005226EB">
      <w:pPr>
        <w:pStyle w:val="Heading3"/>
      </w:pPr>
      <w:bookmarkStart w:id="12" w:name="_Toc43388046"/>
      <w:r>
        <w:t>CCC</w:t>
      </w:r>
      <w:bookmarkEnd w:id="12"/>
    </w:p>
    <w:p w14:paraId="693FAB66" w14:textId="0E67578F" w:rsidR="005226EB" w:rsidRDefault="005226EB" w:rsidP="005226EB">
      <w:pPr>
        <w:spacing w:after="0"/>
      </w:pPr>
    </w:p>
    <w:p w14:paraId="55169F92" w14:textId="33AE94D4" w:rsidR="00570CD4" w:rsidRDefault="00570CD4" w:rsidP="00570CD4">
      <w:pPr>
        <w:spacing w:after="0" w:line="360" w:lineRule="auto"/>
        <w:jc w:val="both"/>
      </w:pPr>
      <w:r w:rsidRPr="002A6FA5">
        <w:t>As the key photosynthetic pigment within a plant, chlorophyll plays an important role in determining its physiological status.</w:t>
      </w:r>
      <w:r w:rsidR="00500B18">
        <w:t xml:space="preserve"> </w:t>
      </w:r>
      <w:r w:rsidRPr="002A6FA5">
        <w:t xml:space="preserve">The content of chlorophyll within a vegetation canopy is therefore strongly related to its productivity and is a sensitive indicator of its health. Thus, estimates of canopy chlorophyll content (CCC) are a key input into models of terrestrial primary productivity and carbon exchange. CCC is defined as the product of leaf </w:t>
      </w:r>
      <w:r>
        <w:t>chlorophyll concentration (LCC) and leaf area index (LAI).</w:t>
      </w:r>
      <w:r w:rsidR="00500B18">
        <w:t xml:space="preserve"> </w:t>
      </w:r>
      <w:r>
        <w:t>LCC</w:t>
      </w:r>
      <w:r w:rsidRPr="002A6FA5">
        <w:t xml:space="preserve"> is expressed as the mass of</w:t>
      </w:r>
      <w:r>
        <w:t xml:space="preserve"> chlorophyll per unit leaf area, whist LAI </w:t>
      </w:r>
      <w:r w:rsidRPr="002A6FA5">
        <w:t>is a dimensionless quantity defined as the one-sided leaf area per unit ground area</w:t>
      </w:r>
      <w:r>
        <w:t>.</w:t>
      </w:r>
    </w:p>
    <w:p w14:paraId="2D96D348" w14:textId="77777777" w:rsidR="00570CD4" w:rsidRPr="00424968" w:rsidRDefault="00570CD4" w:rsidP="005226EB">
      <w:pPr>
        <w:spacing w:after="0"/>
      </w:pPr>
    </w:p>
    <w:p w14:paraId="4A00F123" w14:textId="71466B1E" w:rsidR="005226EB" w:rsidRDefault="005226EB" w:rsidP="005226EB">
      <w:pPr>
        <w:pStyle w:val="Heading2"/>
      </w:pPr>
      <w:bookmarkStart w:id="13" w:name="_Toc43388047"/>
      <w:bookmarkEnd w:id="10"/>
      <w:r>
        <w:t>Considered Products</w:t>
      </w:r>
      <w:bookmarkEnd w:id="13"/>
    </w:p>
    <w:p w14:paraId="35884F91" w14:textId="49613648" w:rsidR="005226EB" w:rsidRDefault="005226EB" w:rsidP="005226EB">
      <w:pPr>
        <w:spacing w:after="0"/>
      </w:pPr>
    </w:p>
    <w:p w14:paraId="213B04AA" w14:textId="47A1AC00" w:rsidR="005226EB" w:rsidRPr="00491F1D" w:rsidRDefault="005226EB" w:rsidP="005226EB">
      <w:pPr>
        <w:autoSpaceDE w:val="0"/>
        <w:autoSpaceDN w:val="0"/>
        <w:adjustRightInd w:val="0"/>
        <w:spacing w:before="40" w:after="40" w:line="360" w:lineRule="auto"/>
        <w:jc w:val="both"/>
        <w:rPr>
          <w:rFonts w:cstheme="minorHAnsi"/>
          <w:color w:val="000000"/>
        </w:rPr>
      </w:pPr>
      <w:r>
        <w:t>Two L2 land products derived from Sentinel-3’s Ocean and Land Colour Instrument (OLCI) are considered: the OLCI Global Vegetation Index (OGVI), which corresponds to instantaneous green FAPAR, and the OLCI Terrestrial Chlorophyll Index (OTCI), a surrogate of canopy chlorophyll content (CCC).</w:t>
      </w:r>
      <w:r w:rsidR="00500B18">
        <w:t xml:space="preserve"> </w:t>
      </w:r>
      <w:r>
        <w:t>Both products are</w:t>
      </w:r>
      <w:r w:rsidRPr="007C19DF">
        <w:t xml:space="preserve"> provided at OLCI’s native spatial resolution of 300 m, in addition t</w:t>
      </w:r>
      <w:r>
        <w:t xml:space="preserve">o a reduced </w:t>
      </w:r>
      <w:r>
        <w:lastRenderedPageBreak/>
        <w:t xml:space="preserve">spatial resolution </w:t>
      </w:r>
      <w:r w:rsidRPr="007C19DF">
        <w:t>of</w:t>
      </w:r>
      <w:r>
        <w:t xml:space="preserve"> 1 km, and benefit</w:t>
      </w:r>
      <w:r w:rsidRPr="007C19DF">
        <w:t xml:space="preserve"> from the instrument</w:t>
      </w:r>
      <w:r>
        <w:t>’</w:t>
      </w:r>
      <w:r w:rsidRPr="007C19DF">
        <w:t>s three-day repeat cycle.</w:t>
      </w:r>
      <w:r w:rsidR="00500B18">
        <w:t xml:space="preserve"> </w:t>
      </w:r>
      <w:r>
        <w:t>The OGVI is designed to provide continuity to the Medium Resolution Imaging Spectrometer (MERIS) Global Vegetation Index (MGVI), whilst the OTCI is designed to provide continuity to the MERIS Terrestrial Chlorophyll Index (MTCI).</w:t>
      </w:r>
      <w:r w:rsidR="00500B18">
        <w:t xml:space="preserve"> </w:t>
      </w:r>
      <w:r>
        <w:t>The theoretical basis and validation status of each product is described in the following sections.</w:t>
      </w:r>
    </w:p>
    <w:p w14:paraId="439AD081" w14:textId="77777777" w:rsidR="005226EB" w:rsidRDefault="005226EB" w:rsidP="005226EB">
      <w:pPr>
        <w:spacing w:after="0"/>
      </w:pPr>
    </w:p>
    <w:p w14:paraId="6DCF4DDA" w14:textId="2864874F" w:rsidR="002E3777" w:rsidRPr="00DB1978" w:rsidRDefault="002E3777" w:rsidP="005226EB">
      <w:pPr>
        <w:pStyle w:val="Heading3"/>
      </w:pPr>
      <w:bookmarkStart w:id="14" w:name="_Toc43388048"/>
      <w:r w:rsidRPr="00DB1978">
        <w:t>OLCI Global Vegetation Index (OGVI)</w:t>
      </w:r>
      <w:bookmarkEnd w:id="14"/>
      <w:r w:rsidRPr="00DB1978">
        <w:t xml:space="preserve"> </w:t>
      </w:r>
    </w:p>
    <w:p w14:paraId="2994BD9D" w14:textId="77777777" w:rsidR="00424968" w:rsidRDefault="00424968" w:rsidP="00424968">
      <w:pPr>
        <w:spacing w:after="0" w:line="360" w:lineRule="auto"/>
        <w:jc w:val="both"/>
      </w:pPr>
    </w:p>
    <w:p w14:paraId="740E8449" w14:textId="15F15803" w:rsidR="002E3777" w:rsidRDefault="002E3777" w:rsidP="002E3777">
      <w:pPr>
        <w:spacing w:line="360" w:lineRule="auto"/>
        <w:jc w:val="both"/>
      </w:pPr>
      <w:r>
        <w:t>Based on the MGVI, the OGVI exploits the fact that live green vegetation strongly absorbs solar radiation in the red region of the electromagnetic spectrum and strongly scatters it in the near-infrared region</w:t>
      </w:r>
      <w:r w:rsidR="00E97766">
        <w:t xml:space="preserve"> </w:t>
      </w:r>
      <w:r w:rsidR="00E97766">
        <w:fldChar w:fldCharType="begin" w:fldLock="1"/>
      </w:r>
      <w:r w:rsidR="00EF4B3C">
        <w:instrText>ADDIN CSL_CITATION {"citationItems":[{"id":"ITEM-1","itemData":{"DOI":"10.1080/014311699212542","ISBN":"0143116992125","ISSN":"0143-1161","PMID":"87","abstract":"This paper describes the physical and mathematical approach followed to design a vegetation index optimized for the Medium Resolution Imaging Spectrometer (MERIS) sensor, i.e. the MERIS Global Vegetation Index (MGVI). It complements an earlier feasibility study presented elsewhere in this issue by Govaerts and collaborators. Specifically, the crucial issue of the dependency of the vegetation index on changes in illumination and observing geometries is addressed, together with the atmospheric contamination problem. The derivation of the optimal MGVI index formulae allows a comparison of its performance with that of the widely used Normalized Difference Vegetation Index (NDVI), both from a theoretical and an experimental point of view. Data collected by the MOS/IRS-P3 instrument since March 1996 in spectral bands analogous to those that will be available from MERIS can be used to evaluate the MVGI.","author":[{"dropping-particle":"","family":"Gobron","given":"Nadine","non-dropping-particle":"","parse-names":false,"suffix":""},{"dropping-particle":"","family":"Pinty","given":"Bernard","non-dropping-particle":"","parse-names":false,"suffix":""},{"dropping-particle":"","family":"Verstraete","given":"Michel","non-dropping-particle":"","parse-names":false,"suffix":""},{"dropping-particle":"","family":"Govaerts","given":"Yves","non-dropping-particle":"","parse-names":false,"suffix":""}],"container-title":"International Journal of Remote Sensing","id":"ITEM-1","issue":"9","issued":{"date-parts":[["1999","1"]]},"page":"1917-1927","title":"The MERIS Global Vegetation Index (MGVI): Description and preliminary application","type":"article-journal","volume":"20"},"uris":["http://www.mendeley.com/documents/?uuid=7bfccdfb-6ef5-4421-bdcd-0d56b91a5ab1"]}],"mendeley":{"formattedCitation":"[1]","plainTextFormattedCitation":"[1]","previouslyFormattedCitation":"[32]"},"properties":{"noteIndex":0},"schema":"https://github.com/citation-style-language/schema/raw/master/csl-citation.json"}</w:instrText>
      </w:r>
      <w:r w:rsidR="00E97766">
        <w:fldChar w:fldCharType="separate"/>
      </w:r>
      <w:r w:rsidR="00EF4B3C" w:rsidRPr="00EF4B3C">
        <w:rPr>
          <w:noProof/>
        </w:rPr>
        <w:t>[1]</w:t>
      </w:r>
      <w:r w:rsidR="00E97766">
        <w:fldChar w:fldCharType="end"/>
      </w:r>
      <w:r>
        <w:t>.</w:t>
      </w:r>
      <w:r w:rsidR="00500B18">
        <w:t xml:space="preserve"> </w:t>
      </w:r>
      <w:r>
        <w:t>The product is designed to maximise sensitivity to instantaneous green FAPAR, whilst minimising sensitivity to perturbing factors such as atmospheric contamination and the soil background.</w:t>
      </w:r>
      <w:r w:rsidR="00500B18">
        <w:t xml:space="preserve"> </w:t>
      </w:r>
      <w:r>
        <w:t>The underlying algorithm, developed by the Joint Research Centre (JRC) and known as JRC-FAPAR, consists of two main steps</w:t>
      </w:r>
      <w:r w:rsidR="00E97766">
        <w:t xml:space="preserve"> </w:t>
      </w:r>
      <w:r w:rsidR="00E97766">
        <w:fldChar w:fldCharType="begin" w:fldLock="1"/>
      </w:r>
      <w:r w:rsidR="00EF4B3C">
        <w:instrText>ADDIN CSL_CITATION {"citationItems":[{"id":"ITEM-1","itemData":{"DOI":"10.1109/36.885197","ISSN":"01962892","author":[{"dropping-particle":"","family":"Gobron","given":"Nadine","non-dropping-particle":"","parse-names":false,"suffix":""},{"dropping-particle":"","family":"Pinty","given":"Bernard","non-dropping-particle":"","parse-names":false,"suffix":""},{"dropping-particle":"","family":"Verstraete","given":"M.M.","non-dropping-particle":"","parse-names":false,"suffix":""},{"dropping-particle":"","family":"Widlowski","given":"J.-L.","non-dropping-particle":"","parse-names":false,"suffix":""}],"container-title":"IEEE Transactions on Geoscience and Remote Sensing","id":"ITEM-1","issue":"6","issued":{"date-parts":[["2000"]]},"page":"2489-2505","title":"Advanced vegetation indices optimized for up-coming sensors: Design, performance, and applications","type":"article-journal","volume":"38"},"uris":["http://www.mendeley.com/documents/?uuid=fb5c201b-cc97-498b-86b2-fefbfcf01235"]}],"mendeley":{"formattedCitation":"[2]","plainTextFormattedCitation":"[2]","previouslyFormattedCitation":"[33]"},"properties":{"noteIndex":0},"schema":"https://github.com/citation-style-language/schema/raw/master/csl-citation.json"}</w:instrText>
      </w:r>
      <w:r w:rsidR="00E97766">
        <w:fldChar w:fldCharType="separate"/>
      </w:r>
      <w:r w:rsidR="00EF4B3C" w:rsidRPr="00EF4B3C">
        <w:rPr>
          <w:noProof/>
        </w:rPr>
        <w:t>[2]</w:t>
      </w:r>
      <w:r w:rsidR="00E97766">
        <w:fldChar w:fldCharType="end"/>
      </w:r>
      <w:r>
        <w:t>.</w:t>
      </w:r>
      <w:r w:rsidR="00500B18">
        <w:t xml:space="preserve"> </w:t>
      </w:r>
      <w:r>
        <w:t>In the first, ‘rectified’ reflectance values are computed from OLCI bands 17 (865 nm) and 10 (681.25 nm).</w:t>
      </w:r>
      <w:r w:rsidR="00500B18">
        <w:t xml:space="preserve"> </w:t>
      </w:r>
      <w:r>
        <w:t>The rectification procedure uses information from OLCI band 3 (442.5 nm) to supress atmospheric effects, whilst directional normalisation is carried out using the model of</w:t>
      </w:r>
      <w:r w:rsidR="00E97766">
        <w:t xml:space="preserve"> </w:t>
      </w:r>
      <w:r w:rsidR="00E97766">
        <w:fldChar w:fldCharType="begin" w:fldLock="1"/>
      </w:r>
      <w:r w:rsidR="00EF4B3C">
        <w:instrText>ADDIN CSL_CITATION {"citationItems":[{"id":"ITEM-1","itemData":{"DOI":"10.1029/93JD02072","ISSN":"0148-0227","abstract":"A new semiempirical model to describe the bidirectional reflectance of arbitrary natural surfaces using only three parameters has been developed. This model successfully accounts for the observed variability of reflectance measurements in laboratory and field conditions, ranging from bare soil to full canopy cover, in both the visible and the near-infrared bands. Coupled with a simple atmospheric radiation transfer model, this model has been inverted against actual NOAA/advanced very high resolution radiometer (AVHRR) data from several desert sites in northern Africa. This procedure allows the retrieval of surface properties and average amounts of atmospheric constituents (aerosol optical thickness and water vapor) for the duration of the measurement period. Further work is required to expand the usability of the coupled model to other locations and shorter periods of time, but the paper demonstrates the feasibility of inverting a coupled surface-atmosphere model against existing AVHRR data and documents the current limits of this approach.","author":[{"dropping-particle":"","family":"Rahman","given":"Hafizur","non-dropping-particle":"","parse-names":false,"suffix":""},{"dropping-particle":"","family":"Pinty","given":"Bernard","non-dropping-particle":"","parse-names":false,"suffix":""},{"dropping-particle":"","family":"Verstraete","given":"Michel M","non-dropping-particle":"","parse-names":false,"suffix":""}],"container-title":"Journal of Geophysical Research","id":"ITEM-1","issue":"D11","issued":{"date-parts":[["1993"]]},"page":"20791","title":"Coupled surface-atmosphere reflectance (CSAR) model: 2. Semiempirical surface model usable with NOAA advanced very high resolution radiometer data","type":"article-journal","volume":"98"},"uris":["http://www.mendeley.com/documents/?uuid=e4bceb32-e01c-4a18-b08c-47521cca3248"]}],"mendeley":{"formattedCitation":"[3]","plainTextFormattedCitation":"[3]","previouslyFormattedCitation":"[34]"},"properties":{"noteIndex":0},"schema":"https://github.com/citation-style-language/schema/raw/master/csl-citation.json"}</w:instrText>
      </w:r>
      <w:r w:rsidR="00E97766">
        <w:fldChar w:fldCharType="separate"/>
      </w:r>
      <w:r w:rsidR="00EF4B3C" w:rsidRPr="00EF4B3C">
        <w:rPr>
          <w:noProof/>
        </w:rPr>
        <w:t>[3]</w:t>
      </w:r>
      <w:r w:rsidR="00E97766">
        <w:fldChar w:fldCharType="end"/>
      </w:r>
      <w:r>
        <w:t>.</w:t>
      </w:r>
      <w:r w:rsidR="00500B18">
        <w:t xml:space="preserve"> </w:t>
      </w:r>
      <w:r>
        <w:t>In the second step, the ‘rectified’ reflectance values are used to derive FAPAR</w:t>
      </w:r>
      <w:r w:rsidR="00E97766">
        <w:t xml:space="preserve"> </w:t>
      </w:r>
      <w:r w:rsidR="00E97766">
        <w:fldChar w:fldCharType="begin" w:fldLock="1"/>
      </w:r>
      <w:r w:rsidR="00EF4B3C">
        <w:instrText>ADDIN CSL_CITATION {"citationItems":[{"id":"ITEM-1","itemData":{"author":[{"dropping-particle":"","family":"Gobron","given":"Nadine","non-dropping-particle":"","parse-names":false,"suffix":""}],"id":"ITEM-1","issued":{"date-parts":[["2010"]]},"publisher":"European Commission Joint Research Centre","publisher-place":"Ispra, Italy","title":"Ocean and Land Colour Instrument (OLCI) FAPAR and Rectified Channels over Terrestrial Surfaces Algorithm Theoretical Basis Document","type":"book"},"uris":["http://www.mendeley.com/documents/?uuid=f6207ee1-983e-3ac4-a412-25bebc3cc5c1"]}],"mendeley":{"formattedCitation":"[4]","plainTextFormattedCitation":"[4]","previouslyFormattedCitation":"[35]"},"properties":{"noteIndex":0},"schema":"https://github.com/citation-style-language/schema/raw/master/csl-citation.json"}</w:instrText>
      </w:r>
      <w:r w:rsidR="00E97766">
        <w:fldChar w:fldCharType="separate"/>
      </w:r>
      <w:r w:rsidR="00EF4B3C" w:rsidRPr="00EF4B3C">
        <w:rPr>
          <w:noProof/>
        </w:rPr>
        <w:t>[4]</w:t>
      </w:r>
      <w:r w:rsidR="00E97766">
        <w:fldChar w:fldCharType="end"/>
      </w:r>
      <w:r>
        <w:t>.</w:t>
      </w:r>
    </w:p>
    <w:p w14:paraId="6BF5D9DB" w14:textId="729EAFC3" w:rsidR="002E3777" w:rsidRDefault="002E3777" w:rsidP="002E3777">
      <w:pPr>
        <w:spacing w:line="360" w:lineRule="auto"/>
        <w:jc w:val="both"/>
        <w:rPr>
          <w:rFonts w:eastAsiaTheme="minorEastAsia"/>
        </w:rPr>
      </w:pPr>
      <w:r>
        <w:t>Both steps are achieved with ratios of polynomials, making use of sensor-specific coefficients.</w:t>
      </w:r>
      <w:r w:rsidR="00500B18">
        <w:t xml:space="preserve"> </w:t>
      </w:r>
      <w:proofErr w:type="gramStart"/>
      <w:r>
        <w:t>Thus</w:t>
      </w:r>
      <w:proofErr w:type="gramEnd"/>
      <w:r>
        <w:t xml:space="preserve"> the </w:t>
      </w:r>
      <w:r>
        <w:rPr>
          <w:rFonts w:eastAsiaTheme="minorEastAsia"/>
        </w:rPr>
        <w:t>OGVI is calculated from the rectified reflectance values as</w:t>
      </w:r>
    </w:p>
    <w:p w14:paraId="51B391C8" w14:textId="77777777" w:rsidR="002E3777" w:rsidRPr="007B478A" w:rsidRDefault="002E3777" w:rsidP="002E3777">
      <w:pPr>
        <w:spacing w:line="360" w:lineRule="auto"/>
        <w:jc w:val="both"/>
        <w:rPr>
          <w:rFonts w:eastAsiaTheme="minorEastAsia"/>
        </w:rPr>
      </w:pPr>
      <w:r>
        <w:rPr>
          <w:rFonts w:eastAsiaTheme="minorEastAsia"/>
        </w:rPr>
        <w:br/>
      </w:r>
      <m:oMathPara>
        <m:oMath>
          <m:r>
            <w:rPr>
              <w:rFonts w:ascii="Cambria Math" w:hAnsi="Cambria Math"/>
            </w:rPr>
            <m:t>OGVI=</m:t>
          </m:r>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R</m:t>
                  </m:r>
                </m:e>
                <m:sub>
                  <m:r>
                    <w:rPr>
                      <w:rFonts w:ascii="Cambria Math" w:hAnsi="Cambria Math"/>
                    </w:rPr>
                    <m:t>band 10</m:t>
                  </m:r>
                </m:sub>
              </m:sSub>
            </m:sub>
          </m:sSub>
          <m:r>
            <w:rPr>
              <w:rFonts w:ascii="Cambria Math" w:hAnsi="Cambria Math"/>
            </w:rPr>
            <m:t>,</m:t>
          </m:r>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R</m:t>
                  </m:r>
                </m:e>
                <m:sub>
                  <m:r>
                    <w:rPr>
                      <w:rFonts w:ascii="Cambria Math" w:hAnsi="Cambria Math"/>
                    </w:rPr>
                    <m:t>band 17</m:t>
                  </m:r>
                </m:sub>
              </m:sSub>
            </m:sub>
          </m:sSub>
          <m:r>
            <w:rPr>
              <w:rFonts w:ascii="Cambria Math" w:hAnsi="Cambria Math"/>
            </w:rPr>
            <m:t>)</m:t>
          </m:r>
        </m:oMath>
      </m:oMathPara>
    </w:p>
    <w:p w14:paraId="70EC7CCC" w14:textId="77777777" w:rsidR="002E3777" w:rsidRDefault="002E3777" w:rsidP="002E3777">
      <w:pPr>
        <w:spacing w:line="360" w:lineRule="auto"/>
        <w:jc w:val="both"/>
      </w:pPr>
      <w:r>
        <w:rPr>
          <w:rFonts w:eastAsiaTheme="minorEastAsia"/>
        </w:rPr>
        <w:t>where</w:t>
      </w:r>
      <w:r>
        <w:rPr>
          <w:rFonts w:eastAsiaTheme="minorEastAsia"/>
        </w:rPr>
        <w:br/>
      </w:r>
      <w:r>
        <w:rPr>
          <w:rFonts w:eastAsiaTheme="minorEastAsia"/>
        </w:rPr>
        <w:br/>
      </w:r>
      <m:oMathPara>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0,1</m:t>
                  </m:r>
                </m:sub>
              </m:sSub>
              <m:r>
                <w:rPr>
                  <w:rFonts w:ascii="Cambria Math" w:eastAsiaTheme="minorEastAsia" w:hAnsi="Cambria Math"/>
                </w:rPr>
                <m:t xml:space="preserve"> y-</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0,2</m:t>
                  </m:r>
                </m:sub>
              </m:sSub>
              <m:r>
                <w:rPr>
                  <w:rFonts w:ascii="Cambria Math" w:eastAsiaTheme="minorEastAsia" w:hAnsi="Cambria Math"/>
                </w:rPr>
                <m:t xml:space="preserve"> x-</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0,3</m:t>
                  </m:r>
                </m:sub>
              </m:sSub>
            </m:num>
            <m:den>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0,4</m:t>
                      </m:r>
                    </m:sub>
                  </m:sSub>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0,5</m:t>
                      </m:r>
                    </m:sub>
                  </m:sSub>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0,6</m:t>
                  </m:r>
                </m:sub>
              </m:sSub>
            </m:den>
          </m:f>
          <m:r>
            <m:rPr>
              <m:sty m:val="p"/>
            </m:rPr>
            <w:rPr>
              <w:rFonts w:ascii="Cambria Math" w:eastAsiaTheme="minorEastAsia" w:hAnsi="Cambria Math"/>
            </w:rPr>
            <w:br/>
          </m:r>
        </m:oMath>
      </m:oMathPara>
    </w:p>
    <w:p w14:paraId="3B7C8177" w14:textId="77777777" w:rsidR="002E3777" w:rsidRDefault="002E3777" w:rsidP="002E3777">
      <w:pPr>
        <w:spacing w:line="360" w:lineRule="auto"/>
        <w:jc w:val="both"/>
      </w:pPr>
      <w:r>
        <w:t xml:space="preserve">and where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n,j</m:t>
            </m:r>
          </m:sub>
        </m:sSub>
      </m:oMath>
      <w:r>
        <w:rPr>
          <w:rFonts w:eastAsiaTheme="minorEastAsia"/>
        </w:rPr>
        <w:t xml:space="preserve"> are coefficients, whilst</w:t>
      </w:r>
      <w:r>
        <w:t xml:space="preserve"> the rectified reflectance values are estimated as</w:t>
      </w:r>
    </w:p>
    <w:p w14:paraId="327F86AD" w14:textId="77777777" w:rsidR="002E3777" w:rsidRPr="00623476" w:rsidRDefault="002E3777" w:rsidP="002E3777">
      <w:pPr>
        <w:spacing w:line="360" w:lineRule="auto"/>
        <w:jc w:val="both"/>
        <w:rPr>
          <w:rFonts w:eastAsiaTheme="minorEastAsia"/>
        </w:rPr>
      </w:pPr>
      <w:r>
        <w:rPr>
          <w:rFonts w:eastAsiaTheme="minorEastAsia"/>
        </w:rPr>
        <w:br/>
      </w:r>
      <m:oMathPara>
        <m:oMath>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R</m:t>
                  </m:r>
                </m:e>
                <m:sub>
                  <m:r>
                    <w:rPr>
                      <w:rFonts w:ascii="Cambria Math" w:hAnsi="Cambria Math"/>
                    </w:rPr>
                    <m:t>band 10</m:t>
                  </m:r>
                </m:sub>
              </m:sSub>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band 3</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band 10</m:t>
              </m:r>
            </m:sub>
          </m:sSub>
          <m:r>
            <w:rPr>
              <w:rFonts w:ascii="Cambria Math" w:hAnsi="Cambria Math"/>
            </w:rPr>
            <m:t>)</m:t>
          </m:r>
        </m:oMath>
      </m:oMathPara>
    </w:p>
    <w:p w14:paraId="615E6985" w14:textId="77777777" w:rsidR="002E3777" w:rsidRDefault="000306CA" w:rsidP="002E3777">
      <w:pPr>
        <w:spacing w:line="360" w:lineRule="auto"/>
        <w:jc w:val="both"/>
      </w:pPr>
      <m:oMathPara>
        <m:oMath>
          <m:sSub>
            <m:sSubPr>
              <m:ctrlPr>
                <w:rPr>
                  <w:rFonts w:ascii="Cambria Math" w:hAnsi="Cambria Math"/>
                  <w:i/>
                </w:rPr>
              </m:ctrlPr>
            </m:sSubPr>
            <m:e>
              <m:r>
                <w:rPr>
                  <w:rFonts w:ascii="Cambria Math" w:hAnsi="Cambria Math"/>
                </w:rPr>
                <m:t>ρ</m:t>
              </m:r>
            </m:e>
            <m:sub>
              <m:sSub>
                <m:sSubPr>
                  <m:ctrlPr>
                    <w:rPr>
                      <w:rFonts w:ascii="Cambria Math" w:hAnsi="Cambria Math"/>
                      <w:i/>
                    </w:rPr>
                  </m:ctrlPr>
                </m:sSubPr>
                <m:e>
                  <m:r>
                    <w:rPr>
                      <w:rFonts w:ascii="Cambria Math" w:hAnsi="Cambria Math"/>
                    </w:rPr>
                    <m:t>R</m:t>
                  </m:r>
                </m:e>
                <m:sub>
                  <m:r>
                    <w:rPr>
                      <w:rFonts w:ascii="Cambria Math" w:hAnsi="Cambria Math"/>
                    </w:rPr>
                    <m:t>band 17</m:t>
                  </m:r>
                </m:sub>
              </m:sSub>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band 3</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band 17</m:t>
              </m:r>
            </m:sub>
          </m:sSub>
          <m:r>
            <w:rPr>
              <w:rFonts w:ascii="Cambria Math" w:hAnsi="Cambria Math"/>
            </w:rPr>
            <m:t>)</m:t>
          </m:r>
        </m:oMath>
      </m:oMathPara>
    </w:p>
    <w:p w14:paraId="7E0308E0" w14:textId="77777777" w:rsidR="002E3777" w:rsidRDefault="002E3777" w:rsidP="002E3777">
      <w:pPr>
        <w:spacing w:line="360" w:lineRule="auto"/>
        <w:jc w:val="both"/>
        <w:rPr>
          <w:rFonts w:eastAsiaTheme="minorEastAsia"/>
        </w:rPr>
      </w:pPr>
      <w:r>
        <w:rPr>
          <w:rFonts w:eastAsiaTheme="minorEastAsia"/>
        </w:rPr>
        <w:t>where</w:t>
      </w:r>
    </w:p>
    <w:p w14:paraId="5578795A" w14:textId="77777777" w:rsidR="002E3777" w:rsidRDefault="002E3777" w:rsidP="002E3777">
      <w:pPr>
        <w:spacing w:line="360" w:lineRule="auto"/>
        <w:jc w:val="both"/>
        <w:rPr>
          <w:rFonts w:eastAsiaTheme="minorEastAsia"/>
        </w:rPr>
      </w:pPr>
      <m:oMathPara>
        <m:oMath>
          <m:r>
            <m:rPr>
              <m:sty m:val="p"/>
            </m:rPr>
            <w:rPr>
              <w:rFonts w:ascii="Cambria Math" w:eastAsiaTheme="minorEastAsia" w:hAnsi="Cambria Math"/>
            </w:rPr>
            <w:lastRenderedPageBreak/>
            <w:br/>
          </m:r>
        </m:oMath>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n,1</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n,2</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n,3</m:t>
                  </m:r>
                </m:sub>
              </m:sSub>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y+l</m:t>
                      </m:r>
                    </m:e>
                    <m:sub>
                      <m:r>
                        <w:rPr>
                          <w:rFonts w:ascii="Cambria Math" w:eastAsiaTheme="minorEastAsia" w:hAnsi="Cambria Math"/>
                        </w:rPr>
                        <m:t>n,4</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n,5</m:t>
                  </m:r>
                </m:sub>
              </m:sSub>
              <m:r>
                <w:rPr>
                  <w:rFonts w:ascii="Cambria Math" w:eastAsiaTheme="minorEastAsia" w:hAnsi="Cambria Math"/>
                </w:rPr>
                <m:t xml:space="preserve"> x y</m:t>
              </m:r>
            </m:num>
            <m:den>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n,6</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n,7</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n,8</m:t>
                  </m:r>
                </m:sub>
              </m:sSub>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y+l</m:t>
                      </m:r>
                    </m:e>
                    <m:sub>
                      <m:r>
                        <w:rPr>
                          <w:rFonts w:ascii="Cambria Math" w:eastAsiaTheme="minorEastAsia" w:hAnsi="Cambria Math"/>
                        </w:rPr>
                        <m:t>n,9</m:t>
                      </m:r>
                    </m:sub>
                  </m:sSub>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n,10</m:t>
                  </m:r>
                </m:sub>
              </m:sSub>
              <m:r>
                <w:rPr>
                  <w:rFonts w:ascii="Cambria Math" w:eastAsiaTheme="minorEastAsia" w:hAnsi="Cambria Math"/>
                </w:rPr>
                <m:t xml:space="preserve"> x y+</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n,11</m:t>
                  </m:r>
                </m:sub>
              </m:sSub>
            </m:den>
          </m:f>
        </m:oMath>
      </m:oMathPara>
    </w:p>
    <w:p w14:paraId="09D454D4" w14:textId="77777777" w:rsidR="002E3777" w:rsidRDefault="002E3777" w:rsidP="002E3777">
      <w:pPr>
        <w:spacing w:line="360" w:lineRule="auto"/>
        <w:jc w:val="both"/>
        <w:rPr>
          <w:rFonts w:eastAsiaTheme="minorEastAsia"/>
        </w:rPr>
      </w:pPr>
      <w:r>
        <w:rPr>
          <w:rFonts w:eastAsiaTheme="minorEastAsia"/>
        </w:rPr>
        <w:br/>
        <w:t>and where</w:t>
      </w:r>
    </w:p>
    <w:p w14:paraId="31C70868" w14:textId="77777777" w:rsidR="002E3777" w:rsidRPr="00623476" w:rsidRDefault="000306CA" w:rsidP="002E3777">
      <w:pPr>
        <w:spacing w:line="360" w:lineRule="auto"/>
        <w:jc w:val="both"/>
        <w:rPr>
          <w:rFonts w:eastAsiaTheme="minorEastAsia"/>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ρ</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v</m:t>
                  </m:r>
                </m:sub>
              </m:sSub>
              <m:r>
                <w:rPr>
                  <w:rFonts w:ascii="Cambria Math" w:hAnsi="Cambria Math"/>
                </w:rPr>
                <m:t>,∅)</m:t>
              </m:r>
            </m:num>
            <m:den>
              <m:r>
                <w:rPr>
                  <w:rFonts w:ascii="Cambria Math" w:hAnsi="Cambria Math"/>
                </w:rPr>
                <m:t>F(</m:t>
              </m:r>
              <m:sSub>
                <m:sSubPr>
                  <m:ctrlPr>
                    <w:rPr>
                      <w:rFonts w:ascii="Cambria Math" w:hAnsi="Cambria Math"/>
                      <w:i/>
                    </w:rPr>
                  </m:ctrlPr>
                </m:sSubPr>
                <m:e>
                  <m:r>
                    <w:rPr>
                      <w:rFonts w:ascii="Cambria Math" w:hAnsi="Cambria Math"/>
                    </w:rPr>
                    <m:t>θ</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v</m:t>
                  </m:r>
                </m:sub>
              </m:sSub>
              <m:r>
                <w:rPr>
                  <w:rFonts w:ascii="Cambria Math" w:hAnsi="Cambria Math"/>
                </w:rPr>
                <m:t>, ∅;</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hg</m:t>
                  </m:r>
                </m:sup>
              </m:sSubSup>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ic</m:t>
                  </m:r>
                </m:sub>
              </m:sSub>
              <m:r>
                <w:rPr>
                  <w:rFonts w:ascii="Cambria Math" w:hAnsi="Cambria Math"/>
                </w:rPr>
                <m:t>)</m:t>
              </m:r>
            </m:den>
          </m:f>
        </m:oMath>
      </m:oMathPara>
    </w:p>
    <w:p w14:paraId="3B9A4AE2" w14:textId="1ED4E1B3" w:rsidR="002E3777" w:rsidRDefault="002E3777" w:rsidP="002E3777">
      <w:pPr>
        <w:spacing w:line="360" w:lineRule="auto"/>
        <w:jc w:val="both"/>
      </w:pPr>
      <w:r>
        <w:br/>
        <w:t xml:space="preserve">where </w:t>
      </w:r>
      <m:oMath>
        <m:sSubSup>
          <m:sSubSupPr>
            <m:ctrlPr>
              <w:rPr>
                <w:rFonts w:ascii="Cambria Math" w:hAnsi="Cambria Math"/>
                <w:i/>
              </w:rPr>
            </m:ctrlPr>
          </m:sSubSupPr>
          <m:e>
            <m:r>
              <w:rPr>
                <w:rFonts w:ascii="Cambria Math" w:hAnsi="Cambria Math"/>
              </w:rPr>
              <m:t>ρ</m:t>
            </m:r>
          </m:e>
          <m:sub>
            <m:r>
              <w:rPr>
                <w:rFonts w:ascii="Cambria Math" w:hAnsi="Cambria Math"/>
              </w:rPr>
              <m:t>i</m:t>
            </m:r>
          </m:sub>
          <m:sup>
            <m:r>
              <w:rPr>
                <w:rFonts w:ascii="Cambria Math" w:hAnsi="Cambria Math"/>
              </w:rPr>
              <m:t>*</m:t>
            </m:r>
          </m:sup>
        </m:sSubSup>
      </m:oMath>
      <w:r>
        <w:rPr>
          <w:rFonts w:eastAsiaTheme="minorEastAsia"/>
        </w:rPr>
        <w:t xml:space="preserve"> is the simulated top-of-atmosphere (TOA) bidirectional reflectance factor (BRF) in band </w:t>
      </w:r>
      <m:oMath>
        <m:r>
          <w:rPr>
            <w:rFonts w:ascii="Cambria Math" w:eastAsiaTheme="minorEastAsia" w:hAnsi="Cambria Math"/>
          </w:rPr>
          <m:t>i</m:t>
        </m:r>
      </m:oMath>
      <w:r>
        <w:rPr>
          <w:rFonts w:eastAsiaTheme="minorEastAsia"/>
        </w:rPr>
        <w:t xml:space="preserve">, whilst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ρ</m:t>
                </m:r>
              </m:e>
            </m:acc>
          </m:e>
          <m:sub>
            <m:r>
              <w:rPr>
                <w:rFonts w:ascii="Cambria Math" w:hAnsi="Cambria Math"/>
              </w:rPr>
              <m:t>i</m:t>
            </m:r>
          </m:sub>
        </m:sSub>
      </m:oMath>
      <w:r>
        <w:rPr>
          <w:rFonts w:eastAsiaTheme="minorEastAsia"/>
        </w:rPr>
        <w:t xml:space="preserve"> is the BRF normalised by the anisotropic function </w:t>
      </w:r>
      <m:oMath>
        <m:r>
          <w:rPr>
            <w:rFonts w:ascii="Cambria Math" w:hAnsi="Cambria Math"/>
          </w:rPr>
          <m:t>F</m:t>
        </m:r>
      </m:oMath>
      <w:r>
        <w:rPr>
          <w:rFonts w:eastAsiaTheme="minorEastAsia"/>
        </w:rPr>
        <w:t xml:space="preserve"> derived from the model of</w:t>
      </w:r>
      <w:r w:rsidR="00E97766">
        <w:rPr>
          <w:rFonts w:eastAsiaTheme="minorEastAsia"/>
        </w:rPr>
        <w:t xml:space="preserve"> </w:t>
      </w:r>
      <w:r w:rsidR="00E97766">
        <w:rPr>
          <w:rFonts w:eastAsiaTheme="minorEastAsia"/>
        </w:rPr>
        <w:fldChar w:fldCharType="begin" w:fldLock="1"/>
      </w:r>
      <w:r w:rsidR="00EF4B3C">
        <w:rPr>
          <w:rFonts w:eastAsiaTheme="minorEastAsia"/>
        </w:rPr>
        <w:instrText>ADDIN CSL_CITATION {"citationItems":[{"id":"ITEM-1","itemData":{"DOI":"10.1029/93JD02072","ISSN":"0148-0227","abstract":"A new semiempirical model to describe the bidirectional reflectance of arbitrary natural surfaces using only three parameters has been developed. This model successfully accounts for the observed variability of reflectance measurements in laboratory and field conditions, ranging from bare soil to full canopy cover, in both the visible and the near-infrared bands. Coupled with a simple atmospheric radiation transfer model, this model has been inverted against actual NOAA/advanced very high resolution radiometer (AVHRR) data from several desert sites in northern Africa. This procedure allows the retrieval of surface properties and average amounts of atmospheric constituents (aerosol optical thickness and water vapor) for the duration of the measurement period. Further work is required to expand the usability of the coupled model to other locations and shorter periods of time, but the paper demonstrates the feasibility of inverting a coupled surface-atmosphere model against existing AVHRR data and documents the current limits of this approach.","author":[{"dropping-particle":"","family":"Rahman","given":"Hafizur","non-dropping-particle":"","parse-names":false,"suffix":""},{"dropping-particle":"","family":"Pinty","given":"Bernard","non-dropping-particle":"","parse-names":false,"suffix":""},{"dropping-particle":"","family":"Verstraete","given":"Michel M","non-dropping-particle":"","parse-names":false,"suffix":""}],"container-title":"Journal of Geophysical Research","id":"ITEM-1","issue":"D11","issued":{"date-parts":[["1993"]]},"page":"20791","title":"Coupled surface-atmosphere reflectance (CSAR) model: 2. Semiempirical surface model usable with NOAA advanced very high resolution radiometer data","type":"article-journal","volume":"98"},"uris":["http://www.mendeley.com/documents/?uuid=e4bceb32-e01c-4a18-b08c-47521cca3248"]}],"mendeley":{"formattedCitation":"[3]","plainTextFormattedCitation":"[3]","previouslyFormattedCitation":"[34]"},"properties":{"noteIndex":0},"schema":"https://github.com/citation-style-language/schema/raw/master/csl-citation.json"}</w:instrText>
      </w:r>
      <w:r w:rsidR="00E97766">
        <w:rPr>
          <w:rFonts w:eastAsiaTheme="minorEastAsia"/>
        </w:rPr>
        <w:fldChar w:fldCharType="separate"/>
      </w:r>
      <w:r w:rsidR="00EF4B3C" w:rsidRPr="00EF4B3C">
        <w:rPr>
          <w:rFonts w:eastAsiaTheme="minorEastAsia"/>
          <w:noProof/>
        </w:rPr>
        <w:t>[3]</w:t>
      </w:r>
      <w:r w:rsidR="00E97766">
        <w:rPr>
          <w:rFonts w:eastAsiaTheme="minorEastAsia"/>
        </w:rPr>
        <w:fldChar w:fldCharType="end"/>
      </w:r>
      <w:r>
        <w:rPr>
          <w:rFonts w:eastAsiaTheme="minorEastAsia"/>
        </w:rPr>
        <w:t xml:space="preserve">, </w:t>
      </w:r>
      <m:oMath>
        <m:sSub>
          <m:sSubPr>
            <m:ctrlPr>
              <w:rPr>
                <w:rFonts w:ascii="Cambria Math" w:hAnsi="Cambria Math"/>
                <w:i/>
              </w:rPr>
            </m:ctrlPr>
          </m:sSubPr>
          <m:e>
            <m:r>
              <w:rPr>
                <w:rFonts w:ascii="Cambria Math" w:hAnsi="Cambria Math"/>
              </w:rPr>
              <m:t>θ</m:t>
            </m:r>
          </m:e>
          <m:sub>
            <m:r>
              <w:rPr>
                <w:rFonts w:ascii="Cambria Math" w:hAnsi="Cambria Math"/>
              </w:rPr>
              <m:t>0</m:t>
            </m:r>
          </m:sub>
        </m:sSub>
      </m:oMath>
      <w:r>
        <w:rPr>
          <w:rFonts w:eastAsiaTheme="minorEastAsia"/>
        </w:rPr>
        <w:t xml:space="preserve"> is the solar zenith angle, </w:t>
      </w:r>
      <m:oMath>
        <m:sSub>
          <m:sSubPr>
            <m:ctrlPr>
              <w:rPr>
                <w:rFonts w:ascii="Cambria Math" w:hAnsi="Cambria Math"/>
                <w:i/>
              </w:rPr>
            </m:ctrlPr>
          </m:sSubPr>
          <m:e>
            <m:r>
              <w:rPr>
                <w:rFonts w:ascii="Cambria Math" w:hAnsi="Cambria Math"/>
              </w:rPr>
              <m:t>θ</m:t>
            </m:r>
          </m:e>
          <m:sub>
            <m:r>
              <w:rPr>
                <w:rFonts w:ascii="Cambria Math" w:hAnsi="Cambria Math"/>
              </w:rPr>
              <m:t>v</m:t>
            </m:r>
          </m:sub>
        </m:sSub>
      </m:oMath>
      <w:r>
        <w:rPr>
          <w:rFonts w:eastAsiaTheme="minorEastAsia"/>
        </w:rPr>
        <w:t xml:space="preserve"> is the observer zenith angle, </w:t>
      </w:r>
      <m:oMath>
        <m:r>
          <w:rPr>
            <w:rFonts w:ascii="Cambria Math" w:hAnsi="Cambria Math"/>
          </w:rPr>
          <m:t>∅</m:t>
        </m:r>
      </m:oMath>
      <w:r>
        <w:rPr>
          <w:rFonts w:eastAsiaTheme="minorEastAsia"/>
        </w:rPr>
        <w:t xml:space="preserve"> is the relative azimuth angle, and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hg</m:t>
            </m:r>
          </m:sup>
        </m:sSubSup>
      </m:oMath>
      <w:r>
        <w:rPr>
          <w:rFonts w:eastAsiaTheme="minorEastAsia"/>
        </w:rPr>
        <w:t xml:space="preserve">, </w:t>
      </w:r>
      <m:oMath>
        <m:sSub>
          <m:sSubPr>
            <m:ctrlPr>
              <w:rPr>
                <w:rFonts w:ascii="Cambria Math" w:hAnsi="Cambria Math"/>
                <w:i/>
              </w:rPr>
            </m:ctrlPr>
          </m:sSubPr>
          <m:e>
            <m:r>
              <w:rPr>
                <w:rFonts w:ascii="Cambria Math" w:hAnsi="Cambria Math"/>
              </w:rPr>
              <m:t>ρ</m:t>
            </m:r>
          </m:e>
          <m:sub>
            <m:r>
              <w:rPr>
                <w:rFonts w:ascii="Cambria Math" w:hAnsi="Cambria Math"/>
              </w:rPr>
              <m:t>ic</m:t>
            </m:r>
          </m:sub>
        </m:sSub>
      </m:oMath>
      <w:r>
        <w:rPr>
          <w:rFonts w:eastAsiaTheme="minorEastAsia"/>
        </w:rPr>
        <w:t>, are coefficients</w:t>
      </w:r>
      <w:r w:rsidR="00E97766">
        <w:rPr>
          <w:rFonts w:eastAsiaTheme="minorEastAsia"/>
        </w:rPr>
        <w:t xml:space="preserve"> </w:t>
      </w:r>
      <w:r w:rsidR="00E97766">
        <w:rPr>
          <w:rFonts w:eastAsiaTheme="minorEastAsia"/>
        </w:rPr>
        <w:fldChar w:fldCharType="begin" w:fldLock="1"/>
      </w:r>
      <w:r w:rsidR="00EF4B3C">
        <w:rPr>
          <w:rFonts w:eastAsiaTheme="minorEastAsia"/>
        </w:rPr>
        <w:instrText>ADDIN CSL_CITATION {"citationItems":[{"id":"ITEM-1","itemData":{"author":[{"dropping-particle":"","family":"Gobron","given":"Nadine","non-dropping-particle":"","parse-names":false,"suffix":""}],"id":"ITEM-1","issued":{"date-parts":[["2010"]]},"publisher":"European Commission Joint Research Centre","publisher-place":"Ispra, Italy","title":"Ocean and Land Colour Instrument (OLCI) FAPAR and Rectified Channels over Terrestrial Surfaces Algorithm Theoretical Basis Document","type":"book"},"uris":["http://www.mendeley.com/documents/?uuid=f6207ee1-983e-3ac4-a412-25bebc3cc5c1"]}],"mendeley":{"formattedCitation":"[4]","plainTextFormattedCitation":"[4]","previouslyFormattedCitation":"[35]"},"properties":{"noteIndex":0},"schema":"https://github.com/citation-style-language/schema/raw/master/csl-citation.json"}</w:instrText>
      </w:r>
      <w:r w:rsidR="00E97766">
        <w:rPr>
          <w:rFonts w:eastAsiaTheme="minorEastAsia"/>
        </w:rPr>
        <w:fldChar w:fldCharType="separate"/>
      </w:r>
      <w:r w:rsidR="00EF4B3C" w:rsidRPr="00EF4B3C">
        <w:rPr>
          <w:rFonts w:eastAsiaTheme="minorEastAsia"/>
          <w:noProof/>
        </w:rPr>
        <w:t>[4]</w:t>
      </w:r>
      <w:r w:rsidR="00E97766">
        <w:rPr>
          <w:rFonts w:eastAsiaTheme="minorEastAsia"/>
        </w:rPr>
        <w:fldChar w:fldCharType="end"/>
      </w:r>
      <w:r>
        <w:rPr>
          <w:rFonts w:eastAsiaTheme="minorEastAsia"/>
        </w:rPr>
        <w:t>.</w:t>
      </w:r>
      <w:r w:rsidR="00500B18">
        <w:rPr>
          <w:rFonts w:eastAsiaTheme="minorEastAsia"/>
        </w:rPr>
        <w:t xml:space="preserve"> </w:t>
      </w:r>
      <w:r>
        <w:t xml:space="preserve">The coefficients themselves are determined using a look-up-table (LUT) of one-dimensional radiative transfer </w:t>
      </w:r>
      <w:proofErr w:type="spellStart"/>
      <w:r>
        <w:t>model</w:t>
      </w:r>
      <w:proofErr w:type="spellEnd"/>
      <w:r>
        <w:t xml:space="preserve"> (RTM) simulations corresponding to a range of environmental and observational conditions.</w:t>
      </w:r>
      <w:r w:rsidR="00500B18">
        <w:t xml:space="preserve"> </w:t>
      </w:r>
      <w:r>
        <w:t>The semi-discrete vegetation model of</w:t>
      </w:r>
      <w:r w:rsidR="00491F1D">
        <w:t xml:space="preserve"> </w:t>
      </w:r>
      <w:r>
        <w:fldChar w:fldCharType="begin" w:fldLock="1"/>
      </w:r>
      <w:r w:rsidR="00CE075F">
        <w:instrText>ADDIN CSL_CITATION {"citationItems":[{"id":"ITEM-1","itemData":{"DOI":"10.3390/rs6054190","ISBN":"2072-4292","ISSN":"20724292","author":[{"dropping-particle":"","family":"Weiss","given":"Marie","non-dropping-particle":"","parse-names":false,"suffix":""},{"dropping-particle":"","family":"Baret","given":"Frédéric","non-dropping-particle":"","parse-names":false,"suffix":""},{"dropping-particle":"","family":"Block","given":"Tom","non-dropping-particle":"","parse-names":false,"suffix":""},{"dropping-particle":"","family":"Koetz","given":"Benjamin","non-dropping-particle":"","parse-names":false,"suffix":""},{"dropping-particle":"","family":"Burini","given":"Alessandro","non-dropping-particle":"","parse-names":false,"suffix":""},{"dropping-particle":"","family":"Scholze","given":"Bettina","non-dropping-particle":"","parse-names":false,"suffix":""},{"dropping-particle":"","family":"Lecharpentier","given":"Patrice","non-dropping-particle":"","parse-names":false,"suffix":""},{"dropping-particle":"","family":"Brockmann","given":"Carsten","non-dropping-particle":"","parse-names":false,"suffix":""},{"dropping-particle":"","family":"Fernandes","given":"Richard","non-dropping-particle":"","parse-names":false,"suffix":""},{"dropping-particle":"","family":"Plummer","given":"Stephen","non-dropping-particle":"","parse-names":false,"suffix":""},{"dropping-particle":"","family":"Myneni","given":"Ranga B","non-dropping-particle":"","parse-names":false,"suffix":""},{"dropping-particle":"","family":"Gobron","given":"Nadine","non-dropping-particle":"","parse-names":false,"suffix":""},{"dropping-particle":"","family":"Nightingale","given":"Joanne","non-dropping-particle":"","parse-names":false,"suffix":""},{"dropping-particle":"","family":"Schaepman-Strub","given":"Gabriela","non-dropping-particle":"","parse-names":false,"suffix":""},{"dropping-particle":"","family":"Camacho","given":"Fernando","non-dropping-particle":"","parse-names":false,"suffix":""},{"dropping-particle":"","family":"Sanchez-Azofeifa","given":"Arturo","non-dropping-particle":"","parse-names":false,"suffix":""}],"container-title":"Remote Sensing","id":"ITEM-1","issue":"5","issued":{"date-parts":[["2014"]]},"page":"4190-4216","title":"On line validation exercise (OLIVE): A web based service for the validation of medium resolution land products. application to FAPAR products","type":"article-journal","volume":"6"},"uris":["http://www.mendeley.com/documents/?uuid=f0452a9e-9dfc-4c65-8dd8-bc77c91d97dd"]}],"mendeley":{"formattedCitation":"[5]","plainTextFormattedCitation":"[5]","previouslyFormattedCitation":"[5]"},"properties":{"noteIndex":0},"schema":"https://github.com/citation-style-language/schema/raw/master/csl-citation.json"}</w:instrText>
      </w:r>
      <w:r>
        <w:fldChar w:fldCharType="separate"/>
      </w:r>
      <w:r w:rsidR="00476577" w:rsidRPr="00476577">
        <w:rPr>
          <w:noProof/>
        </w:rPr>
        <w:t>[5]</w:t>
      </w:r>
      <w:r>
        <w:fldChar w:fldCharType="end"/>
      </w:r>
      <w:r>
        <w:t>, soil spectral library of</w:t>
      </w:r>
      <w:r w:rsidR="00491F1D">
        <w:t xml:space="preserve"> </w:t>
      </w:r>
      <w:r>
        <w:fldChar w:fldCharType="begin" w:fldLock="1"/>
      </w:r>
      <w:r w:rsidR="00CE075F">
        <w:instrText>ADDIN CSL_CITATION {"citationItems":[{"id":"ITEM-1","itemData":{"DOI":"10.3390/rs8060460","ISBN":"8618610011","ISSN":"2072-4292","abstract":"As the latest version of Moderate Resolution Imaging Spectroradiometer (MODIS) Leaf Area Index (LAI) and Fraction of Photosynthetically Active Radiation (FPAR) products, Collection 6 (C6) has been distributed since August 2015. This collection is evaluated in this two-part series with the goal of assessing product accuracy, uncertainty and consistency with the previous version. In this first paper, we compare C6 (MOD15A2H) with Collection 5 (C5) to check for consistency and discuss the scale effects associated with changing spatial resolution between the two collections and benefits from improvements to algorithm inputs. Compared with C5, C6 benefits from two improved inputs: (1) L2G–lite surface reflectance at 500 m resolution in place of reflectance at 1 km resolution; and (2) new multi-year land-cover product at 500 m resolution in place of the 1 km static land-cover product. Global and seasonal comparison between C5 and C6 indicates good continuity and consistency for all biome types. Moreover, inter-annual LAI anomalies at the regional scale from C5 and C6 agree well. The proportion of main radiative transfer algorithm retrievals in C6 increased slightly in most biome types, notably including a 17% improvement in evergreen broadleaf forests. With same biome input, the mean RMSE of LAI and FPAR between C5 and C6 at global scale are 0.29 and 0.091, respectively, but biome type disagreement worsens the consistency (LAI: 0.39, FPAR: 0.102). By quantifying the impact of input changes, we find that the improvements of both land-cover and reflectance products improve LAI/FPAR products. Moreover, we find that spatial scale effects due to a resolution change from 1 km to 500 m do not cause any significant differences.","author":[{"dropping-particle":"","family":"Yan","given":"Kai","non-dropping-particle":"","parse-names":false,"suffix":""},{"dropping-particle":"","family":"Park","given":"Taejin","non-dropping-particle":"","parse-names":false,"suffix":""},{"dropping-particle":"","family":"Yan","given":"Guangjian","non-dropping-particle":"","parse-names":false,"suffix":""},{"dropping-particle":"","family":"Liu","given":"Zhao","non-dropping-particle":"","parse-names":false,"suffix":""},{"dropping-particle":"","family":"Yang","given":"Bin","non-dropping-particle":"","parse-names":false,"suffix":""},{"dropping-particle":"","family":"Chen","given":"Chi","non-dropping-particle":"","parse-names":false,"suffix":""},{"dropping-particle":"","family":"Nemani","given":"Ramakrishna","non-dropping-particle":"","parse-names":false,"suffix":""},{"dropping-particle":"","family":"Knyazikhin","given":"Yuri","non-dropping-particle":"","parse-names":false,"suffix":""},{"dropping-particle":"","family":"Myneni","given":"Ranga","non-dropping-particle":"","parse-names":false,"suffix":""}],"container-title":"Remote Sensing","id":"ITEM-1","issue":"6","issued":{"date-parts":[["2016","5","30"]]},"page":"460","title":"Evaluation of MODIS LAI/FPAR Product Collection 6. Part 2: Validation and Intercomparison","type":"article-journal","volume":"8"},"uris":["http://www.mendeley.com/documents/?uuid=faeddfe6-f658-457c-856c-6bda06896bf7"]}],"mendeley":{"formattedCitation":"[6]","plainTextFormattedCitation":"[6]","previouslyFormattedCitation":"[6]"},"properties":{"noteIndex":0},"schema":"https://github.com/citation-style-language/schema/raw/master/csl-citation.json"}</w:instrText>
      </w:r>
      <w:r>
        <w:fldChar w:fldCharType="separate"/>
      </w:r>
      <w:r w:rsidR="00476577" w:rsidRPr="00476577">
        <w:rPr>
          <w:noProof/>
        </w:rPr>
        <w:t>[6]</w:t>
      </w:r>
      <w:r>
        <w:fldChar w:fldCharType="end"/>
      </w:r>
      <w:r>
        <w:t xml:space="preserve">, and atmospheric model of </w:t>
      </w:r>
      <w:r w:rsidR="00E97766">
        <w:fldChar w:fldCharType="begin" w:fldLock="1"/>
      </w:r>
      <w:r w:rsidR="00EF4B3C">
        <w:instrText>ADDIN CSL_CITATION {"citationItems":[{"id":"ITEM-1","itemData":{"DOI":"10.1109/36.581987","ISBN":"0196-2892","ISSN":"01962892","PMID":"2","abstract":"Remote sensing from satellite or airborne platforms of land or sea\\nsurfaces in the visible and near infrared is strongly affected by the\\npresence of the atmosphere along the path from Sun to target (surface)\\nto sensor. This paper presents 6S (Second Simulation of the Satellite\\nSignal in the Solar Spectrum), a computer code which can accurately\\nsimulate the above problems. The 6S code is an improved version of 5S\\n(Simulation of the Satellite Signal in the Solar Spectrum), developed by\\nthe Laboratoire d'Optique Atmospherique ten years ago. The new version\\nnow permits calculations of near-nadir (down-looking) aircraft\\nobservations, accounting for target elevation, non lambertian surface\\nconditions, and new absorbing species (CH4, N2O,\\nCO). The computational accuracy for Rayleigh and aerosol scattering\\neffects has been improved by the use of state-of-the-art approximations\\nand implementation of the successive order of scattering (SOS)\\nalgorithm. The step size (resolution) used for spectral integration has\\nbeen improved to 2.5 nm. The goal of this paper is not to provide a\\ncomplete description of the methods used as that information is detailed\\nin the 6S manual, but rather to illustrate the impact of the\\nimprovements between 5S and 6S by examining some typical remote sensing\\nsituations. Nevertheless, the 6S code has still limitations. It cannot\\nhandle spherical atmosphere and as a result, it cannot be used for limb\\nobservations. In addition, the decoupling the authors are using for\\nabsorption and scattering effects does not allow to use the code in\\npresence of strong absorption bands","author":[{"dropping-particle":"","family":"Vermote","given":"E.F.","non-dropping-particle":"","parse-names":false,"suffix":""},{"dropping-particle":"","family":"Tanre","given":"D.","non-dropping-particle":"","parse-names":false,"suffix":""},{"dropping-particle":"","family":"Deuze","given":"J.L.","non-dropping-particle":"","parse-names":false,"suffix":""},{"dropping-particle":"","family":"Herman","given":"Maurice","non-dropping-particle":"","parse-names":false,"suffix":""},{"dropping-particle":"","family":"Morcette","given":"J.-J.","non-dropping-particle":"","parse-names":false,"suffix":""}],"container-title":"IEEE Transactions on Geoscience and Remote Sensing","id":"ITEM-1","issue":"3","issued":{"date-parts":[["1997","5"]]},"page":"675-686","title":"Second Simulation of the Satellite Signal in the Solar Spectrum, 6S: an overview","type":"article-journal","volume":"35"},"uris":["http://www.mendeley.com/documents/?uuid=731eb57d-0e2e-43fb-9cbb-2ff71c01f11e"]}],"mendeley":{"formattedCitation":"[7]","plainTextFormattedCitation":"[7]","previouslyFormattedCitation":"[38]"},"properties":{"noteIndex":0},"schema":"https://github.com/citation-style-language/schema/raw/master/csl-citation.json"}</w:instrText>
      </w:r>
      <w:r w:rsidR="00E97766">
        <w:fldChar w:fldCharType="separate"/>
      </w:r>
      <w:r w:rsidR="00EF4B3C" w:rsidRPr="00EF4B3C">
        <w:rPr>
          <w:noProof/>
        </w:rPr>
        <w:t>[7]</w:t>
      </w:r>
      <w:r w:rsidR="00E97766">
        <w:fldChar w:fldCharType="end"/>
      </w:r>
      <w:r>
        <w:t xml:space="preserve"> are used for this purpose.</w:t>
      </w:r>
      <w:r w:rsidR="00500B18">
        <w:t xml:space="preserve"> </w:t>
      </w:r>
      <w:r>
        <w:t>The coefficients are optimised to minimise the difference between the OGVI and FAPAR, such that the OGVI is constrained to take on values as close as possible to the FAPAR associated with the simulations</w:t>
      </w:r>
      <w:r w:rsidR="00E97766">
        <w:t xml:space="preserve"> </w:t>
      </w:r>
      <w:r w:rsidR="00E97766">
        <w:fldChar w:fldCharType="begin" w:fldLock="1"/>
      </w:r>
      <w:r w:rsidR="00EF4B3C">
        <w:instrText>ADDIN CSL_CITATION {"citationItems":[{"id":"ITEM-1","itemData":{"author":[{"dropping-particle":"","family":"Gobron","given":"Nadine","non-dropping-particle":"","parse-names":false,"suffix":""}],"id":"ITEM-1","issued":{"date-parts":[["2010"]]},"publisher":"European Commission Joint Research Centre","publisher-place":"Ispra, Italy","title":"Ocean and Land Colour Instrument (OLCI) FAPAR and Rectified Channels over Terrestrial Surfaces Algorithm Theoretical Basis Document","type":"book"},"uris":["http://www.mendeley.com/documents/?uuid=f6207ee1-983e-3ac4-a412-25bebc3cc5c1"]}],"mendeley":{"formattedCitation":"[4]","plainTextFormattedCitation":"[4]","previouslyFormattedCitation":"[35]"},"properties":{"noteIndex":0},"schema":"https://github.com/citation-style-language/schema/raw/master/csl-citation.json"}</w:instrText>
      </w:r>
      <w:r w:rsidR="00E97766">
        <w:fldChar w:fldCharType="separate"/>
      </w:r>
      <w:r w:rsidR="00EF4B3C" w:rsidRPr="00EF4B3C">
        <w:rPr>
          <w:noProof/>
        </w:rPr>
        <w:t>[4]</w:t>
      </w:r>
      <w:r w:rsidR="00E97766">
        <w:fldChar w:fldCharType="end"/>
      </w:r>
      <w:r>
        <w:t>.</w:t>
      </w:r>
    </w:p>
    <w:p w14:paraId="3A2D3751" w14:textId="77777777" w:rsidR="00424968" w:rsidRDefault="00424968" w:rsidP="00424968">
      <w:pPr>
        <w:spacing w:line="360" w:lineRule="auto"/>
        <w:jc w:val="both"/>
      </w:pPr>
      <w:r>
        <w:t>The OGVI is provided with per-pixel uncertainties, which are derived by propagating uncertainties in the input quantities through its calculation, such that</w:t>
      </w:r>
    </w:p>
    <w:p w14:paraId="73AFEE26" w14:textId="77777777" w:rsidR="00424968" w:rsidRPr="004F2CD7" w:rsidRDefault="00424968" w:rsidP="00424968">
      <w:pPr>
        <w:spacing w:line="360" w:lineRule="auto"/>
        <w:rPr>
          <w:rFonts w:eastAsiaTheme="minorEastAsia"/>
        </w:rPr>
      </w:pPr>
      <m:oMathPara>
        <m:oMath>
          <m:r>
            <w:rPr>
              <w:rFonts w:ascii="Cambria Math" w:hAnsi="Cambria Math"/>
            </w:rPr>
            <m:t>u</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e>
              </m:d>
            </m:e>
          </m:d>
          <m:r>
            <w:rPr>
              <w:rFonts w:ascii="Cambria Math" w:hAnsi="Cambria Math"/>
            </w:rPr>
            <m:t>=</m:t>
          </m:r>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e>
                              </m:d>
                            </m:num>
                            <m:den>
                              <m:r>
                                <w:rPr>
                                  <w:rFonts w:ascii="Cambria Math" w:hAnsi="Cambria Math"/>
                                </w:rPr>
                                <m:t>δ</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e>
                              </m:d>
                            </m:den>
                          </m:f>
                        </m:e>
                      </m:d>
                    </m:e>
                    <m:sup>
                      <m:r>
                        <w:rPr>
                          <w:rFonts w:ascii="Cambria Math" w:hAnsi="Cambria Math"/>
                        </w:rPr>
                        <m:t>2</m:t>
                      </m:r>
                    </m:sup>
                  </m:sSup>
                </m:e>
              </m:nary>
              <m:sSup>
                <m:sSupPr>
                  <m:ctrlPr>
                    <w:rPr>
                      <w:rFonts w:ascii="Cambria Math" w:hAnsi="Cambria Math"/>
                      <w:i/>
                    </w:rPr>
                  </m:ctrlPr>
                </m:sSupPr>
                <m:e>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j</m:t>
                          </m:r>
                        </m:sub>
                      </m:sSub>
                    </m:e>
                  </m:d>
                </m:e>
                <m:sup>
                  <m:r>
                    <w:rPr>
                      <w:rFonts w:ascii="Cambria Math" w:hAnsi="Cambria Math"/>
                    </w:rPr>
                    <m:t>2</m:t>
                  </m:r>
                </m:sup>
              </m:sSup>
            </m:e>
          </m:rad>
        </m:oMath>
      </m:oMathPara>
    </w:p>
    <w:p w14:paraId="3F500BD6" w14:textId="2EA713D0" w:rsidR="00424968" w:rsidRDefault="00424968" w:rsidP="00424968">
      <w:pPr>
        <w:spacing w:line="360" w:lineRule="auto"/>
        <w:rPr>
          <w:rFonts w:eastAsiaTheme="minorEastAsia"/>
        </w:rPr>
      </w:pPr>
      <w:r>
        <w:rPr>
          <w:rFonts w:eastAsiaTheme="minorEastAsia"/>
        </w:rPr>
        <w:br/>
        <w:t xml:space="preserve">where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Pr>
          <w:rFonts w:eastAsiaTheme="minorEastAsia"/>
        </w:rPr>
        <w:t xml:space="preserve"> are the TOA reflectance values in OLCI bands 3, 10, and 17, centred at 442.5 nm, 681.25 nm and 865 nm, respectively</w:t>
      </w:r>
      <w:r w:rsidR="00E97766">
        <w:rPr>
          <w:rFonts w:eastAsiaTheme="minorEastAsia"/>
        </w:rPr>
        <w:t xml:space="preserve"> </w:t>
      </w:r>
      <w:r w:rsidR="00E97766">
        <w:fldChar w:fldCharType="begin" w:fldLock="1"/>
      </w:r>
      <w:r w:rsidR="00EF4B3C">
        <w:instrText>ADDIN CSL_CITATION {"citationItems":[{"id":"ITEM-1","itemData":{"author":[{"dropping-particle":"","family":"Gobron","given":"Nadine","non-dropping-particle":"","parse-names":false,"suffix":""}],"id":"ITEM-1","issued":{"date-parts":[["2010"]]},"publisher":"European Commission Joint Research Centre","publisher-place":"Ispra, Italy","title":"Ocean and Land Colour Instrument (OLCI) FAPAR and Rectified Channels over Terrestrial Surfaces Algorithm Theoretical Basis Document","type":"book"},"uris":["http://www.mendeley.com/documents/?uuid=f6207ee1-983e-3ac4-a412-25bebc3cc5c1"]}],"mendeley":{"formattedCitation":"[4]","plainTextFormattedCitation":"[4]","previouslyFormattedCitation":"[35]"},"properties":{"noteIndex":0},"schema":"https://github.com/citation-style-language/schema/raw/master/csl-citation.json"}</w:instrText>
      </w:r>
      <w:r w:rsidR="00E97766">
        <w:fldChar w:fldCharType="separate"/>
      </w:r>
      <w:r w:rsidR="00EF4B3C" w:rsidRPr="00EF4B3C">
        <w:rPr>
          <w:noProof/>
        </w:rPr>
        <w:t>[4]</w:t>
      </w:r>
      <w:r w:rsidR="00E97766">
        <w:fldChar w:fldCharType="end"/>
      </w:r>
      <w:r>
        <w:rPr>
          <w:rFonts w:eastAsiaTheme="minorEastAsia"/>
        </w:rPr>
        <w:t>.</w:t>
      </w:r>
    </w:p>
    <w:p w14:paraId="3A94ED9B" w14:textId="77777777" w:rsidR="002E3777" w:rsidRPr="002E3777" w:rsidRDefault="002E3777" w:rsidP="00424968">
      <w:pPr>
        <w:spacing w:after="0"/>
      </w:pPr>
    </w:p>
    <w:p w14:paraId="3AD68AA5" w14:textId="77777777" w:rsidR="002E3777" w:rsidRPr="00DB1978" w:rsidRDefault="002E3777" w:rsidP="00424968">
      <w:pPr>
        <w:pStyle w:val="Heading3"/>
      </w:pPr>
      <w:bookmarkStart w:id="15" w:name="_Toc43388049"/>
      <w:r w:rsidRPr="00424968">
        <w:t>OLCI</w:t>
      </w:r>
      <w:r w:rsidRPr="00DB1978">
        <w:t xml:space="preserve"> Terrestrial Chlorophyll Index (OTCI)</w:t>
      </w:r>
      <w:bookmarkEnd w:id="15"/>
    </w:p>
    <w:p w14:paraId="5391B062" w14:textId="77777777" w:rsidR="002E3777" w:rsidRPr="004D13CD" w:rsidRDefault="002E3777" w:rsidP="00491F1D">
      <w:pPr>
        <w:spacing w:after="0" w:line="360" w:lineRule="auto"/>
      </w:pPr>
    </w:p>
    <w:p w14:paraId="172894A4" w14:textId="614CAA97" w:rsidR="002E3777" w:rsidRDefault="002E3777" w:rsidP="002E3777">
      <w:pPr>
        <w:spacing w:line="360" w:lineRule="auto"/>
        <w:jc w:val="both"/>
      </w:pPr>
      <w:r>
        <w:t>The interaction of incoming radiation with vegetated surfaced results in a distinctive reflectance spectrum.</w:t>
      </w:r>
      <w:r w:rsidR="00500B18">
        <w:t xml:space="preserve"> </w:t>
      </w:r>
      <w:r>
        <w:t>As the key photosynthetic pigment in plants, chlorophyll absorbs much of the incoming radiation in the visible region of the electromagnetic spectrum, leading to low reflectance.</w:t>
      </w:r>
      <w:r w:rsidR="00500B18">
        <w:t xml:space="preserve"> </w:t>
      </w:r>
      <w:r>
        <w:t>In the near-infrared, optical properties are mostly controlled by leaf structure, and reflectance in this region of the electromagnetic spectrum is high due to internal scattering within the leaf.</w:t>
      </w:r>
      <w:r w:rsidR="00500B18">
        <w:t xml:space="preserve"> </w:t>
      </w:r>
      <w:r>
        <w:t xml:space="preserve">The boundary between </w:t>
      </w:r>
      <w:r>
        <w:lastRenderedPageBreak/>
        <w:t>strong absorption due to the presence of chlorophyll and strong reflectance due to leaf structure is known as the red-edge, and its position (i.e. the location of the maximum rate of change) is strongly related to CCC</w:t>
      </w:r>
      <w:r w:rsidR="00E97766">
        <w:t xml:space="preserve"> </w:t>
      </w:r>
      <w:r w:rsidR="00E97766">
        <w:fldChar w:fldCharType="begin" w:fldLock="1"/>
      </w:r>
      <w:r w:rsidR="00EF4B3C">
        <w:instrText>ADDIN CSL_CITATION {"citationItems":[{"id":"ITEM-1","itemData":{"DOI":"10.1080/01431168308948546","ISSN":"0143-1161","author":[{"dropping-particle":"","family":"Horler","given":"D.N.H.","non-dropping-particle":"","parse-names":false,"suffix":""},{"dropping-particle":"","family":"Dockray","given":"M.","non-dropping-particle":"","parse-names":false,"suffix":""},{"dropping-particle":"","family":"Barber","given":"J.","non-dropping-particle":"","parse-names":false,"suffix":""}],"container-title":"International Journal of Remote Sensing","id":"ITEM-1","issue":"2","issued":{"date-parts":[["1983","1","27"]]},"page":"273-288","title":"The red edge of plant leaf reflectance","type":"article-journal","volume":"4"},"uris":["http://www.mendeley.com/documents/?uuid=0e8b7d8d-60a6-406c-a121-f1f717c5a7d2"]}],"mendeley":{"formattedCitation":"[8]","plainTextFormattedCitation":"[8]","previouslyFormattedCitation":"[39]"},"properties":{"noteIndex":0},"schema":"https://github.com/citation-style-language/schema/raw/master/csl-citation.json"}</w:instrText>
      </w:r>
      <w:r w:rsidR="00E97766">
        <w:fldChar w:fldCharType="separate"/>
      </w:r>
      <w:r w:rsidR="00EF4B3C" w:rsidRPr="00EF4B3C">
        <w:rPr>
          <w:noProof/>
        </w:rPr>
        <w:t>[8]</w:t>
      </w:r>
      <w:r w:rsidR="00E97766">
        <w:fldChar w:fldCharType="end"/>
      </w:r>
      <w:r>
        <w:t>.</w:t>
      </w:r>
      <w:r w:rsidR="00500B18">
        <w:t xml:space="preserve"> </w:t>
      </w:r>
      <w:r>
        <w:t xml:space="preserve">As CCC increases, the </w:t>
      </w:r>
      <w:proofErr w:type="gramStart"/>
      <w:r>
        <w:t>red-edge</w:t>
      </w:r>
      <w:proofErr w:type="gramEnd"/>
      <w:r>
        <w:t xml:space="preserve"> moves towards longer wavelengths.</w:t>
      </w:r>
      <w:r w:rsidR="00500B18">
        <w:t xml:space="preserve"> </w:t>
      </w:r>
    </w:p>
    <w:p w14:paraId="0ADB26C8" w14:textId="221C7BDA" w:rsidR="002E3777" w:rsidRDefault="002E3777" w:rsidP="002E3777">
      <w:pPr>
        <w:spacing w:line="360" w:lineRule="auto"/>
        <w:jc w:val="both"/>
      </w:pPr>
      <w:r>
        <w:t xml:space="preserve">Where continuous spectra are available, the red-edge position can be determined as the maximum of the first derivative </w:t>
      </w:r>
      <w:r w:rsidR="00E97766">
        <w:fldChar w:fldCharType="begin" w:fldLock="1"/>
      </w:r>
      <w:r w:rsidR="00EF4B3C">
        <w:instrText>ADDIN CSL_CITATION {"citationItems":[{"id":"ITEM-1","itemData":{"DOI":"10.1080/01431168308948546","ISSN":"0143-1161","author":[{"dropping-particle":"","family":"Horler","given":"D.N.H.","non-dropping-particle":"","parse-names":false,"suffix":""},{"dropping-particle":"","family":"Dockray","given":"M.","non-dropping-particle":"","parse-names":false,"suffix":""},{"dropping-particle":"","family":"Barber","given":"J.","non-dropping-particle":"","parse-names":false,"suffix":""}],"container-title":"International Journal of Remote Sensing","id":"ITEM-1","issue":"2","issued":{"date-parts":[["1983","1","27"]]},"page":"273-288","title":"The red edge of plant leaf reflectance","type":"article-journal","volume":"4"},"uris":["http://www.mendeley.com/documents/?uuid=0e8b7d8d-60a6-406c-a121-f1f717c5a7d2"]},{"id":"ITEM-2","itemData":{"DOI":"10.1093/treephys/7.1-2-3-4.33","ISSN":"0829-318X","abstract":"Chlorophyll is a key indicator of the physiological status of a forest canopy. However, its distribution may vary greatly in time and space, so that the estimation of chlorophyll content of canopies or branches by extrapolation from leaf values obtained by destructive sampling is labor intensive and potentially inaccurate. Chlorophyll content is related positively to the point of maximum slope in vegetation reflectance spectra which occurs at wavelengths between 690-740 nm and is known as the \"red edge.\" The red edge of needles on individual slash pine (Pinus elliottii Engelm.) branches and in whole forest canopies was measured with a spectroradiometer. Branches were measured on the ground against a spectrally flat reflectance target and canopies were measured from observation towers against a spectrally variable understory and forest floor. There was a linear relationship between red edge and chlorophyll content of branches (R(2) = 0.91). Measurements of the red edge and this relationship were used to estimate the chlorophyll content of other branches with an error that was lower than that associated with the calorimetric (laboratory) method. There was no relationship between the red edge and the chlorophyll content of whole canopies. This can be explained by the overriding influence of the understory and forest floor, an influence that was illustrated by spectral mixture modeling. The results suggest that the red edge could be used to estimate the chlorophyll content in branches, but it is unlikely to be of value for the estimation of chlorophyll content in canopies unless the canopy cover is high.","author":[{"dropping-particle":"","family":"Curran","given":"Paul J.","non-dropping-particle":"","parse-names":false,"suffix":""},{"dropping-particle":"","family":"Dungan","given":"Jennifer L.","non-dropping-particle":"","parse-names":false,"suffix":""},{"dropping-particle":"","family":"Gholz","given":"Henry L.","non-dropping-particle":"","parse-names":false,"suffix":""}],"container-title":"Tree Physiology","id":"ITEM-2","issue":"1-2-3-4","issued":{"date-parts":[["1990","12"]]},"page":"33-48","title":"Exploring the relationship between reflectance red edge and chlorophyll content in slash pine","type":"article-journal","volume":"7"},"uris":["http://www.mendeley.com/documents/?uuid=15619629-ec4c-4087-a352-b6fc6b419f7f"]}],"mendeley":{"formattedCitation":"[8], [9]","plainTextFormattedCitation":"[8], [9]","previouslyFormattedCitation":"[39], [40]"},"properties":{"noteIndex":0},"schema":"https://github.com/citation-style-language/schema/raw/master/csl-citation.json"}</w:instrText>
      </w:r>
      <w:r w:rsidR="00E97766">
        <w:fldChar w:fldCharType="separate"/>
      </w:r>
      <w:r w:rsidR="00EF4B3C" w:rsidRPr="00EF4B3C">
        <w:rPr>
          <w:noProof/>
        </w:rPr>
        <w:t>[8], [9]</w:t>
      </w:r>
      <w:r w:rsidR="00E97766">
        <w:fldChar w:fldCharType="end"/>
      </w:r>
      <w:r>
        <w:t xml:space="preserve"> whilst a range of techniques have also been applied to estimate the position of the red-edge from discontinuous spectra.</w:t>
      </w:r>
      <w:r w:rsidR="00500B18">
        <w:t xml:space="preserve"> </w:t>
      </w:r>
      <w:r>
        <w:t xml:space="preserve">These include higher order curve fitting </w:t>
      </w:r>
      <w:r>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bb6618ff-0c9a-44bb-85eb-927e3dba2294"]}],"mendeley":{"formattedCitation":"[10]","plainTextFormattedCitation":"[10]","previouslyFormattedCitation":"[9]"},"properties":{"noteIndex":0},"schema":"https://github.com/citation-style-language/schema/raw/master/csl-citation.json"}</w:instrText>
      </w:r>
      <w:r>
        <w:fldChar w:fldCharType="separate"/>
      </w:r>
      <w:r w:rsidR="00EF4B3C" w:rsidRPr="00EF4B3C">
        <w:rPr>
          <w:noProof/>
        </w:rPr>
        <w:t>[10]</w:t>
      </w:r>
      <w:r>
        <w:fldChar w:fldCharType="end"/>
      </w:r>
      <w:r>
        <w:t xml:space="preserve">, an inverted Gaussian model </w:t>
      </w:r>
      <w:r w:rsidR="00E97766">
        <w:fldChar w:fldCharType="begin" w:fldLock="1"/>
      </w:r>
      <w:r w:rsidR="00EF4B3C">
        <w:instrText>ADDIN CSL_CITATION {"citationItems":[{"id":"ITEM-1","itemData":{"DOI":"10.1016/0098-3004(88)90065-9","ISSN":"00983004","author":[{"dropping-particle":"","family":"Bonham-Carter","given":"G.F.","non-dropping-particle":"","parse-names":false,"suffix":""}],"container-title":"Computers and Geosciences","id":"ITEM-1","issue":"3","issued":{"date-parts":[["1988","1"]]},"page":"339-356","title":"Numerical procedures and computer program for fitting an inverted gaussian model to vegetation reflectance data","type":"article-journal","volume":"14"},"uris":["http://www.mendeley.com/documents/?uuid=faa1bcc7-1fd6-4f1f-a1ac-182b16722279"]},{"id":"ITEM-2","itemData":{"DOI":"10.1080/01431169108955186","ISSN":"0143-1161","author":[{"dropping-particle":"","family":"Miller","given":"J.R.","non-dropping-particle":"","parse-names":false,"suffix":""},{"dropping-particle":"","family":"Jiyou","given":"Wu","non-dropping-particle":"","parse-names":false,"suffix":""},{"dropping-particle":"","family":"Boyer","given":"M.G.","non-dropping-particle":"","parse-names":false,"suffix":""},{"dropping-particle":"","family":"Belanger","given":"M.","non-dropping-particle":"","parse-names":false,"suffix":""},{"dropping-particle":"","family":"Hare","given":"E.W.","non-dropping-particle":"","parse-names":false,"suffix":""}],"container-title":"International Journal of Remote Sensing","id":"ITEM-2","issue":"7","issued":{"date-parts":[["1991","7","27"]]},"page":"1509-1523","title":"Seasonal patterns in leaf reflectance red-edge characteristics","type":"article-journal","volume":"12"},"uris":["http://www.mendeley.com/documents/?uuid=151f32e3-d47f-47d1-88cc-fe0cb61152b2"]}],"mendeley":{"formattedCitation":"[11], [12]","plainTextFormattedCitation":"[11], [12]","previouslyFormattedCitation":"[42], [43]"},"properties":{"noteIndex":0},"schema":"https://github.com/citation-style-language/schema/raw/master/csl-citation.json"}</w:instrText>
      </w:r>
      <w:r w:rsidR="00E97766">
        <w:fldChar w:fldCharType="separate"/>
      </w:r>
      <w:r w:rsidR="00EF4B3C" w:rsidRPr="00EF4B3C">
        <w:rPr>
          <w:noProof/>
        </w:rPr>
        <w:t>[11], [12]</w:t>
      </w:r>
      <w:r w:rsidR="00E97766">
        <w:fldChar w:fldCharType="end"/>
      </w:r>
      <w:r w:rsidR="00E97766">
        <w:t>,</w:t>
      </w:r>
      <w:r>
        <w:t xml:space="preserve"> linear interpolation </w:t>
      </w:r>
      <w:r w:rsidR="00E97766">
        <w:fldChar w:fldCharType="begin" w:fldLock="1"/>
      </w:r>
      <w:r w:rsidR="00EF4B3C">
        <w:instrText>ADDIN CSL_CITATION {"citationItems":[{"id":"ITEM-1","itemData":{"abstract":"High spectral resolution permits characterization of the spectral shift of the red edge for a plant canopy. The mechanisms that are involved in these spectral shifts were analyzed at two different scales: the leaf and the canopy. This study is based on a review of the literature and on model simulations with an empirical model for leaf reflectance and with the SAIL canopy reflectance model. The results obtained show that the information contained in the spectral shifts can be compared to the information provided by wide red and near-infrared bands. However, simulation of the atmospheric effects performed with the \"55\" model shows that the spectral shifts are independant of atmospheric conditions.","author":[{"dropping-particle":"","family":"Guyot","given":"G.","non-dropping-particle":"","parse-names":false,"suffix":""},{"dropping-particle":"","family":"Baret","given":"F.","non-dropping-particle":"","parse-names":false,"suffix":""},{"dropping-particle":"","family":"Major","given":"D.J.","non-dropping-particle":"","parse-names":false,"suffix":""}],"container-title":"International Archives of Photogrammetry and Remote Sensing","id":"ITEM-1","issue":"1","issued":{"date-parts":[["1988"]]},"page":"750-760","title":"High spectral resolution: Determination of spectral shifts between the red and infrared","type":"article-journal","volume":"11"},"uris":["http://www.mendeley.com/documents/?uuid=e0c6e522-4572-4f97-b2a4-b953bceaaf05"]},{"id":"ITEM-2","itemData":{"DOI":"10.1080/01431169508954387","ISSN":"0143-1161","author":[{"dropping-particle":"","family":"Danson","given":"F. M.","non-dropping-particle":"","parse-names":false,"suffix":""},{"dropping-particle":"","family":"Plummer","given":"S. E.","non-dropping-particle":"","parse-names":false,"suffix":""}],"container-title":"International Journal of Remote Sensing","id":"ITEM-2","issue":"1","issued":{"date-parts":[["1995","1","16"]]},"page":"183-188","title":"Red-edge response to forest leaf area index","type":"article-journal","volume":"16"},"uris":["http://www.mendeley.com/documents/?uuid=f0bc15ec-4274-4b78-912c-aad404c0d401"]}],"mendeley":{"formattedCitation":"[13], [14]","plainTextFormattedCitation":"[13], [14]","previouslyFormattedCitation":"[44], [45]"},"properties":{"noteIndex":0},"schema":"https://github.com/citation-style-language/schema/raw/master/csl-citation.json"}</w:instrText>
      </w:r>
      <w:r w:rsidR="00E97766">
        <w:fldChar w:fldCharType="separate"/>
      </w:r>
      <w:r w:rsidR="00EF4B3C" w:rsidRPr="00EF4B3C">
        <w:rPr>
          <w:noProof/>
        </w:rPr>
        <w:t>[13], [14]</w:t>
      </w:r>
      <w:r w:rsidR="00E97766">
        <w:fldChar w:fldCharType="end"/>
      </w:r>
      <w:r>
        <w:t xml:space="preserve">, and </w:t>
      </w:r>
      <w:proofErr w:type="spellStart"/>
      <w:r>
        <w:t>Lagrangian</w:t>
      </w:r>
      <w:proofErr w:type="spellEnd"/>
      <w:r>
        <w:t xml:space="preserve"> interpolation</w:t>
      </w:r>
      <w:r w:rsidR="005226EB">
        <w:t xml:space="preserve"> </w:t>
      </w:r>
      <w:r w:rsidR="00E97766">
        <w:fldChar w:fldCharType="begin" w:fldLock="1"/>
      </w:r>
      <w:r w:rsidR="00EF4B3C">
        <w:instrText>ADDIN CSL_CITATION {"citationItems":[{"id":"ITEM-1","itemData":{"DOI":"10.1080/014311698214910","ISBN":"0143-1161","ISSN":"0143-1161","PMID":"104","abstract":"The point of maximum slope on the reflectance spectrum of vegetation between red and near-infrared wavelengths, termed the red edge position (REP), is correlated strongly with foliar chlorophyll content and provides a very sensitive indicator of, among other things, vegetation stress. The high spectral resolution of airborne imaging spectrometers now offers the potential for determining the REP of vegetation canopies at regional scales. However, the accurate estimation of the REP is dependent upon sensor band positions and widths. Various techniques have been developed to minimize the error in estimating the REP, such as linear interpolation or inverted Gaussian curve fitting in the region of the red edge which requires an a priori knowledge of the spectrum under investigation. This technical note presents a simple technique known as Lagrangian interpolation which is applied to the first-derivative transformation of the reflectance spectrum. The technique fits a second-order polynomial curve to three bands, which need not be equally spaced, centred around the maximum slope position. A second derivative is then performed on the Lagrangian equation to determine the maximum slope position.","author":[{"dropping-particle":"","family":"Dawson","given":"T. P.","non-dropping-particle":"","parse-names":false,"suffix":""},{"dropping-particle":"","family":"Curran","given":"P. J.","non-dropping-particle":"","parse-names":false,"suffix":""}],"container-title":"International Journal of Remote Sensing","id":"ITEM-1","issue":"11","issued":{"date-parts":[["1998","1"]]},"page":"2133-2139","title":"Technical note A new technique for interpolating the reflectance red edge position","type":"article-journal","volume":"19"},"uris":["http://www.mendeley.com/documents/?uuid=4c97a23f-35b1-4db1-ad85-1e0a341aee4b"]}],"mendeley":{"formattedCitation":"[15]","plainTextFormattedCitation":"[15]","previouslyFormattedCitation":"[46]"},"properties":{"noteIndex":0},"schema":"https://github.com/citation-style-language/schema/raw/master/csl-citation.json"}</w:instrText>
      </w:r>
      <w:r w:rsidR="00E97766">
        <w:fldChar w:fldCharType="separate"/>
      </w:r>
      <w:r w:rsidR="00EF4B3C" w:rsidRPr="00EF4B3C">
        <w:rPr>
          <w:noProof/>
        </w:rPr>
        <w:t>[15]</w:t>
      </w:r>
      <w:r w:rsidR="00E97766">
        <w:fldChar w:fldCharType="end"/>
      </w:r>
      <w:r>
        <w:fldChar w:fldCharType="begin" w:fldLock="1"/>
      </w:r>
      <w:r w:rsidR="00EF4B3C">
        <w:instrText>ADDIN CSL_CITATION {"citationItems":[{"id":"ITEM-1","itemData":{"DOI":"10.1016/j.agrformet.2011.10.002","ISBN":"0168-1923","ISSN":"01681923","author":[{"dropping-particle":"","family":"Majasalmi","given":"Titta","non-dropping-particle":"","parse-names":false,"suffix":""},{"dropping-particle":"","family":"Rautiainen","given":"Miina","non-dropping-particle":"","parse-names":false,"suffix":""},{"dropping-particle":"","family":"Stenberg","given":"Pauline","non-dropping-particle":"","parse-names":false,"suffix":""},{"dropping-particle":"","family":"Rita","given":"Hannu","non-dropping-particle":"","parse-names":false,"suffix":""}],"container-title":"Agricultural and Forest Meteorology","id":"ITEM-1","issued":{"date-parts":[["2012"]]},"page":"38-43","publisher":"Elsevier B.V.","title":"Optimizing the sampling scheme for LAI-2000 measurements in a boreal forest","type":"article-journal","volume":"154-155"},"uris":["http://www.mendeley.com/documents/?uuid=11e49736-ddab-4cc7-8ba3-b7e5b2512dd1"]}],"mendeley":{"formattedCitation":"[16]","plainTextFormattedCitation":"[16]","previouslyFormattedCitation":"[14]"},"properties":{"noteIndex":0},"schema":"https://github.com/citation-style-language/schema/raw/master/csl-citation.json"}</w:instrText>
      </w:r>
      <w:r>
        <w:fldChar w:fldCharType="separate"/>
      </w:r>
      <w:r w:rsidR="00EF4B3C" w:rsidRPr="00EF4B3C">
        <w:t>[16]</w:t>
      </w:r>
      <w:r>
        <w:fldChar w:fldCharType="end"/>
      </w:r>
      <w:r>
        <w:t>.</w:t>
      </w:r>
      <w:r w:rsidR="00500B18">
        <w:t xml:space="preserve"> </w:t>
      </w:r>
      <w:r>
        <w:t xml:space="preserve">Drawbacks associated with these techniques include saturation at high CCC and difficulties in automating some procedures (e.g. the need for manual confirmation of the maximum of the first derivative when two peaks occur in the case of </w:t>
      </w:r>
      <w:proofErr w:type="spellStart"/>
      <w:r w:rsidRPr="00865468">
        <w:t>Lagrangian</w:t>
      </w:r>
      <w:proofErr w:type="spellEnd"/>
      <w:r>
        <w:t xml:space="preserve"> interpolation)</w:t>
      </w:r>
      <w:r w:rsidR="00E97766">
        <w:t xml:space="preserve"> </w:t>
      </w:r>
      <w:r w:rsidR="00E97766">
        <w:fldChar w:fldCharType="begin" w:fldLock="1"/>
      </w:r>
      <w:r w:rsidR="00EF4B3C">
        <w:instrText>ADDIN CSL_CITATION {"citationItems":[{"id":"ITEM-1","itemData":{"DOI":"10.1080/0143116042000274015","ISSN":"0143-1161","abstract":"The long wavelength edge of the major chlorophyll absorption feature in the spectrum of a vegetation canopy moves to longer wavelengths with an increase in chlorophyll content. The position of this red-edge has been used successfully to estimate, by remote sensing, the chlorophyll content of vegetation canopies. Techniques used to estimate this red-edge position (REP) have been designed for use on small volumes of continuous spectral data rather than the large volumes of discontinuous spectral data recorded by contemporary satellite spectrometers. Also, each technique produces a different value of REP from the same spectral data and REP values are relatively insensitive to chlorophyll content at high values of chlorophyll content. This paper reports on the design and indirect evaluation of a surrogate REP index for use with spectral data recorded at the standard band settings of the Medium Resolution Imaging Spectrometer (MERIS). This index, termed the MERIS terrestrial chlorophyll index (MTCI), was evaluated using model spectra, field spectra and MERIS data. It was easy to calculate (and so can be automated), was correlated strongly with REP but unlike REP was sensitive to high values of chlorophyll content. As a result this index became an official MERIS level-2 product of the European Space Agency in March 2004. Further direct evaluation of the MTCI is proposed, using both greenhouse and field data.","author":[{"dropping-particle":"","family":"Dash","given":"J","non-dropping-particle":"","parse-names":false,"suffix":""},{"dropping-particle":"","family":"Curran","given":"P J","non-dropping-particle":"","parse-names":false,"suffix":""}],"container-title":"International Journal of Remote Sensing","id":"ITEM-1","issue":"23","issued":{"date-parts":[["2004","12"]]},"page":"5403-5413","title":"The MERIS terrestrial chlorophyll index","type":"article-journal","volume":"25"},"uris":["http://www.mendeley.com/documents/?uuid=5e9323b3-d28e-3f8b-8575-2c9fee5f931b"]}],"mendeley":{"formattedCitation":"[17]","plainTextFormattedCitation":"[17]","previouslyFormattedCitation":"[47]"},"properties":{"noteIndex":0},"schema":"https://github.com/citation-style-language/schema/raw/master/csl-citation.json"}</w:instrText>
      </w:r>
      <w:r w:rsidR="00E97766">
        <w:fldChar w:fldCharType="separate"/>
      </w:r>
      <w:r w:rsidR="00EF4B3C" w:rsidRPr="00EF4B3C">
        <w:rPr>
          <w:noProof/>
        </w:rPr>
        <w:t>[17]</w:t>
      </w:r>
      <w:r w:rsidR="00E97766">
        <w:fldChar w:fldCharType="end"/>
      </w:r>
      <w:r>
        <w:t>.</w:t>
      </w:r>
      <w:r w:rsidR="00500B18">
        <w:t xml:space="preserve"> </w:t>
      </w:r>
      <w:r>
        <w:t>Taking advantage of the MERIS red-edge bands, the MTCI was designed to provide a computationally efficient surrogate of CCC that remains sensitive to high CCC values</w:t>
      </w:r>
      <w:r w:rsidR="00E97766">
        <w:t xml:space="preserve"> </w:t>
      </w:r>
      <w:r w:rsidR="00E97766">
        <w:fldChar w:fldCharType="begin" w:fldLock="1"/>
      </w:r>
      <w:r w:rsidR="00EF4B3C">
        <w:instrText>ADDIN CSL_CITATION {"citationItems":[{"id":"ITEM-1","itemData":{"DOI":"10.1080/0143116042000274015","ISSN":"0143-1161","abstract":"The long wavelength edge of the major chlorophyll absorption feature in the spectrum of a vegetation canopy moves to longer wavelengths with an increase in chlorophyll content. The position of this red-edge has been used successfully to estimate, by remote sensing, the chlorophyll content of vegetation canopies. Techniques used to estimate this red-edge position (REP) have been designed for use on small volumes of continuous spectral data rather than the large volumes of discontinuous spectral data recorded by contemporary satellite spectrometers. Also, each technique produces a different value of REP from the same spectral data and REP values are relatively insensitive to chlorophyll content at high values of chlorophyll content. This paper reports on the design and indirect evaluation of a surrogate REP index for use with spectral data recorded at the standard band settings of the Medium Resolution Imaging Spectrometer (MERIS). This index, termed the MERIS terrestrial chlorophyll index (MTCI), was evaluated using model spectra, field spectra and MERIS data. It was easy to calculate (and so can be automated), was correlated strongly with REP but unlike REP was sensitive to high values of chlorophyll content. As a result this index became an official MERIS level-2 product of the European Space Agency in March 2004. Further direct evaluation of the MTCI is proposed, using both greenhouse and field data.","author":[{"dropping-particle":"","family":"Dash","given":"J","non-dropping-particle":"","parse-names":false,"suffix":""},{"dropping-particle":"","family":"Curran","given":"P J","non-dropping-particle":"","parse-names":false,"suffix":""}],"container-title":"International Journal of Remote Sensing","id":"ITEM-1","issue":"23","issued":{"date-parts":[["2004","12"]]},"page":"5403-5413","title":"The MERIS terrestrial chlorophyll index","type":"article-journal","volume":"25"},"uris":["http://www.mendeley.com/documents/?uuid=5e9323b3-d28e-3f8b-8575-2c9fee5f931b"]}],"mendeley":{"formattedCitation":"[17]","plainTextFormattedCitation":"[17]","previouslyFormattedCitation":"[47]"},"properties":{"noteIndex":0},"schema":"https://github.com/citation-style-language/schema/raw/master/csl-citation.json"}</w:instrText>
      </w:r>
      <w:r w:rsidR="00E97766">
        <w:fldChar w:fldCharType="separate"/>
      </w:r>
      <w:r w:rsidR="00EF4B3C" w:rsidRPr="00EF4B3C">
        <w:rPr>
          <w:noProof/>
        </w:rPr>
        <w:t>[17]</w:t>
      </w:r>
      <w:r w:rsidR="00E97766">
        <w:fldChar w:fldCharType="end"/>
      </w:r>
      <w:r>
        <w:t>.</w:t>
      </w:r>
      <w:r w:rsidR="00500B18">
        <w:t xml:space="preserve"> </w:t>
      </w:r>
      <w:r>
        <w:t>Based on the MTCI, the OTCI is calculated from equivalent OLCI bands in and around the red-edge, and takes the form</w:t>
      </w:r>
    </w:p>
    <w:p w14:paraId="146B79E9" w14:textId="77777777" w:rsidR="002E3777" w:rsidRDefault="002E3777" w:rsidP="002E3777">
      <w:pPr>
        <w:spacing w:line="360" w:lineRule="auto"/>
        <w:jc w:val="both"/>
      </w:pPr>
      <m:oMathPara>
        <m:oMath>
          <m:r>
            <m:rPr>
              <m:sty m:val="p"/>
            </m:rPr>
            <w:rPr>
              <w:rFonts w:ascii="Cambria Math" w:hAnsi="Cambria Math"/>
            </w:rPr>
            <w:br/>
          </m:r>
        </m:oMath>
        <m:oMath>
          <m:r>
            <w:rPr>
              <w:rFonts w:ascii="Cambria Math" w:hAnsi="Cambria Math"/>
            </w:rPr>
            <m:t>OTCI=</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band 12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11</m:t>
                  </m:r>
                </m:sub>
              </m:sSub>
            </m:num>
            <m:den>
              <m:sSub>
                <m:sSubPr>
                  <m:ctrlPr>
                    <w:rPr>
                      <w:rFonts w:ascii="Cambria Math" w:hAnsi="Cambria Math"/>
                      <w:i/>
                    </w:rPr>
                  </m:ctrlPr>
                </m:sSubPr>
                <m:e>
                  <m:r>
                    <w:rPr>
                      <w:rFonts w:ascii="Cambria Math" w:hAnsi="Cambria Math"/>
                    </w:rPr>
                    <m:t>R</m:t>
                  </m:r>
                </m:e>
                <m:sub>
                  <m:r>
                    <w:rPr>
                      <w:rFonts w:ascii="Cambria Math" w:hAnsi="Cambria Math"/>
                    </w:rPr>
                    <m:t>band 11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10</m:t>
                  </m:r>
                </m:sub>
              </m:sSub>
            </m:den>
          </m:f>
          <m:r>
            <m:rPr>
              <m:sty m:val="p"/>
            </m:rPr>
            <w:rPr>
              <w:rFonts w:ascii="Cambria Math" w:eastAsiaTheme="minorEastAsia" w:hAnsi="Cambria Math"/>
            </w:rPr>
            <w:br/>
          </m:r>
        </m:oMath>
      </m:oMathPara>
    </w:p>
    <w:p w14:paraId="7A309C68" w14:textId="113D6CE4" w:rsidR="002E3777" w:rsidRDefault="002E3777" w:rsidP="002E3777">
      <w:pPr>
        <w:spacing w:line="360" w:lineRule="auto"/>
        <w:jc w:val="both"/>
        <w:rPr>
          <w:rFonts w:eastAsiaTheme="minorEastAsia"/>
        </w:rPr>
      </w:pPr>
      <w:r>
        <w:t xml:space="preserve">where </w:t>
      </w:r>
      <m:oMath>
        <m:sSub>
          <m:sSubPr>
            <m:ctrlPr>
              <w:rPr>
                <w:rFonts w:ascii="Cambria Math" w:hAnsi="Cambria Math"/>
                <w:i/>
              </w:rPr>
            </m:ctrlPr>
          </m:sSubPr>
          <m:e>
            <m:r>
              <w:rPr>
                <w:rFonts w:ascii="Cambria Math" w:hAnsi="Cambria Math"/>
              </w:rPr>
              <m:t>R</m:t>
            </m:r>
          </m:e>
          <m:sub>
            <m:r>
              <w:rPr>
                <w:rFonts w:ascii="Cambria Math" w:hAnsi="Cambria Math"/>
              </w:rPr>
              <m:t>band 12</m:t>
            </m:r>
          </m:sub>
        </m:sSub>
      </m:oMath>
      <w:r>
        <w:rPr>
          <w:rFonts w:eastAsiaTheme="minorEastAsia"/>
        </w:rPr>
        <w:t xml:space="preserve">, </w:t>
      </w:r>
      <m:oMath>
        <m:sSub>
          <m:sSubPr>
            <m:ctrlPr>
              <w:rPr>
                <w:rFonts w:ascii="Cambria Math" w:hAnsi="Cambria Math"/>
                <w:i/>
              </w:rPr>
            </m:ctrlPr>
          </m:sSubPr>
          <m:e>
            <m:r>
              <w:rPr>
                <w:rFonts w:ascii="Cambria Math" w:hAnsi="Cambria Math"/>
              </w:rPr>
              <m:t>R</m:t>
            </m:r>
          </m:e>
          <m:sub>
            <m:r>
              <w:rPr>
                <w:rFonts w:ascii="Cambria Math" w:hAnsi="Cambria Math"/>
              </w:rPr>
              <m:t>band 11</m:t>
            </m:r>
          </m:sub>
        </m:sSub>
      </m:oMath>
      <w:r>
        <w:rPr>
          <w:rFonts w:eastAsiaTheme="minorEastAsia"/>
        </w:rPr>
        <w:t xml:space="preserve">, and </w:t>
      </w:r>
      <m:oMath>
        <m:sSub>
          <m:sSubPr>
            <m:ctrlPr>
              <w:rPr>
                <w:rFonts w:ascii="Cambria Math" w:hAnsi="Cambria Math"/>
                <w:i/>
              </w:rPr>
            </m:ctrlPr>
          </m:sSubPr>
          <m:e>
            <m:r>
              <w:rPr>
                <w:rFonts w:ascii="Cambria Math" w:hAnsi="Cambria Math"/>
              </w:rPr>
              <m:t>R</m:t>
            </m:r>
          </m:e>
          <m:sub>
            <m:r>
              <w:rPr>
                <w:rFonts w:ascii="Cambria Math" w:hAnsi="Cambria Math"/>
              </w:rPr>
              <m:t>band 10</m:t>
            </m:r>
          </m:sub>
        </m:sSub>
      </m:oMath>
      <w:r>
        <w:rPr>
          <w:rFonts w:eastAsiaTheme="minorEastAsia"/>
        </w:rPr>
        <w:t xml:space="preserve"> are reflectance values in the OLCI bands centred at 753.75 nm, 708.75 nm, and 681.25 nm, respectively, after correction for gaseous absorption and Rayleigh scattering</w:t>
      </w:r>
      <w:r w:rsidR="00E97766">
        <w:rPr>
          <w:rFonts w:eastAsiaTheme="minorEastAsia"/>
        </w:rPr>
        <w:t xml:space="preserve"> </w:t>
      </w:r>
      <w:r w:rsidR="00E97766">
        <w:rPr>
          <w:rFonts w:eastAsiaTheme="minorEastAsia"/>
        </w:rPr>
        <w:fldChar w:fldCharType="begin" w:fldLock="1"/>
      </w:r>
      <w:r w:rsidR="00EF4B3C">
        <w:rPr>
          <w:rFonts w:eastAsiaTheme="minorEastAsia"/>
        </w:rPr>
        <w:instrText>ADDIN CSL_CITATION {"citationItems":[{"id":"ITEM-1","itemData":{"author":[{"dropping-particle":"","family":"Dash","given":"J","non-dropping-particle":"","parse-names":false,"suffix":""}],"id":"ITEM-1","issued":{"date-parts":[["2012"]]},"publisher":"University of Southampton","publisher-place":"Southampton, United Kingdom","title":"Algorithm Theoretical Basis Document: OLCI Terrestrial Chlorophyll Index (OTCI)","type":"book"},"uris":["http://www.mendeley.com/documents/?uuid=d93f98d7-2d33-3db0-9144-e8541dbb5f20"]}],"mendeley":{"formattedCitation":"[18]","plainTextFormattedCitation":"[18]","previouslyFormattedCitation":"[48]"},"properties":{"noteIndex":0},"schema":"https://github.com/citation-style-language/schema/raw/master/csl-citation.json"}</w:instrText>
      </w:r>
      <w:r w:rsidR="00E97766">
        <w:rPr>
          <w:rFonts w:eastAsiaTheme="minorEastAsia"/>
        </w:rPr>
        <w:fldChar w:fldCharType="separate"/>
      </w:r>
      <w:r w:rsidR="00EF4B3C" w:rsidRPr="00EF4B3C">
        <w:rPr>
          <w:rFonts w:eastAsiaTheme="minorEastAsia"/>
          <w:noProof/>
        </w:rPr>
        <w:t>[18]</w:t>
      </w:r>
      <w:r w:rsidR="00E97766">
        <w:rPr>
          <w:rFonts w:eastAsiaTheme="minorEastAsia"/>
        </w:rPr>
        <w:fldChar w:fldCharType="end"/>
      </w:r>
      <w:r>
        <w:rPr>
          <w:rFonts w:eastAsiaTheme="minorEastAsia"/>
        </w:rPr>
        <w:t>.</w:t>
      </w:r>
      <w:r w:rsidR="00500B18">
        <w:rPr>
          <w:rFonts w:eastAsiaTheme="minorEastAsia"/>
        </w:rPr>
        <w:t xml:space="preserve"> </w:t>
      </w:r>
      <w:r>
        <w:rPr>
          <w:rFonts w:eastAsiaTheme="minorEastAsia"/>
        </w:rPr>
        <w:t>OTCI values are only provided for identified by the scene classification as land, and for which the following conditions are satisfied:</w:t>
      </w:r>
    </w:p>
    <w:p w14:paraId="35ED4DE6" w14:textId="77777777" w:rsidR="002E3777" w:rsidRPr="00CD5C25" w:rsidRDefault="000306CA" w:rsidP="002E3777">
      <w:pPr>
        <w:pStyle w:val="ListParagraph"/>
        <w:numPr>
          <w:ilvl w:val="0"/>
          <w:numId w:val="11"/>
        </w:numPr>
        <w:spacing w:line="360" w:lineRule="auto"/>
        <w:jc w:val="both"/>
      </w:pPr>
      <m:oMath>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&lt;0.2</m:t>
        </m:r>
      </m:oMath>
    </w:p>
    <w:p w14:paraId="6BD23DCE" w14:textId="77777777" w:rsidR="002E3777" w:rsidRPr="00CD5C25" w:rsidRDefault="000306CA" w:rsidP="002E3777">
      <w:pPr>
        <w:pStyle w:val="ListParagraph"/>
        <w:numPr>
          <w:ilvl w:val="0"/>
          <w:numId w:val="11"/>
        </w:numPr>
        <w:spacing w:line="360" w:lineRule="auto"/>
        <w:jc w:val="both"/>
      </w:pPr>
      <m:oMath>
        <m:sSub>
          <m:sSubPr>
            <m:ctrlPr>
              <w:rPr>
                <w:rFonts w:ascii="Cambria Math" w:hAnsi="Cambria Math"/>
                <w:i/>
              </w:rPr>
            </m:ctrlPr>
          </m:sSubPr>
          <m:e>
            <m:r>
              <w:rPr>
                <w:rFonts w:ascii="Cambria Math" w:hAnsi="Cambria Math"/>
              </w:rPr>
              <m:t>R</m:t>
            </m:r>
          </m:e>
          <m:sub>
            <m:r>
              <w:rPr>
                <w:rFonts w:ascii="Cambria Math" w:hAnsi="Cambria Math"/>
              </w:rPr>
              <m:t>band 12</m:t>
            </m:r>
          </m:sub>
        </m:sSub>
        <m:r>
          <w:rPr>
            <w:rFonts w:ascii="Cambria Math" w:hAnsi="Cambria Math"/>
          </w:rPr>
          <m:t>&gt;0.1</m:t>
        </m:r>
      </m:oMath>
    </w:p>
    <w:p w14:paraId="7B99EC16" w14:textId="77777777" w:rsidR="002E3777" w:rsidRPr="00CD5C25" w:rsidRDefault="002E3777" w:rsidP="002E3777">
      <w:pPr>
        <w:pStyle w:val="ListParagraph"/>
        <w:numPr>
          <w:ilvl w:val="0"/>
          <w:numId w:val="11"/>
        </w:numPr>
        <w:spacing w:line="360" w:lineRule="auto"/>
        <w:jc w:val="both"/>
      </w:pPr>
      <w:r w:rsidRPr="00CD5C25">
        <w:rPr>
          <w:rFonts w:eastAsiaTheme="minorEastAsia"/>
        </w:rPr>
        <w:t>(</w:t>
      </w:r>
      <m:oMath>
        <m:sSub>
          <m:sSubPr>
            <m:ctrlPr>
              <w:rPr>
                <w:rFonts w:ascii="Cambria Math" w:hAnsi="Cambria Math"/>
                <w:i/>
              </w:rPr>
            </m:ctrlPr>
          </m:sSubPr>
          <m:e>
            <m:r>
              <w:rPr>
                <w:rFonts w:ascii="Cambria Math" w:hAnsi="Cambria Math"/>
              </w:rPr>
              <m:t>R</m:t>
            </m:r>
          </m:e>
          <m:sub>
            <m:r>
              <w:rPr>
                <w:rFonts w:ascii="Cambria Math" w:hAnsi="Cambria Math"/>
              </w:rPr>
              <m:t>band 12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)&lt;0.1</m:t>
        </m:r>
      </m:oMath>
    </w:p>
    <w:p w14:paraId="5B0309B1" w14:textId="1D64BF18" w:rsidR="002E3777" w:rsidRDefault="002E3777" w:rsidP="002E3777">
      <w:pPr>
        <w:spacing w:line="360" w:lineRule="auto"/>
        <w:jc w:val="both"/>
      </w:pPr>
      <w:r>
        <w:t>Values are also restricted to the range of 0 to 6.5</w:t>
      </w:r>
      <w:r w:rsidR="00E97766">
        <w:t xml:space="preserve"> </w:t>
      </w:r>
      <w:r w:rsidR="00E97766">
        <w:rPr>
          <w:rFonts w:eastAsiaTheme="minorEastAsia"/>
        </w:rPr>
        <w:fldChar w:fldCharType="begin" w:fldLock="1"/>
      </w:r>
      <w:r w:rsidR="00EF4B3C">
        <w:rPr>
          <w:rFonts w:eastAsiaTheme="minorEastAsia"/>
        </w:rPr>
        <w:instrText>ADDIN CSL_CITATION {"citationItems":[{"id":"ITEM-1","itemData":{"author":[{"dropping-particle":"","family":"Dash","given":"J","non-dropping-particle":"","parse-names":false,"suffix":""}],"id":"ITEM-1","issued":{"date-parts":[["2012"]]},"publisher":"University of Southampton","publisher-place":"Southampton, United Kingdom","title":"Algorithm Theoretical Basis Document: OLCI Terrestrial Chlorophyll Index (OTCI)","type":"book"},"uris":["http://www.mendeley.com/documents/?uuid=d93f98d7-2d33-3db0-9144-e8541dbb5f20"]}],"mendeley":{"formattedCitation":"[18]","plainTextFormattedCitation":"[18]","previouslyFormattedCitation":"[48]"},"properties":{"noteIndex":0},"schema":"https://github.com/citation-style-language/schema/raw/master/csl-citation.json"}</w:instrText>
      </w:r>
      <w:r w:rsidR="00E97766">
        <w:rPr>
          <w:rFonts w:eastAsiaTheme="minorEastAsia"/>
        </w:rPr>
        <w:fldChar w:fldCharType="separate"/>
      </w:r>
      <w:r w:rsidR="00EF4B3C" w:rsidRPr="00EF4B3C">
        <w:rPr>
          <w:rFonts w:eastAsiaTheme="minorEastAsia"/>
          <w:noProof/>
        </w:rPr>
        <w:t>[18]</w:t>
      </w:r>
      <w:r w:rsidR="00E97766">
        <w:rPr>
          <w:rFonts w:eastAsiaTheme="minorEastAsia"/>
        </w:rPr>
        <w:fldChar w:fldCharType="end"/>
      </w:r>
      <w:r>
        <w:t>.</w:t>
      </w:r>
    </w:p>
    <w:p w14:paraId="2B8D7A9F" w14:textId="7986727B" w:rsidR="00424968" w:rsidRPr="00C661EB" w:rsidRDefault="00424968" w:rsidP="00424968">
      <w:pPr>
        <w:spacing w:line="360" w:lineRule="auto"/>
        <w:jc w:val="both"/>
      </w:pPr>
      <w:r>
        <w:t xml:space="preserve">Like the OGVI, the OTCI is provided with per-pixel uncertainties, which are derived by propagating uncertainties in the input quantities through its calculation, following the approach of </w:t>
      </w:r>
      <w:r w:rsidR="00E97766">
        <w:fldChar w:fldCharType="begin" w:fldLock="1"/>
      </w:r>
      <w:r w:rsidR="00EF4B3C">
        <w:instrText>ADDIN CSL_CITATION {"citationItems":[{"id":"ITEM-1","itemData":{"DOI":"10.1109/36.843034","ISSN":"01962892","author":[{"dropping-particle":"","family":"Miura","given":"Tomoaki","non-dropping-particle":"","parse-names":false,"suffix":""},{"dropping-particle":"","family":"Huete","given":"A.R.","non-dropping-particle":"","parse-names":false,"suffix":""},{"dropping-particle":"","family":"Yoshioka","given":"Hiroki","non-dropping-particle":"","parse-names":false,"suffix":""}],"container-title":"IEEE Transactions on Geoscience and Remote Sensing","id":"ITEM-1","issue":"3","issued":{"date-parts":[["2000","5"]]},"page":"1399-1409","title":"Evaluation of sensor calibration uncertainties on vegetation indices for MODIS","type":"article-journal","volume":"38"},"uris":["http://www.mendeley.com/documents/?uuid=eea251d9-4ff5-4aaf-81b7-754138f63711"]}],"mendeley":{"formattedCitation":"[19]","plainTextFormattedCitation":"[19]","previouslyFormattedCitation":"[49]"},"properties":{"noteIndex":0},"schema":"https://github.com/citation-style-language/schema/raw/master/csl-citation.json"}</w:instrText>
      </w:r>
      <w:r w:rsidR="00E97766">
        <w:fldChar w:fldCharType="separate"/>
      </w:r>
      <w:r w:rsidR="00EF4B3C" w:rsidRPr="00EF4B3C">
        <w:rPr>
          <w:noProof/>
        </w:rPr>
        <w:t>[19]</w:t>
      </w:r>
      <w:r w:rsidR="00E97766">
        <w:fldChar w:fldCharType="end"/>
      </w:r>
      <w:r>
        <w:t xml:space="preserve"> and as described in</w:t>
      </w:r>
      <w:r w:rsidR="00E97766">
        <w:t xml:space="preserve"> </w:t>
      </w:r>
      <w:r w:rsidR="00E97766">
        <w:fldChar w:fldCharType="begin" w:fldLock="1"/>
      </w:r>
      <w:r w:rsidR="00EF4B3C">
        <w:instrText>ADDIN CSL_CITATION {"citationItems":[{"id":"ITEM-1","itemData":{"abstract":"When reporting the result of a measurement of a physical quantity, some quantitative indication of the result has to be given to assess its reliability and to allow comparisons to be made. The Guide to the expression of uncertainty in measurement establishes general rules for evaluating and expressing uncertainty in measurement that can be followed at many levels of accuracy and in many fields.","author":[{"dropping-particle":"","family":"Working Group 1 of the Joint Committee for Guides in Metrology","given":"","non-dropping-particle":"","parse-names":false,"suffix":""}],"id":"ITEM-1","issued":{"date-parts":[["2008"]]},"publisher":"Bureau International des Poids et Mesures","publisher-place":"Paris, France","title":"Evaluation of measurement data — Guide to the expression of uncertainty in measurement","type":"book"},"uris":["http://www.mendeley.com/documents/?uuid=3620a3fa-6df2-4a92-be38-f90523b999e4"]}],"mendeley":{"formattedCitation":"[20]","plainTextFormattedCitation":"[20]","previouslyFormattedCitation":"[50]"},"properties":{"noteIndex":0},"schema":"https://github.com/citation-style-language/schema/raw/master/csl-citation.json"}</w:instrText>
      </w:r>
      <w:r w:rsidR="00E97766">
        <w:fldChar w:fldCharType="separate"/>
      </w:r>
      <w:r w:rsidR="00EF4B3C" w:rsidRPr="00EF4B3C">
        <w:rPr>
          <w:noProof/>
        </w:rPr>
        <w:t>[20]</w:t>
      </w:r>
      <w:r w:rsidR="00E97766">
        <w:fldChar w:fldCharType="end"/>
      </w:r>
      <w:r>
        <w:t>.</w:t>
      </w:r>
      <w:r w:rsidR="00500B18">
        <w:t xml:space="preserve"> </w:t>
      </w:r>
      <w:r>
        <w:t>Thus, the standard uncertainty in the OTCI is determined as</w:t>
      </w:r>
    </w:p>
    <w:p w14:paraId="6DA5F2A3" w14:textId="77777777" w:rsidR="00424968" w:rsidRDefault="00424968" w:rsidP="00424968">
      <w:pPr>
        <w:spacing w:line="360" w:lineRule="auto"/>
      </w:pPr>
    </w:p>
    <w:p w14:paraId="125A3EFE" w14:textId="77777777" w:rsidR="00424968" w:rsidRPr="00F4678E" w:rsidRDefault="00424968" w:rsidP="00424968">
      <w:pPr>
        <w:spacing w:line="360" w:lineRule="auto"/>
        <w:rPr>
          <w:rFonts w:eastAsiaTheme="minorEastAsia"/>
        </w:rPr>
      </w:pPr>
      <m:oMathPara>
        <m:oMath>
          <m:r>
            <w:rPr>
              <w:rFonts w:ascii="Cambria Math" w:hAnsi="Cambria Math"/>
            </w:rPr>
            <w:lastRenderedPageBreak/>
            <m:t>u</m:t>
          </m:r>
          <m:d>
            <m:dPr>
              <m:ctrlPr>
                <w:rPr>
                  <w:rFonts w:ascii="Cambria Math" w:hAnsi="Cambria Math"/>
                  <w:i/>
                </w:rPr>
              </m:ctrlPr>
            </m:dPr>
            <m:e>
              <m:r>
                <w:rPr>
                  <w:rFonts w:ascii="Cambria Math" w:hAnsi="Cambria Math"/>
                </w:rPr>
                <m:t>OTCI</m:t>
              </m:r>
            </m:e>
          </m:d>
          <m:r>
            <w:rPr>
              <w:rFonts w:ascii="Cambria Math" w:hAnsi="Cambria Math"/>
            </w:rPr>
            <m:t>=</m:t>
          </m:r>
          <m:rad>
            <m:radPr>
              <m:degHide m:val="1"/>
              <m:ctrlPr>
                <w:rPr>
                  <w:rFonts w:ascii="Cambria Math" w:hAnsi="Cambria Math"/>
                  <w:i/>
                </w:rPr>
              </m:ctrlPr>
            </m:radPr>
            <m:deg/>
            <m:e>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band 11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10</m:t>
                                  </m:r>
                                </m:sub>
                              </m:sSub>
                            </m:den>
                          </m:f>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band 12</m:t>
                              </m:r>
                            </m:sub>
                          </m:sSub>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12</m:t>
                                  </m:r>
                                </m:sub>
                              </m:sSub>
                            </m:num>
                            <m:den>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m:t>
                                  </m:r>
                                </m:e>
                                <m:sup>
                                  <m:r>
                                    <w:rPr>
                                      <w:rFonts w:ascii="Cambria Math" w:hAnsi="Cambria Math"/>
                                    </w:rPr>
                                    <m:t>2</m:t>
                                  </m:r>
                                </m:sup>
                              </m:sSup>
                            </m:den>
                          </m:f>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band 11</m:t>
                              </m:r>
                            </m:sub>
                          </m:sSub>
                        </m:e>
                      </m:d>
                    </m:e>
                    <m:sup>
                      <m:r>
                        <w:rPr>
                          <w:rFonts w:ascii="Cambria Math" w:hAnsi="Cambria Math"/>
                        </w:rPr>
                        <m:t>2</m:t>
                      </m:r>
                    </m:sup>
                  </m:sSup>
                </m:e>
                <m:e>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band 12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11</m:t>
                                  </m:r>
                                </m:sub>
                              </m:sSub>
                            </m:num>
                            <m:den>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m:t>
                                  </m:r>
                                </m:e>
                                <m:sup>
                                  <m:r>
                                    <w:rPr>
                                      <w:rFonts w:ascii="Cambria Math" w:hAnsi="Cambria Math"/>
                                    </w:rPr>
                                    <m:t>2</m:t>
                                  </m:r>
                                </m:sup>
                              </m:sSup>
                            </m:den>
                          </m:f>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u(</m:t>
                      </m:r>
                      <m:sSub>
                        <m:sSubPr>
                          <m:ctrlPr>
                            <w:rPr>
                              <w:rFonts w:ascii="Cambria Math" w:hAnsi="Cambria Math"/>
                              <w:i/>
                            </w:rPr>
                          </m:ctrlPr>
                        </m:sSubPr>
                        <m:e>
                          <m:r>
                            <w:rPr>
                              <w:rFonts w:ascii="Cambria Math" w:hAnsi="Cambria Math"/>
                            </w:rPr>
                            <m:t>R</m:t>
                          </m:r>
                        </m:e>
                        <m:sub>
                          <m:r>
                            <w:rPr>
                              <w:rFonts w:ascii="Cambria Math" w:hAnsi="Cambria Math"/>
                            </w:rPr>
                            <m:t>band 10</m:t>
                          </m:r>
                        </m:sub>
                      </m:sSub>
                      <m:r>
                        <w:rPr>
                          <w:rFonts w:ascii="Cambria Math" w:hAnsi="Cambria Math"/>
                        </w:rPr>
                        <m:t>)</m:t>
                      </m:r>
                    </m:e>
                    <m:sup>
                      <m:r>
                        <w:rPr>
                          <w:rFonts w:ascii="Cambria Math" w:hAnsi="Cambria Math"/>
                        </w:rPr>
                        <m:t>2</m:t>
                      </m:r>
                    </m:sup>
                  </m:sSup>
                </m:e>
              </m:eqArr>
            </m:e>
          </m:rad>
        </m:oMath>
      </m:oMathPara>
    </w:p>
    <w:p w14:paraId="2B2F5FC8" w14:textId="77777777" w:rsidR="00424968" w:rsidRDefault="00424968" w:rsidP="00424968">
      <w:pPr>
        <w:spacing w:line="360" w:lineRule="auto"/>
      </w:pPr>
    </w:p>
    <w:p w14:paraId="55A031D2" w14:textId="1475C52F" w:rsidR="00424968" w:rsidRDefault="00424968" w:rsidP="00424968">
      <w:pPr>
        <w:spacing w:line="360" w:lineRule="auto"/>
        <w:rPr>
          <w:rFonts w:eastAsiaTheme="minorEastAsia"/>
        </w:rPr>
      </w:pPr>
      <w:r>
        <w:t xml:space="preserve">where </w:t>
      </w: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band 12</m:t>
                </m:r>
              </m:sub>
            </m:sSub>
          </m:e>
        </m:d>
      </m:oMath>
      <w:r>
        <w:rPr>
          <w:rFonts w:eastAsiaTheme="minorEastAsia"/>
        </w:rPr>
        <w:t xml:space="preserve">, </w:t>
      </w: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band 11</m:t>
                </m:r>
              </m:sub>
            </m:sSub>
          </m:e>
        </m:d>
      </m:oMath>
      <w:r>
        <w:rPr>
          <w:rFonts w:eastAsiaTheme="minorEastAsia"/>
        </w:rPr>
        <w:t xml:space="preserve">, and </w:t>
      </w: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band 12</m:t>
                </m:r>
              </m:sub>
            </m:sSub>
          </m:e>
        </m:d>
      </m:oMath>
      <w:r>
        <w:rPr>
          <w:rFonts w:eastAsiaTheme="minorEastAsia"/>
        </w:rPr>
        <w:t xml:space="preserve"> are standard uncertainties in Rayleigh corrected reflectance values in OLCI bands 12, 11, and 10, respectively</w:t>
      </w:r>
      <w:r w:rsidR="00E97766">
        <w:rPr>
          <w:rFonts w:eastAsiaTheme="minorEastAsia"/>
        </w:rPr>
        <w:t xml:space="preserve"> </w:t>
      </w:r>
      <w:r w:rsidR="00E97766">
        <w:rPr>
          <w:rFonts w:eastAsiaTheme="minorEastAsia"/>
        </w:rPr>
        <w:fldChar w:fldCharType="begin" w:fldLock="1"/>
      </w:r>
      <w:r w:rsidR="00EF4B3C">
        <w:rPr>
          <w:rFonts w:eastAsiaTheme="minorEastAsia"/>
        </w:rPr>
        <w:instrText>ADDIN CSL_CITATION {"citationItems":[{"id":"ITEM-1","itemData":{"author":[{"dropping-particle":"","family":"Dash","given":"J","non-dropping-particle":"","parse-names":false,"suffix":""}],"id":"ITEM-1","issued":{"date-parts":[["2012"]]},"publisher":"University of Southampton","publisher-place":"Southampton, United Kingdom","title":"Algorithm Theoretical Basis Document: OLCI Terrestrial Chlorophyll Index (OTCI)","type":"book"},"uris":["http://www.mendeley.com/documents/?uuid=d93f98d7-2d33-3db0-9144-e8541dbb5f20"]}],"mendeley":{"formattedCitation":"[18]","plainTextFormattedCitation":"[18]","previouslyFormattedCitation":"[48]"},"properties":{"noteIndex":0},"schema":"https://github.com/citation-style-language/schema/raw/master/csl-citation.json"}</w:instrText>
      </w:r>
      <w:r w:rsidR="00E97766">
        <w:rPr>
          <w:rFonts w:eastAsiaTheme="minorEastAsia"/>
        </w:rPr>
        <w:fldChar w:fldCharType="separate"/>
      </w:r>
      <w:r w:rsidR="00EF4B3C" w:rsidRPr="00EF4B3C">
        <w:rPr>
          <w:rFonts w:eastAsiaTheme="minorEastAsia"/>
          <w:noProof/>
        </w:rPr>
        <w:t>[18]</w:t>
      </w:r>
      <w:r w:rsidR="00E97766">
        <w:rPr>
          <w:rFonts w:eastAsiaTheme="minorEastAsia"/>
        </w:rPr>
        <w:fldChar w:fldCharType="end"/>
      </w:r>
      <w:r>
        <w:rPr>
          <w:rFonts w:eastAsiaTheme="minorEastAsia"/>
        </w:rPr>
        <w:t>.</w:t>
      </w:r>
    </w:p>
    <w:p w14:paraId="7484A404" w14:textId="77777777" w:rsidR="0083359B" w:rsidRPr="00424968" w:rsidRDefault="0083359B" w:rsidP="0083359B">
      <w:pPr>
        <w:spacing w:after="0" w:line="360" w:lineRule="auto"/>
        <w:rPr>
          <w:rFonts w:eastAsiaTheme="minorEastAsia"/>
        </w:rPr>
      </w:pPr>
    </w:p>
    <w:p w14:paraId="681331A7" w14:textId="00203303" w:rsidR="00424968" w:rsidRDefault="00424968" w:rsidP="005226EB">
      <w:pPr>
        <w:pStyle w:val="Heading3"/>
      </w:pPr>
      <w:bookmarkStart w:id="16" w:name="_Toc43388050"/>
      <w:r>
        <w:t>Product Quality Flags</w:t>
      </w:r>
      <w:bookmarkEnd w:id="16"/>
    </w:p>
    <w:p w14:paraId="6EC476C9" w14:textId="77777777" w:rsidR="00424968" w:rsidRDefault="00424968" w:rsidP="00424968">
      <w:pPr>
        <w:spacing w:after="0"/>
      </w:pPr>
    </w:p>
    <w:p w14:paraId="63E24145" w14:textId="38DDD57A" w:rsidR="00424968" w:rsidRDefault="00424968" w:rsidP="00424968">
      <w:pPr>
        <w:spacing w:line="360" w:lineRule="auto"/>
        <w:jc w:val="both"/>
      </w:pPr>
      <w:r w:rsidRPr="007714A0">
        <w:t>Both the OGVI and OTCI are provided with a number of quality flags to provide information to the user about issues with the input data and the conditions under which the observation was made (</w:t>
      </w:r>
      <w:r w:rsidRPr="007714A0">
        <w:fldChar w:fldCharType="begin"/>
      </w:r>
      <w:r w:rsidRPr="007714A0">
        <w:instrText xml:space="preserve"> REF _Ref3729818 \h  \* MERGEFORMAT </w:instrText>
      </w:r>
      <w:r w:rsidRPr="007714A0">
        <w:fldChar w:fldCharType="separate"/>
      </w:r>
      <w:r w:rsidR="00D533BE">
        <w:t xml:space="preserve">Table </w:t>
      </w:r>
      <w:r w:rsidR="00D533BE">
        <w:rPr>
          <w:noProof/>
        </w:rPr>
        <w:t>1</w:t>
      </w:r>
      <w:r w:rsidRPr="007714A0">
        <w:fldChar w:fldCharType="end"/>
      </w:r>
      <w:r w:rsidRPr="007714A0">
        <w:t>).</w:t>
      </w:r>
      <w:r w:rsidR="00500B18">
        <w:t xml:space="preserve"> </w:t>
      </w:r>
      <w:r w:rsidRPr="007714A0">
        <w:t>These include a scene classification to identify cloud, land, snow/ice, and water pixels.</w:t>
      </w:r>
      <w:r w:rsidR="00500B18">
        <w:t xml:space="preserve"> </w:t>
      </w:r>
      <w:r w:rsidRPr="007714A0">
        <w:t xml:space="preserve">In addition to the generic flags shared by the products, science flags are also provided, which provide information specific to each of the products (Table </w:t>
      </w:r>
      <w:r w:rsidR="00CE075F">
        <w:t>1</w:t>
      </w:r>
      <w:r w:rsidRPr="007714A0">
        <w:t>).</w:t>
      </w:r>
    </w:p>
    <w:p w14:paraId="1356CC68" w14:textId="77777777" w:rsidR="005226EB" w:rsidRDefault="005226EB" w:rsidP="00424968">
      <w:pPr>
        <w:spacing w:line="360" w:lineRule="auto"/>
        <w:jc w:val="both"/>
      </w:pPr>
    </w:p>
    <w:p w14:paraId="79EEEAC0" w14:textId="1BB1835B" w:rsidR="00424968" w:rsidRDefault="00424968" w:rsidP="00424968">
      <w:pPr>
        <w:pStyle w:val="Caption"/>
        <w:keepNext/>
        <w:jc w:val="center"/>
      </w:pPr>
      <w:bookmarkStart w:id="17" w:name="_Ref3729818"/>
      <w:bookmarkStart w:id="18" w:name="_Toc35442731"/>
      <w:bookmarkStart w:id="19" w:name="_Toc43388025"/>
      <w:r>
        <w:t xml:space="preserve">Table </w:t>
      </w:r>
      <w:r>
        <w:rPr>
          <w:noProof/>
        </w:rPr>
        <w:fldChar w:fldCharType="begin"/>
      </w:r>
      <w:r>
        <w:rPr>
          <w:noProof/>
        </w:rPr>
        <w:instrText xml:space="preserve"> SEQ Table \* ARABIC </w:instrText>
      </w:r>
      <w:r>
        <w:rPr>
          <w:noProof/>
        </w:rPr>
        <w:fldChar w:fldCharType="separate"/>
      </w:r>
      <w:r w:rsidR="00D533BE">
        <w:rPr>
          <w:noProof/>
        </w:rPr>
        <w:t>1</w:t>
      </w:r>
      <w:r>
        <w:rPr>
          <w:noProof/>
        </w:rPr>
        <w:fldChar w:fldCharType="end"/>
      </w:r>
      <w:bookmarkEnd w:id="17"/>
      <w:r>
        <w:t>: OLCI L2 land quality flags</w:t>
      </w:r>
      <w:r w:rsidR="00E97766">
        <w:t xml:space="preserve"> </w:t>
      </w:r>
      <w:r w:rsidR="00E97766">
        <w:fldChar w:fldCharType="begin" w:fldLock="1"/>
      </w:r>
      <w:r w:rsidR="00EF4B3C">
        <w:instrText>ADDIN CSL_CITATION {"citationItems":[{"id":"ITEM-1","itemData":{"URL":"https://sentinel.esa.int/web/sentinel/technical-guides/sentinel-3-olci/level-2/quality-and-science-flags-lp","accessed":{"date-parts":[["2019","3","17"]]},"author":[{"dropping-particle":"","family":"ESA","given":"","non-dropping-particle":"","parse-names":false,"suffix":""}],"id":"ITEM-1","issued":{"date-parts":[["0"]]},"note":"Available from: https://sentinel.esa.int/web/sentinel/technical-guides/sentinel-3-olci/level-2/quality-and-science-flags-lp [accessed 17/03/2019].","title":"Land Products Quality and Science Flags","type":"webpage"},"uris":["http://www.mendeley.com/documents/?uuid=c2389ba0-644a-46e0-a66a-4281301a9c4a"]}],"mendeley":{"formattedCitation":"[21]","plainTextFormattedCitation":"[21]","previouslyFormattedCitation":"[51]"},"properties":{"noteIndex":0},"schema":"https://github.com/citation-style-language/schema/raw/master/csl-citation.json"}</w:instrText>
      </w:r>
      <w:r w:rsidR="00E97766">
        <w:fldChar w:fldCharType="separate"/>
      </w:r>
      <w:r w:rsidR="00EF4B3C" w:rsidRPr="00EF4B3C">
        <w:rPr>
          <w:i w:val="0"/>
          <w:noProof/>
        </w:rPr>
        <w:t>[21]</w:t>
      </w:r>
      <w:r w:rsidR="00E97766">
        <w:fldChar w:fldCharType="end"/>
      </w:r>
      <w:r>
        <w:t>.</w:t>
      </w:r>
      <w:bookmarkEnd w:id="18"/>
      <w:bookmarkEnd w:id="1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082"/>
      </w:tblGrid>
      <w:tr w:rsidR="00424968" w:rsidRPr="00500B18" w14:paraId="54B3FF11" w14:textId="77777777" w:rsidTr="00CE075F">
        <w:tc>
          <w:tcPr>
            <w:tcW w:w="1077" w:type="pct"/>
            <w:tcBorders>
              <w:top w:val="single" w:sz="4" w:space="0" w:color="auto"/>
              <w:bottom w:val="single" w:sz="4" w:space="0" w:color="auto"/>
            </w:tcBorders>
          </w:tcPr>
          <w:p w14:paraId="5DB0BD29" w14:textId="77777777" w:rsidR="00424968" w:rsidRPr="00500B18" w:rsidRDefault="00424968" w:rsidP="00CE075F">
            <w:pPr>
              <w:jc w:val="center"/>
              <w:rPr>
                <w:b/>
                <w:bCs/>
                <w:sz w:val="20"/>
                <w:szCs w:val="20"/>
              </w:rPr>
            </w:pPr>
            <w:r w:rsidRPr="00500B18">
              <w:rPr>
                <w:rFonts w:eastAsia="Times New Roman" w:cstheme="minorHAnsi"/>
                <w:b/>
                <w:bCs/>
                <w:sz w:val="20"/>
                <w:szCs w:val="20"/>
                <w:lang w:eastAsia="en-GB"/>
              </w:rPr>
              <w:t>Name</w:t>
            </w:r>
          </w:p>
        </w:tc>
        <w:tc>
          <w:tcPr>
            <w:tcW w:w="3923" w:type="pct"/>
            <w:tcBorders>
              <w:top w:val="single" w:sz="4" w:space="0" w:color="auto"/>
              <w:bottom w:val="single" w:sz="4" w:space="0" w:color="auto"/>
            </w:tcBorders>
          </w:tcPr>
          <w:p w14:paraId="6055C002" w14:textId="77777777" w:rsidR="00424968" w:rsidRPr="00500B18" w:rsidRDefault="00424968" w:rsidP="00CE075F">
            <w:pPr>
              <w:jc w:val="center"/>
              <w:rPr>
                <w:b/>
                <w:bCs/>
                <w:sz w:val="20"/>
                <w:szCs w:val="20"/>
              </w:rPr>
            </w:pPr>
            <w:r w:rsidRPr="00500B18">
              <w:rPr>
                <w:rFonts w:eastAsia="Times New Roman" w:cstheme="minorHAnsi"/>
                <w:b/>
                <w:bCs/>
                <w:sz w:val="20"/>
                <w:szCs w:val="20"/>
                <w:lang w:eastAsia="en-GB"/>
              </w:rPr>
              <w:t>Description</w:t>
            </w:r>
          </w:p>
        </w:tc>
      </w:tr>
      <w:tr w:rsidR="00424968" w:rsidRPr="00500B18" w14:paraId="15CF76BD" w14:textId="77777777" w:rsidTr="00CE075F">
        <w:tc>
          <w:tcPr>
            <w:tcW w:w="1077" w:type="pct"/>
            <w:tcBorders>
              <w:top w:val="single" w:sz="4" w:space="0" w:color="auto"/>
            </w:tcBorders>
          </w:tcPr>
          <w:p w14:paraId="184D1010" w14:textId="77777777" w:rsidR="00424968" w:rsidRPr="00500B18" w:rsidRDefault="00424968" w:rsidP="00CE075F">
            <w:pPr>
              <w:jc w:val="center"/>
              <w:rPr>
                <w:sz w:val="20"/>
                <w:szCs w:val="20"/>
              </w:rPr>
            </w:pPr>
            <w:r w:rsidRPr="00500B18">
              <w:rPr>
                <w:rFonts w:eastAsia="Times New Roman" w:cstheme="minorHAnsi"/>
                <w:sz w:val="20"/>
                <w:szCs w:val="20"/>
                <w:lang w:eastAsia="en-GB"/>
              </w:rPr>
              <w:t>INVALID</w:t>
            </w:r>
          </w:p>
        </w:tc>
        <w:tc>
          <w:tcPr>
            <w:tcW w:w="3923" w:type="pct"/>
            <w:tcBorders>
              <w:top w:val="single" w:sz="4" w:space="0" w:color="auto"/>
            </w:tcBorders>
          </w:tcPr>
          <w:p w14:paraId="5F6DE3F7" w14:textId="77777777" w:rsidR="00424968" w:rsidRPr="00500B18" w:rsidRDefault="00424968" w:rsidP="00CE075F">
            <w:pPr>
              <w:jc w:val="center"/>
              <w:rPr>
                <w:sz w:val="20"/>
                <w:szCs w:val="20"/>
              </w:rPr>
            </w:pPr>
            <w:r w:rsidRPr="00500B18">
              <w:rPr>
                <w:rFonts w:eastAsia="Times New Roman" w:cstheme="minorHAnsi"/>
                <w:sz w:val="20"/>
                <w:szCs w:val="20"/>
                <w:lang w:eastAsia="en-GB"/>
              </w:rPr>
              <w:t>Invalid flag: instrument data missing or invalid</w:t>
            </w:r>
          </w:p>
        </w:tc>
      </w:tr>
      <w:tr w:rsidR="00424968" w:rsidRPr="00500B18" w14:paraId="2990CEEA" w14:textId="77777777" w:rsidTr="00CE075F">
        <w:tc>
          <w:tcPr>
            <w:tcW w:w="1077" w:type="pct"/>
          </w:tcPr>
          <w:p w14:paraId="530AFBBD" w14:textId="77777777" w:rsidR="00424968" w:rsidRPr="00500B18" w:rsidRDefault="00424968" w:rsidP="00CE075F">
            <w:pPr>
              <w:jc w:val="center"/>
              <w:rPr>
                <w:sz w:val="20"/>
                <w:szCs w:val="20"/>
              </w:rPr>
            </w:pPr>
            <w:r w:rsidRPr="00500B18">
              <w:rPr>
                <w:rFonts w:eastAsia="Times New Roman" w:cstheme="minorHAnsi"/>
                <w:sz w:val="20"/>
                <w:szCs w:val="20"/>
                <w:lang w:eastAsia="en-GB"/>
              </w:rPr>
              <w:t>WATER</w:t>
            </w:r>
          </w:p>
        </w:tc>
        <w:tc>
          <w:tcPr>
            <w:tcW w:w="3923" w:type="pct"/>
          </w:tcPr>
          <w:p w14:paraId="67685BA6" w14:textId="77777777" w:rsidR="00424968" w:rsidRPr="00500B18" w:rsidRDefault="00424968" w:rsidP="00CE075F">
            <w:pPr>
              <w:jc w:val="center"/>
              <w:rPr>
                <w:sz w:val="20"/>
                <w:szCs w:val="20"/>
              </w:rPr>
            </w:pPr>
            <w:r w:rsidRPr="00500B18">
              <w:rPr>
                <w:rFonts w:eastAsia="Times New Roman" w:cstheme="minorHAnsi"/>
                <w:sz w:val="20"/>
                <w:szCs w:val="20"/>
                <w:lang w:eastAsia="en-GB"/>
              </w:rPr>
              <w:t>Clear sky water</w:t>
            </w:r>
          </w:p>
        </w:tc>
      </w:tr>
      <w:tr w:rsidR="00424968" w:rsidRPr="00500B18" w14:paraId="469930F0" w14:textId="77777777" w:rsidTr="00CE075F">
        <w:tc>
          <w:tcPr>
            <w:tcW w:w="1077" w:type="pct"/>
          </w:tcPr>
          <w:p w14:paraId="335EB828" w14:textId="77777777" w:rsidR="00424968" w:rsidRPr="00500B18" w:rsidRDefault="00424968" w:rsidP="00CE075F">
            <w:pPr>
              <w:jc w:val="center"/>
              <w:rPr>
                <w:sz w:val="20"/>
                <w:szCs w:val="20"/>
              </w:rPr>
            </w:pPr>
            <w:r w:rsidRPr="00500B18">
              <w:rPr>
                <w:rFonts w:eastAsia="Times New Roman" w:cstheme="minorHAnsi"/>
                <w:sz w:val="20"/>
                <w:szCs w:val="20"/>
                <w:lang w:eastAsia="en-GB"/>
              </w:rPr>
              <w:t>LAND</w:t>
            </w:r>
          </w:p>
        </w:tc>
        <w:tc>
          <w:tcPr>
            <w:tcW w:w="3923" w:type="pct"/>
          </w:tcPr>
          <w:p w14:paraId="53CBA581" w14:textId="77777777" w:rsidR="00424968" w:rsidRPr="00500B18" w:rsidRDefault="00424968" w:rsidP="00CE075F">
            <w:pPr>
              <w:jc w:val="center"/>
              <w:rPr>
                <w:sz w:val="20"/>
                <w:szCs w:val="20"/>
              </w:rPr>
            </w:pPr>
            <w:r w:rsidRPr="00500B18">
              <w:rPr>
                <w:rFonts w:eastAsia="Times New Roman" w:cstheme="minorHAnsi"/>
                <w:sz w:val="20"/>
                <w:szCs w:val="20"/>
                <w:lang w:eastAsia="en-GB"/>
              </w:rPr>
              <w:t>Clear sky land</w:t>
            </w:r>
          </w:p>
        </w:tc>
      </w:tr>
      <w:tr w:rsidR="00424968" w:rsidRPr="00500B18" w14:paraId="5FDB88D3" w14:textId="77777777" w:rsidTr="00CE075F">
        <w:tc>
          <w:tcPr>
            <w:tcW w:w="1077" w:type="pct"/>
          </w:tcPr>
          <w:p w14:paraId="7DF73050" w14:textId="77777777" w:rsidR="00424968" w:rsidRPr="00500B18" w:rsidRDefault="00424968" w:rsidP="00CE075F">
            <w:pPr>
              <w:jc w:val="center"/>
              <w:rPr>
                <w:sz w:val="20"/>
                <w:szCs w:val="20"/>
              </w:rPr>
            </w:pPr>
            <w:r w:rsidRPr="00500B18">
              <w:rPr>
                <w:rFonts w:eastAsia="Times New Roman" w:cstheme="minorHAnsi"/>
                <w:sz w:val="20"/>
                <w:szCs w:val="20"/>
                <w:lang w:eastAsia="en-GB"/>
              </w:rPr>
              <w:t>CLOUD</w:t>
            </w:r>
          </w:p>
        </w:tc>
        <w:tc>
          <w:tcPr>
            <w:tcW w:w="3923" w:type="pct"/>
          </w:tcPr>
          <w:p w14:paraId="0F05780F" w14:textId="77777777" w:rsidR="00424968" w:rsidRPr="00500B18" w:rsidRDefault="00424968" w:rsidP="00CE075F">
            <w:pPr>
              <w:jc w:val="center"/>
              <w:rPr>
                <w:sz w:val="20"/>
                <w:szCs w:val="20"/>
              </w:rPr>
            </w:pPr>
            <w:r w:rsidRPr="00500B18">
              <w:rPr>
                <w:rFonts w:eastAsia="Times New Roman" w:cstheme="minorHAnsi"/>
                <w:sz w:val="20"/>
                <w:szCs w:val="20"/>
                <w:lang w:eastAsia="en-GB"/>
              </w:rPr>
              <w:t>Cloudy pixel</w:t>
            </w:r>
          </w:p>
        </w:tc>
      </w:tr>
      <w:tr w:rsidR="00424968" w:rsidRPr="00500B18" w14:paraId="7AFE548C" w14:textId="77777777" w:rsidTr="00CE075F">
        <w:tc>
          <w:tcPr>
            <w:tcW w:w="1077" w:type="pct"/>
          </w:tcPr>
          <w:p w14:paraId="041CFB65" w14:textId="77777777" w:rsidR="00424968" w:rsidRPr="00500B18" w:rsidRDefault="00424968" w:rsidP="00CE075F">
            <w:pPr>
              <w:jc w:val="center"/>
              <w:rPr>
                <w:sz w:val="20"/>
                <w:szCs w:val="20"/>
              </w:rPr>
            </w:pPr>
            <w:r w:rsidRPr="00500B18">
              <w:rPr>
                <w:rFonts w:eastAsia="Times New Roman" w:cstheme="minorHAnsi"/>
                <w:sz w:val="20"/>
                <w:szCs w:val="20"/>
                <w:lang w:eastAsia="en-GB"/>
              </w:rPr>
              <w:t>CLOUD_AMBIGUOUS</w:t>
            </w:r>
          </w:p>
        </w:tc>
        <w:tc>
          <w:tcPr>
            <w:tcW w:w="3923" w:type="pct"/>
          </w:tcPr>
          <w:p w14:paraId="66E50504" w14:textId="77777777" w:rsidR="00424968" w:rsidRPr="00500B18" w:rsidRDefault="00424968" w:rsidP="00CE075F">
            <w:pPr>
              <w:jc w:val="center"/>
              <w:rPr>
                <w:sz w:val="20"/>
                <w:szCs w:val="20"/>
              </w:rPr>
            </w:pPr>
            <w:r w:rsidRPr="00500B18">
              <w:rPr>
                <w:rFonts w:eastAsia="Times New Roman" w:cstheme="minorHAnsi"/>
                <w:sz w:val="20"/>
                <w:szCs w:val="20"/>
                <w:lang w:eastAsia="en-GB"/>
              </w:rPr>
              <w:t>Potentially cloudy pixels</w:t>
            </w:r>
          </w:p>
        </w:tc>
      </w:tr>
      <w:tr w:rsidR="00424968" w:rsidRPr="00500B18" w14:paraId="7C0304EF" w14:textId="77777777" w:rsidTr="00CE075F">
        <w:tc>
          <w:tcPr>
            <w:tcW w:w="1077" w:type="pct"/>
          </w:tcPr>
          <w:p w14:paraId="09FE86DC" w14:textId="77777777" w:rsidR="00424968" w:rsidRPr="00500B18" w:rsidRDefault="00424968" w:rsidP="00CE075F">
            <w:pPr>
              <w:jc w:val="center"/>
              <w:rPr>
                <w:sz w:val="20"/>
                <w:szCs w:val="20"/>
              </w:rPr>
            </w:pPr>
            <w:r w:rsidRPr="00500B18">
              <w:rPr>
                <w:rFonts w:eastAsia="Times New Roman" w:cstheme="minorHAnsi"/>
                <w:sz w:val="20"/>
                <w:szCs w:val="20"/>
                <w:lang w:eastAsia="en-GB"/>
              </w:rPr>
              <w:t>CLOUD_MARGIN</w:t>
            </w:r>
          </w:p>
        </w:tc>
        <w:tc>
          <w:tcPr>
            <w:tcW w:w="3923" w:type="pct"/>
          </w:tcPr>
          <w:p w14:paraId="04884D1D" w14:textId="77777777" w:rsidR="00424968" w:rsidRPr="00500B18" w:rsidRDefault="00424968" w:rsidP="00CE075F">
            <w:pPr>
              <w:jc w:val="center"/>
              <w:rPr>
                <w:sz w:val="20"/>
                <w:szCs w:val="20"/>
              </w:rPr>
            </w:pPr>
            <w:r w:rsidRPr="00500B18">
              <w:rPr>
                <w:rFonts w:eastAsia="Times New Roman" w:cstheme="minorHAnsi"/>
                <w:sz w:val="20"/>
                <w:szCs w:val="20"/>
                <w:lang w:eastAsia="en-GB"/>
              </w:rPr>
              <w:t>A margin around CLOUD and CLOUD_AMBIGUOUS of 2 pixels in RR and 4 pixels in FR products</w:t>
            </w:r>
          </w:p>
        </w:tc>
      </w:tr>
      <w:tr w:rsidR="00424968" w:rsidRPr="00500B18" w14:paraId="60563C53" w14:textId="77777777" w:rsidTr="00CE075F">
        <w:tc>
          <w:tcPr>
            <w:tcW w:w="1077" w:type="pct"/>
          </w:tcPr>
          <w:p w14:paraId="1AE135E5" w14:textId="77777777" w:rsidR="00424968" w:rsidRPr="00500B18" w:rsidRDefault="00424968" w:rsidP="00CE075F">
            <w:pPr>
              <w:jc w:val="center"/>
              <w:rPr>
                <w:sz w:val="20"/>
                <w:szCs w:val="20"/>
              </w:rPr>
            </w:pPr>
            <w:r w:rsidRPr="00500B18">
              <w:rPr>
                <w:rFonts w:eastAsia="Times New Roman" w:cstheme="minorHAnsi"/>
                <w:sz w:val="20"/>
                <w:szCs w:val="20"/>
                <w:lang w:eastAsia="en-GB"/>
              </w:rPr>
              <w:t>SNOW_ICE</w:t>
            </w:r>
          </w:p>
        </w:tc>
        <w:tc>
          <w:tcPr>
            <w:tcW w:w="3923" w:type="pct"/>
          </w:tcPr>
          <w:p w14:paraId="4CDD496A" w14:textId="77777777" w:rsidR="00424968" w:rsidRPr="00500B18" w:rsidRDefault="00424968" w:rsidP="00CE075F">
            <w:pPr>
              <w:jc w:val="center"/>
              <w:rPr>
                <w:sz w:val="20"/>
                <w:szCs w:val="20"/>
              </w:rPr>
            </w:pPr>
            <w:r w:rsidRPr="00500B18">
              <w:rPr>
                <w:rFonts w:eastAsia="Times New Roman" w:cstheme="minorHAnsi"/>
                <w:sz w:val="20"/>
                <w:szCs w:val="20"/>
                <w:lang w:eastAsia="en-GB"/>
              </w:rPr>
              <w:t>Possible sea-ice or snow contamination</w:t>
            </w:r>
          </w:p>
        </w:tc>
      </w:tr>
      <w:tr w:rsidR="00424968" w:rsidRPr="00500B18" w14:paraId="464C0CC1" w14:textId="77777777" w:rsidTr="00CE075F">
        <w:tc>
          <w:tcPr>
            <w:tcW w:w="1077" w:type="pct"/>
          </w:tcPr>
          <w:p w14:paraId="67552DAB" w14:textId="77777777" w:rsidR="00424968" w:rsidRPr="00500B18" w:rsidRDefault="00424968" w:rsidP="00CE075F">
            <w:pPr>
              <w:jc w:val="center"/>
              <w:rPr>
                <w:sz w:val="20"/>
                <w:szCs w:val="20"/>
              </w:rPr>
            </w:pPr>
            <w:r w:rsidRPr="00500B18">
              <w:rPr>
                <w:rFonts w:eastAsia="Times New Roman" w:cstheme="minorHAnsi"/>
                <w:sz w:val="20"/>
                <w:szCs w:val="20"/>
                <w:lang w:eastAsia="en-GB"/>
              </w:rPr>
              <w:t>INLAND_WATER</w:t>
            </w:r>
          </w:p>
        </w:tc>
        <w:tc>
          <w:tcPr>
            <w:tcW w:w="3923" w:type="pct"/>
          </w:tcPr>
          <w:p w14:paraId="49C5DA14" w14:textId="77777777" w:rsidR="00424968" w:rsidRPr="00500B18" w:rsidRDefault="00424968" w:rsidP="00CE075F">
            <w:pPr>
              <w:jc w:val="center"/>
              <w:rPr>
                <w:sz w:val="20"/>
                <w:szCs w:val="20"/>
              </w:rPr>
            </w:pPr>
            <w:r w:rsidRPr="00500B18">
              <w:rPr>
                <w:rFonts w:eastAsia="Times New Roman" w:cstheme="minorHAnsi"/>
                <w:sz w:val="20"/>
                <w:szCs w:val="20"/>
                <w:lang w:eastAsia="en-GB"/>
              </w:rPr>
              <w:t xml:space="preserve">Fresh inland waters flag: based on Level-1 </w:t>
            </w:r>
            <w:proofErr w:type="spellStart"/>
            <w:r w:rsidRPr="00500B18">
              <w:rPr>
                <w:rFonts w:eastAsia="Times New Roman" w:cstheme="minorHAnsi"/>
                <w:sz w:val="20"/>
                <w:szCs w:val="20"/>
                <w:lang w:eastAsia="en-GB"/>
              </w:rPr>
              <w:t>land_water</w:t>
            </w:r>
            <w:proofErr w:type="spellEnd"/>
            <w:r w:rsidRPr="00500B18">
              <w:rPr>
                <w:rFonts w:eastAsia="Times New Roman" w:cstheme="minorHAnsi"/>
                <w:sz w:val="20"/>
                <w:szCs w:val="20"/>
                <w:lang w:eastAsia="en-GB"/>
              </w:rPr>
              <w:t xml:space="preserve"> flag</w:t>
            </w:r>
          </w:p>
        </w:tc>
      </w:tr>
      <w:tr w:rsidR="00424968" w:rsidRPr="00500B18" w14:paraId="52266FAA" w14:textId="77777777" w:rsidTr="00CE075F">
        <w:tc>
          <w:tcPr>
            <w:tcW w:w="1077" w:type="pct"/>
          </w:tcPr>
          <w:p w14:paraId="6E9219A2" w14:textId="77777777" w:rsidR="00424968" w:rsidRPr="00500B18" w:rsidRDefault="00424968" w:rsidP="00CE075F">
            <w:pPr>
              <w:jc w:val="center"/>
              <w:rPr>
                <w:sz w:val="20"/>
                <w:szCs w:val="20"/>
              </w:rPr>
            </w:pPr>
            <w:r w:rsidRPr="00500B18">
              <w:rPr>
                <w:rFonts w:eastAsia="Times New Roman" w:cstheme="minorHAnsi"/>
                <w:sz w:val="20"/>
                <w:szCs w:val="20"/>
                <w:lang w:eastAsia="en-GB"/>
              </w:rPr>
              <w:t>TIDAL</w:t>
            </w:r>
          </w:p>
        </w:tc>
        <w:tc>
          <w:tcPr>
            <w:tcW w:w="3923" w:type="pct"/>
          </w:tcPr>
          <w:p w14:paraId="75EE4DAA" w14:textId="77777777" w:rsidR="00424968" w:rsidRPr="00500B18" w:rsidRDefault="00424968" w:rsidP="00CE075F">
            <w:pPr>
              <w:jc w:val="center"/>
              <w:rPr>
                <w:sz w:val="20"/>
                <w:szCs w:val="20"/>
              </w:rPr>
            </w:pPr>
            <w:r w:rsidRPr="00500B18">
              <w:rPr>
                <w:rFonts w:eastAsia="Times New Roman" w:cstheme="minorHAnsi"/>
                <w:sz w:val="20"/>
                <w:szCs w:val="20"/>
                <w:lang w:eastAsia="en-GB"/>
              </w:rPr>
              <w:t xml:space="preserve">Pixel is in shallow water based on Level-1 </w:t>
            </w:r>
            <w:proofErr w:type="spellStart"/>
            <w:r w:rsidRPr="00500B18">
              <w:rPr>
                <w:rFonts w:eastAsia="Times New Roman" w:cstheme="minorHAnsi"/>
                <w:sz w:val="20"/>
                <w:szCs w:val="20"/>
                <w:lang w:eastAsia="en-GB"/>
              </w:rPr>
              <w:t>land_water</w:t>
            </w:r>
            <w:proofErr w:type="spellEnd"/>
            <w:r w:rsidRPr="00500B18">
              <w:rPr>
                <w:rFonts w:eastAsia="Times New Roman" w:cstheme="minorHAnsi"/>
                <w:sz w:val="20"/>
                <w:szCs w:val="20"/>
                <w:lang w:eastAsia="en-GB"/>
              </w:rPr>
              <w:t xml:space="preserve"> flag</w:t>
            </w:r>
          </w:p>
        </w:tc>
      </w:tr>
      <w:tr w:rsidR="00424968" w:rsidRPr="00500B18" w14:paraId="20A84B60" w14:textId="77777777" w:rsidTr="00CE075F">
        <w:tc>
          <w:tcPr>
            <w:tcW w:w="1077" w:type="pct"/>
          </w:tcPr>
          <w:p w14:paraId="27969ECE" w14:textId="77777777" w:rsidR="00424968" w:rsidRPr="00500B18" w:rsidRDefault="00424968" w:rsidP="00CE075F">
            <w:pPr>
              <w:jc w:val="center"/>
              <w:rPr>
                <w:sz w:val="20"/>
                <w:szCs w:val="20"/>
              </w:rPr>
            </w:pPr>
            <w:r w:rsidRPr="00500B18">
              <w:rPr>
                <w:rFonts w:eastAsia="Times New Roman" w:cstheme="minorHAnsi"/>
                <w:sz w:val="20"/>
                <w:szCs w:val="20"/>
                <w:lang w:eastAsia="en-GB"/>
              </w:rPr>
              <w:t>COSMETIC</w:t>
            </w:r>
          </w:p>
        </w:tc>
        <w:tc>
          <w:tcPr>
            <w:tcW w:w="3923" w:type="pct"/>
          </w:tcPr>
          <w:p w14:paraId="58571AB4" w14:textId="77777777" w:rsidR="00424968" w:rsidRPr="00500B18" w:rsidRDefault="00424968" w:rsidP="00CE075F">
            <w:pPr>
              <w:jc w:val="center"/>
              <w:rPr>
                <w:sz w:val="20"/>
                <w:szCs w:val="20"/>
              </w:rPr>
            </w:pPr>
            <w:r w:rsidRPr="00500B18">
              <w:rPr>
                <w:rFonts w:eastAsia="Times New Roman" w:cstheme="minorHAnsi"/>
                <w:sz w:val="20"/>
                <w:szCs w:val="20"/>
                <w:lang w:eastAsia="en-GB"/>
              </w:rPr>
              <w:t>Cosmetic flag (from Level-1B): missing data filled in by interpolation</w:t>
            </w:r>
          </w:p>
        </w:tc>
      </w:tr>
      <w:tr w:rsidR="00424968" w:rsidRPr="00500B18" w14:paraId="519F5E74" w14:textId="77777777" w:rsidTr="00CE075F">
        <w:tc>
          <w:tcPr>
            <w:tcW w:w="1077" w:type="pct"/>
          </w:tcPr>
          <w:p w14:paraId="73606F7F" w14:textId="77777777" w:rsidR="00424968" w:rsidRPr="00500B18" w:rsidRDefault="00424968" w:rsidP="00CE075F">
            <w:pPr>
              <w:jc w:val="center"/>
              <w:rPr>
                <w:sz w:val="20"/>
                <w:szCs w:val="20"/>
              </w:rPr>
            </w:pPr>
            <w:r w:rsidRPr="00500B18">
              <w:rPr>
                <w:rFonts w:eastAsia="Times New Roman" w:cstheme="minorHAnsi"/>
                <w:sz w:val="20"/>
                <w:szCs w:val="20"/>
                <w:lang w:eastAsia="en-GB"/>
              </w:rPr>
              <w:t>SUSPECT</w:t>
            </w:r>
          </w:p>
        </w:tc>
        <w:tc>
          <w:tcPr>
            <w:tcW w:w="3923" w:type="pct"/>
          </w:tcPr>
          <w:p w14:paraId="55A2623B" w14:textId="77777777" w:rsidR="00424968" w:rsidRPr="00500B18" w:rsidRDefault="00424968" w:rsidP="00CE075F">
            <w:pPr>
              <w:jc w:val="center"/>
              <w:rPr>
                <w:sz w:val="20"/>
                <w:szCs w:val="20"/>
              </w:rPr>
            </w:pPr>
            <w:r w:rsidRPr="00500B18">
              <w:rPr>
                <w:rFonts w:eastAsia="Times New Roman" w:cstheme="minorHAnsi"/>
                <w:sz w:val="20"/>
                <w:szCs w:val="20"/>
                <w:lang w:eastAsia="en-GB"/>
              </w:rPr>
              <w:t>Suspect flag (from Level-1B): transmission errors means measurements may be unreliable</w:t>
            </w:r>
          </w:p>
        </w:tc>
      </w:tr>
      <w:tr w:rsidR="00424968" w:rsidRPr="00500B18" w14:paraId="001A97E1" w14:textId="77777777" w:rsidTr="00CE075F">
        <w:tc>
          <w:tcPr>
            <w:tcW w:w="1077" w:type="pct"/>
          </w:tcPr>
          <w:p w14:paraId="69F76CFE" w14:textId="77777777" w:rsidR="00424968" w:rsidRPr="00500B18" w:rsidRDefault="00424968" w:rsidP="00CE075F">
            <w:pPr>
              <w:jc w:val="center"/>
              <w:rPr>
                <w:sz w:val="20"/>
                <w:szCs w:val="20"/>
              </w:rPr>
            </w:pPr>
            <w:r w:rsidRPr="00500B18">
              <w:rPr>
                <w:rFonts w:eastAsia="Times New Roman" w:cstheme="minorHAnsi"/>
                <w:sz w:val="20"/>
                <w:szCs w:val="20"/>
                <w:lang w:eastAsia="en-GB"/>
              </w:rPr>
              <w:t>HISOLZEN</w:t>
            </w:r>
          </w:p>
        </w:tc>
        <w:tc>
          <w:tcPr>
            <w:tcW w:w="3923" w:type="pct"/>
          </w:tcPr>
          <w:p w14:paraId="541D38D8" w14:textId="77777777" w:rsidR="00424968" w:rsidRPr="00500B18" w:rsidRDefault="00424968" w:rsidP="00CE075F">
            <w:pPr>
              <w:jc w:val="center"/>
              <w:rPr>
                <w:sz w:val="20"/>
                <w:szCs w:val="20"/>
              </w:rPr>
            </w:pPr>
            <w:r w:rsidRPr="00500B18">
              <w:rPr>
                <w:rFonts w:eastAsia="Times New Roman" w:cstheme="minorHAnsi"/>
                <w:sz w:val="20"/>
                <w:szCs w:val="20"/>
                <w:lang w:eastAsia="en-GB"/>
              </w:rPr>
              <w:t>High solar zenith: 70 °</w:t>
            </w:r>
          </w:p>
        </w:tc>
      </w:tr>
      <w:tr w:rsidR="00424968" w:rsidRPr="00500B18" w14:paraId="09A877FE" w14:textId="77777777" w:rsidTr="00CE075F">
        <w:tc>
          <w:tcPr>
            <w:tcW w:w="1077" w:type="pct"/>
          </w:tcPr>
          <w:p w14:paraId="17414B50" w14:textId="77777777" w:rsidR="00424968" w:rsidRPr="00500B18" w:rsidRDefault="00424968" w:rsidP="00CE075F">
            <w:pPr>
              <w:jc w:val="center"/>
              <w:rPr>
                <w:sz w:val="20"/>
                <w:szCs w:val="20"/>
              </w:rPr>
            </w:pPr>
            <w:r w:rsidRPr="00500B18">
              <w:rPr>
                <w:rFonts w:eastAsia="Times New Roman" w:cstheme="minorHAnsi"/>
                <w:sz w:val="20"/>
                <w:szCs w:val="20"/>
                <w:lang w:eastAsia="en-GB"/>
              </w:rPr>
              <w:t>SATURATED</w:t>
            </w:r>
          </w:p>
        </w:tc>
        <w:tc>
          <w:tcPr>
            <w:tcW w:w="3923" w:type="pct"/>
          </w:tcPr>
          <w:p w14:paraId="3EF2F4DC" w14:textId="77777777" w:rsidR="00424968" w:rsidRPr="00500B18" w:rsidRDefault="00424968" w:rsidP="00CE075F">
            <w:pPr>
              <w:jc w:val="center"/>
              <w:rPr>
                <w:sz w:val="20"/>
                <w:szCs w:val="20"/>
              </w:rPr>
            </w:pPr>
            <w:r w:rsidRPr="00500B18">
              <w:rPr>
                <w:rFonts w:eastAsia="Times New Roman" w:cstheme="minorHAnsi"/>
                <w:sz w:val="20"/>
                <w:szCs w:val="20"/>
                <w:lang w:eastAsia="en-GB"/>
              </w:rPr>
              <w:t>Saturation flag: saturated within any band from 400 to 754 nm or in bands 779, 865, 885 and 1020 nm</w:t>
            </w:r>
          </w:p>
        </w:tc>
      </w:tr>
      <w:tr w:rsidR="00424968" w:rsidRPr="00500B18" w14:paraId="33E0CCEA" w14:textId="77777777" w:rsidTr="00CE075F">
        <w:tc>
          <w:tcPr>
            <w:tcW w:w="1077" w:type="pct"/>
          </w:tcPr>
          <w:p w14:paraId="1F100FAF" w14:textId="77777777" w:rsidR="00424968" w:rsidRPr="00500B18" w:rsidRDefault="00424968" w:rsidP="00CE075F">
            <w:pPr>
              <w:jc w:val="center"/>
              <w:rPr>
                <w:sz w:val="20"/>
                <w:szCs w:val="20"/>
              </w:rPr>
            </w:pPr>
            <w:r w:rsidRPr="00500B18">
              <w:rPr>
                <w:rFonts w:eastAsia="Times New Roman" w:cstheme="minorHAnsi"/>
                <w:sz w:val="20"/>
                <w:szCs w:val="20"/>
                <w:lang w:eastAsia="en-GB"/>
              </w:rPr>
              <w:t>WVFAIL</w:t>
            </w:r>
          </w:p>
        </w:tc>
        <w:tc>
          <w:tcPr>
            <w:tcW w:w="3923" w:type="pct"/>
          </w:tcPr>
          <w:p w14:paraId="46368032" w14:textId="77777777" w:rsidR="00424968" w:rsidRPr="00500B18" w:rsidRDefault="00424968" w:rsidP="00CE075F">
            <w:pPr>
              <w:jc w:val="center"/>
              <w:rPr>
                <w:sz w:val="20"/>
                <w:szCs w:val="20"/>
              </w:rPr>
            </w:pPr>
            <w:r w:rsidRPr="00500B18">
              <w:rPr>
                <w:rFonts w:eastAsia="Times New Roman" w:cstheme="minorHAnsi"/>
                <w:sz w:val="20"/>
                <w:szCs w:val="20"/>
                <w:lang w:eastAsia="en-GB"/>
              </w:rPr>
              <w:t>Suspect values derived for the water vapour over land: see ATBD SD-03-C02 for details. Set when the following internal flags are raised: ORINPWV_F or OROUTWV_F or L_WV_FAIL</w:t>
            </w:r>
          </w:p>
        </w:tc>
      </w:tr>
      <w:tr w:rsidR="00424968" w:rsidRPr="00500B18" w14:paraId="2F06DD9D" w14:textId="77777777" w:rsidTr="00CE075F">
        <w:tc>
          <w:tcPr>
            <w:tcW w:w="1077" w:type="pct"/>
          </w:tcPr>
          <w:p w14:paraId="5222032D"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OGVI_FAIL</w:t>
            </w:r>
          </w:p>
        </w:tc>
        <w:tc>
          <w:tcPr>
            <w:tcW w:w="3923" w:type="pct"/>
          </w:tcPr>
          <w:p w14:paraId="7DE0AAD6" w14:textId="77777777" w:rsidR="00424968" w:rsidRPr="00500B18" w:rsidRDefault="00424968" w:rsidP="00CE075F">
            <w:pPr>
              <w:jc w:val="center"/>
              <w:rPr>
                <w:sz w:val="20"/>
                <w:szCs w:val="20"/>
              </w:rPr>
            </w:pPr>
            <w:r w:rsidRPr="00500B18">
              <w:rPr>
                <w:rFonts w:eastAsia="Times New Roman" w:cstheme="minorHAnsi"/>
                <w:sz w:val="20"/>
                <w:szCs w:val="20"/>
                <w:lang w:eastAsia="en-GB"/>
              </w:rPr>
              <w:t>Suspect values derived for the OGVI (FAPAR): see ATBD SD-03-C13 for details - set when the following internal flags are raised: ORINP1_F or OROUT1_F</w:t>
            </w:r>
          </w:p>
        </w:tc>
      </w:tr>
      <w:tr w:rsidR="00424968" w:rsidRPr="00500B18" w14:paraId="48CED97C" w14:textId="77777777" w:rsidTr="00CE075F">
        <w:tc>
          <w:tcPr>
            <w:tcW w:w="1077" w:type="pct"/>
          </w:tcPr>
          <w:p w14:paraId="35708BE7" w14:textId="77777777" w:rsidR="00424968" w:rsidRPr="00500B18" w:rsidRDefault="00424968" w:rsidP="00CE075F">
            <w:pPr>
              <w:jc w:val="center"/>
              <w:rPr>
                <w:sz w:val="20"/>
                <w:szCs w:val="20"/>
              </w:rPr>
            </w:pPr>
            <w:r w:rsidRPr="00500B18">
              <w:rPr>
                <w:rFonts w:eastAsia="Times New Roman" w:cstheme="minorHAnsi"/>
                <w:sz w:val="20"/>
                <w:szCs w:val="20"/>
                <w:lang w:eastAsia="en-GB"/>
              </w:rPr>
              <w:t>OTCI_FAIL</w:t>
            </w:r>
          </w:p>
        </w:tc>
        <w:tc>
          <w:tcPr>
            <w:tcW w:w="3923" w:type="pct"/>
          </w:tcPr>
          <w:p w14:paraId="39B3FBC7" w14:textId="77777777" w:rsidR="00424968" w:rsidRPr="00500B18" w:rsidRDefault="00424968" w:rsidP="00CE075F">
            <w:pPr>
              <w:jc w:val="center"/>
              <w:rPr>
                <w:sz w:val="20"/>
                <w:szCs w:val="20"/>
              </w:rPr>
            </w:pPr>
            <w:r w:rsidRPr="00500B18">
              <w:rPr>
                <w:rFonts w:eastAsia="Times New Roman" w:cstheme="minorHAnsi"/>
                <w:sz w:val="20"/>
                <w:szCs w:val="20"/>
                <w:lang w:eastAsia="en-GB"/>
              </w:rPr>
              <w:t>Suspect values derived for the OTCI: see ATBD for SD-03-C14 details - set when the following internal flags are raised: ORINP2_F (OTCI input out of range) or OROUT2_F (OTCI output out of range) or LRAYFAIL_F (problems deriving Rayleigh reflectance)</w:t>
            </w:r>
          </w:p>
        </w:tc>
      </w:tr>
    </w:tbl>
    <w:p w14:paraId="427A3BDE" w14:textId="77777777" w:rsidR="00424968" w:rsidRPr="003F2175" w:rsidRDefault="00424968" w:rsidP="00424968"/>
    <w:p w14:paraId="66579AF9" w14:textId="309EEC87" w:rsidR="00424968" w:rsidRDefault="00424968" w:rsidP="00424968">
      <w:pPr>
        <w:pStyle w:val="Caption"/>
        <w:keepNext/>
        <w:jc w:val="center"/>
      </w:pPr>
      <w:bookmarkStart w:id="20" w:name="_Ref3729854"/>
      <w:bookmarkStart w:id="21" w:name="_Toc35442732"/>
      <w:bookmarkStart w:id="22" w:name="_Toc43388026"/>
      <w:r>
        <w:lastRenderedPageBreak/>
        <w:t xml:space="preserve">Table </w:t>
      </w:r>
      <w:r>
        <w:rPr>
          <w:noProof/>
        </w:rPr>
        <w:fldChar w:fldCharType="begin"/>
      </w:r>
      <w:r>
        <w:rPr>
          <w:noProof/>
        </w:rPr>
        <w:instrText xml:space="preserve"> SEQ Table \* ARABIC </w:instrText>
      </w:r>
      <w:r>
        <w:rPr>
          <w:noProof/>
        </w:rPr>
        <w:fldChar w:fldCharType="separate"/>
      </w:r>
      <w:r w:rsidR="00D533BE">
        <w:rPr>
          <w:noProof/>
        </w:rPr>
        <w:t>2</w:t>
      </w:r>
      <w:r>
        <w:rPr>
          <w:noProof/>
        </w:rPr>
        <w:fldChar w:fldCharType="end"/>
      </w:r>
      <w:bookmarkEnd w:id="20"/>
      <w:r>
        <w:t>: OLCI L2 land science flags</w:t>
      </w:r>
      <w:r w:rsidR="00E97766">
        <w:t xml:space="preserve"> </w:t>
      </w:r>
      <w:r w:rsidR="00E97766">
        <w:fldChar w:fldCharType="begin" w:fldLock="1"/>
      </w:r>
      <w:r w:rsidR="00EF4B3C">
        <w:instrText>ADDIN CSL_CITATION {"citationItems":[{"id":"ITEM-1","itemData":{"URL":"https://sentinel.esa.int/web/sentinel/technical-guides/sentinel-3-olci/level-2/quality-and-science-flags-lp","accessed":{"date-parts":[["2019","3","17"]]},"author":[{"dropping-particle":"","family":"ESA","given":"","non-dropping-particle":"","parse-names":false,"suffix":""}],"id":"ITEM-1","issued":{"date-parts":[["0"]]},"note":"Available from: https://sentinel.esa.int/web/sentinel/technical-guides/sentinel-3-olci/level-2/quality-and-science-flags-lp [accessed 17/03/2019].","title":"Land Products Quality and Science Flags","type":"webpage"},"uris":["http://www.mendeley.com/documents/?uuid=c2389ba0-644a-46e0-a66a-4281301a9c4a"]}],"mendeley":{"formattedCitation":"[21]","plainTextFormattedCitation":"[21]","previouslyFormattedCitation":"[51]"},"properties":{"noteIndex":0},"schema":"https://github.com/citation-style-language/schema/raw/master/csl-citation.json"}</w:instrText>
      </w:r>
      <w:r w:rsidR="00E97766">
        <w:fldChar w:fldCharType="separate"/>
      </w:r>
      <w:r w:rsidR="00EF4B3C" w:rsidRPr="00EF4B3C">
        <w:rPr>
          <w:i w:val="0"/>
          <w:noProof/>
        </w:rPr>
        <w:t>[21]</w:t>
      </w:r>
      <w:r w:rsidR="00E97766">
        <w:fldChar w:fldCharType="end"/>
      </w:r>
      <w:r>
        <w:t>.</w:t>
      </w:r>
      <w:bookmarkEnd w:id="21"/>
      <w:bookmarkEnd w:id="2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91"/>
      </w:tblGrid>
      <w:tr w:rsidR="00424968" w:rsidRPr="00500B18" w14:paraId="081C0B8B" w14:textId="77777777" w:rsidTr="00CE075F">
        <w:tc>
          <w:tcPr>
            <w:tcW w:w="1238" w:type="pct"/>
            <w:tcBorders>
              <w:top w:val="single" w:sz="4" w:space="0" w:color="auto"/>
              <w:bottom w:val="single" w:sz="4" w:space="0" w:color="auto"/>
            </w:tcBorders>
          </w:tcPr>
          <w:p w14:paraId="49E12ECE" w14:textId="77777777" w:rsidR="00424968" w:rsidRPr="00500B18" w:rsidRDefault="00424968" w:rsidP="00CE075F">
            <w:pPr>
              <w:jc w:val="center"/>
              <w:rPr>
                <w:b/>
                <w:bCs/>
                <w:sz w:val="20"/>
                <w:szCs w:val="20"/>
              </w:rPr>
            </w:pPr>
            <w:r w:rsidRPr="00500B18">
              <w:rPr>
                <w:rFonts w:eastAsia="Times New Roman" w:cstheme="minorHAnsi"/>
                <w:b/>
                <w:bCs/>
                <w:sz w:val="20"/>
                <w:szCs w:val="20"/>
                <w:lang w:eastAsia="en-GB"/>
              </w:rPr>
              <w:t>Name</w:t>
            </w:r>
          </w:p>
        </w:tc>
        <w:tc>
          <w:tcPr>
            <w:tcW w:w="3762" w:type="pct"/>
            <w:tcBorders>
              <w:top w:val="single" w:sz="4" w:space="0" w:color="auto"/>
              <w:bottom w:val="single" w:sz="4" w:space="0" w:color="auto"/>
            </w:tcBorders>
          </w:tcPr>
          <w:p w14:paraId="5ECD6156" w14:textId="77777777" w:rsidR="00424968" w:rsidRPr="00500B18" w:rsidRDefault="00424968" w:rsidP="00CE075F">
            <w:pPr>
              <w:jc w:val="center"/>
              <w:rPr>
                <w:b/>
                <w:bCs/>
                <w:sz w:val="20"/>
                <w:szCs w:val="20"/>
              </w:rPr>
            </w:pPr>
            <w:r w:rsidRPr="00500B18">
              <w:rPr>
                <w:rFonts w:eastAsia="Times New Roman" w:cstheme="minorHAnsi"/>
                <w:b/>
                <w:bCs/>
                <w:sz w:val="20"/>
                <w:szCs w:val="20"/>
                <w:lang w:eastAsia="en-GB"/>
              </w:rPr>
              <w:t>Description</w:t>
            </w:r>
          </w:p>
        </w:tc>
      </w:tr>
      <w:tr w:rsidR="00424968" w:rsidRPr="00500B18" w14:paraId="75DD8540" w14:textId="77777777" w:rsidTr="00CE075F">
        <w:tc>
          <w:tcPr>
            <w:tcW w:w="1238" w:type="pct"/>
            <w:tcBorders>
              <w:top w:val="single" w:sz="4" w:space="0" w:color="auto"/>
            </w:tcBorders>
          </w:tcPr>
          <w:p w14:paraId="36F38B2B" w14:textId="77777777" w:rsidR="00424968" w:rsidRPr="00500B18" w:rsidRDefault="00424968" w:rsidP="00CE075F">
            <w:pPr>
              <w:jc w:val="center"/>
              <w:rPr>
                <w:sz w:val="20"/>
                <w:szCs w:val="20"/>
              </w:rPr>
            </w:pPr>
            <w:r w:rsidRPr="00500B18">
              <w:rPr>
                <w:rFonts w:eastAsia="Times New Roman" w:cstheme="minorHAnsi"/>
                <w:sz w:val="20"/>
                <w:szCs w:val="20"/>
                <w:lang w:eastAsia="en-GB"/>
              </w:rPr>
              <w:t>LRAYFAIL</w:t>
            </w:r>
          </w:p>
        </w:tc>
        <w:tc>
          <w:tcPr>
            <w:tcW w:w="3762" w:type="pct"/>
            <w:tcBorders>
              <w:top w:val="single" w:sz="4" w:space="0" w:color="auto"/>
            </w:tcBorders>
          </w:tcPr>
          <w:p w14:paraId="382EC8E3" w14:textId="77777777" w:rsidR="00424968" w:rsidRPr="00500B18" w:rsidRDefault="00424968" w:rsidP="00CE075F">
            <w:pPr>
              <w:jc w:val="center"/>
              <w:rPr>
                <w:sz w:val="20"/>
                <w:szCs w:val="20"/>
              </w:rPr>
            </w:pPr>
            <w:r w:rsidRPr="00500B18">
              <w:rPr>
                <w:rFonts w:eastAsia="Times New Roman" w:cstheme="minorHAnsi"/>
                <w:sz w:val="20"/>
                <w:szCs w:val="20"/>
                <w:lang w:eastAsia="en-GB"/>
              </w:rPr>
              <w:t>Problems deriving the Rayleigh reflectance over the land: see ATBD SD-03-C15 for details</w:t>
            </w:r>
          </w:p>
        </w:tc>
      </w:tr>
      <w:tr w:rsidR="00424968" w:rsidRPr="00500B18" w14:paraId="608B6848" w14:textId="77777777" w:rsidTr="00CE075F">
        <w:tc>
          <w:tcPr>
            <w:tcW w:w="1238" w:type="pct"/>
          </w:tcPr>
          <w:p w14:paraId="4E4DF1D1"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OGVI_CLASS_BAD</w:t>
            </w:r>
          </w:p>
        </w:tc>
        <w:tc>
          <w:tcPr>
            <w:tcW w:w="3762" w:type="pct"/>
          </w:tcPr>
          <w:p w14:paraId="1F42CBA6" w14:textId="77777777" w:rsidR="00424968" w:rsidRPr="00500B18" w:rsidRDefault="00424968" w:rsidP="00CE075F">
            <w:pPr>
              <w:jc w:val="center"/>
              <w:rPr>
                <w:sz w:val="20"/>
                <w:szCs w:val="20"/>
              </w:rPr>
            </w:pPr>
            <w:r w:rsidRPr="00500B18">
              <w:rPr>
                <w:rFonts w:eastAsia="Times New Roman" w:cstheme="minorHAnsi"/>
                <w:sz w:val="20"/>
                <w:szCs w:val="20"/>
                <w:lang w:eastAsia="en-GB"/>
              </w:rPr>
              <w:t>Flag bad data from OGVI spectral tests</w:t>
            </w:r>
          </w:p>
        </w:tc>
      </w:tr>
      <w:tr w:rsidR="00424968" w:rsidRPr="00500B18" w14:paraId="5EF803B3" w14:textId="77777777" w:rsidTr="00CE075F">
        <w:tc>
          <w:tcPr>
            <w:tcW w:w="1238" w:type="pct"/>
          </w:tcPr>
          <w:p w14:paraId="5F2C8F36"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OGVI_CLASS_WS</w:t>
            </w:r>
          </w:p>
        </w:tc>
        <w:tc>
          <w:tcPr>
            <w:tcW w:w="3762" w:type="pct"/>
          </w:tcPr>
          <w:p w14:paraId="4B7EEA86" w14:textId="77777777" w:rsidR="00424968" w:rsidRPr="00500B18" w:rsidRDefault="00424968" w:rsidP="00CE075F">
            <w:pPr>
              <w:jc w:val="center"/>
              <w:rPr>
                <w:sz w:val="20"/>
                <w:szCs w:val="20"/>
              </w:rPr>
            </w:pPr>
            <w:r w:rsidRPr="00500B18">
              <w:rPr>
                <w:rFonts w:eastAsia="Times New Roman" w:cstheme="minorHAnsi"/>
                <w:sz w:val="20"/>
                <w:szCs w:val="20"/>
                <w:lang w:eastAsia="en-GB"/>
              </w:rPr>
              <w:t>Flag water or deep shadow from OGVI spectral tests</w:t>
            </w:r>
          </w:p>
        </w:tc>
      </w:tr>
      <w:tr w:rsidR="00424968" w:rsidRPr="00500B18" w14:paraId="2ADC0A2F" w14:textId="77777777" w:rsidTr="00CE075F">
        <w:tc>
          <w:tcPr>
            <w:tcW w:w="1238" w:type="pct"/>
            <w:tcBorders>
              <w:bottom w:val="nil"/>
            </w:tcBorders>
          </w:tcPr>
          <w:p w14:paraId="6BB2CEE1"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OGVI_CLASS_CSI</w:t>
            </w:r>
          </w:p>
        </w:tc>
        <w:tc>
          <w:tcPr>
            <w:tcW w:w="3762" w:type="pct"/>
            <w:tcBorders>
              <w:bottom w:val="nil"/>
            </w:tcBorders>
          </w:tcPr>
          <w:p w14:paraId="45B77A4F" w14:textId="77777777" w:rsidR="00424968" w:rsidRPr="00500B18" w:rsidRDefault="00424968" w:rsidP="00CE075F">
            <w:pPr>
              <w:jc w:val="center"/>
              <w:rPr>
                <w:sz w:val="20"/>
                <w:szCs w:val="20"/>
              </w:rPr>
            </w:pPr>
            <w:r w:rsidRPr="00500B18">
              <w:rPr>
                <w:rFonts w:eastAsia="Times New Roman" w:cstheme="minorHAnsi"/>
                <w:sz w:val="20"/>
                <w:szCs w:val="20"/>
                <w:lang w:eastAsia="en-GB"/>
              </w:rPr>
              <w:t xml:space="preserve">Flag Cloud, </w:t>
            </w:r>
            <w:proofErr w:type="gramStart"/>
            <w:r w:rsidRPr="00500B18">
              <w:rPr>
                <w:rFonts w:eastAsia="Times New Roman" w:cstheme="minorHAnsi"/>
                <w:sz w:val="20"/>
                <w:szCs w:val="20"/>
                <w:lang w:eastAsia="en-GB"/>
              </w:rPr>
              <w:t>snow</w:t>
            </w:r>
            <w:proofErr w:type="gramEnd"/>
            <w:r w:rsidRPr="00500B18">
              <w:rPr>
                <w:rFonts w:eastAsia="Times New Roman" w:cstheme="minorHAnsi"/>
                <w:sz w:val="20"/>
                <w:szCs w:val="20"/>
                <w:lang w:eastAsia="en-GB"/>
              </w:rPr>
              <w:t xml:space="preserve"> or ice from OGVI spectral tests</w:t>
            </w:r>
          </w:p>
        </w:tc>
      </w:tr>
      <w:tr w:rsidR="00424968" w:rsidRPr="00500B18" w14:paraId="6E9B0CFA" w14:textId="77777777" w:rsidTr="00CE075F">
        <w:tc>
          <w:tcPr>
            <w:tcW w:w="1238" w:type="pct"/>
            <w:tcBorders>
              <w:top w:val="nil"/>
              <w:bottom w:val="nil"/>
            </w:tcBorders>
          </w:tcPr>
          <w:p w14:paraId="567F6C9D"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OGVI_CLASS_BRIGHT</w:t>
            </w:r>
          </w:p>
        </w:tc>
        <w:tc>
          <w:tcPr>
            <w:tcW w:w="3762" w:type="pct"/>
            <w:tcBorders>
              <w:top w:val="nil"/>
              <w:bottom w:val="nil"/>
            </w:tcBorders>
          </w:tcPr>
          <w:p w14:paraId="71769E12" w14:textId="77777777" w:rsidR="00424968" w:rsidRPr="00500B18" w:rsidRDefault="00424968" w:rsidP="00CE075F">
            <w:pPr>
              <w:jc w:val="center"/>
              <w:rPr>
                <w:sz w:val="20"/>
                <w:szCs w:val="20"/>
              </w:rPr>
            </w:pPr>
            <w:r w:rsidRPr="00500B18">
              <w:rPr>
                <w:rFonts w:eastAsia="Times New Roman" w:cstheme="minorHAnsi"/>
                <w:sz w:val="20"/>
                <w:szCs w:val="20"/>
                <w:lang w:eastAsia="en-GB"/>
              </w:rPr>
              <w:t>Flag bright from OGVI spectral tests</w:t>
            </w:r>
          </w:p>
        </w:tc>
      </w:tr>
      <w:tr w:rsidR="00424968" w:rsidRPr="00500B18" w14:paraId="4DE5AB21" w14:textId="77777777" w:rsidTr="00CE075F">
        <w:tc>
          <w:tcPr>
            <w:tcW w:w="1238" w:type="pct"/>
            <w:tcBorders>
              <w:top w:val="nil"/>
            </w:tcBorders>
          </w:tcPr>
          <w:p w14:paraId="4D4DB726" w14:textId="77777777" w:rsidR="00424968" w:rsidRPr="00500B18" w:rsidRDefault="00424968" w:rsidP="00CE075F">
            <w:pPr>
              <w:jc w:val="center"/>
              <w:rPr>
                <w:sz w:val="20"/>
                <w:szCs w:val="20"/>
              </w:rPr>
            </w:pPr>
            <w:r w:rsidRPr="00500B18">
              <w:rPr>
                <w:rFonts w:eastAsia="Times New Roman" w:cstheme="minorHAnsi"/>
                <w:sz w:val="20"/>
                <w:szCs w:val="20"/>
                <w:lang w:eastAsia="en-GB"/>
              </w:rPr>
              <w:t>OGVI_CLASS_INVAL_REC</w:t>
            </w:r>
          </w:p>
        </w:tc>
        <w:tc>
          <w:tcPr>
            <w:tcW w:w="3762" w:type="pct"/>
            <w:tcBorders>
              <w:top w:val="nil"/>
            </w:tcBorders>
          </w:tcPr>
          <w:p w14:paraId="39780F09" w14:textId="77777777" w:rsidR="00424968" w:rsidRPr="00500B18" w:rsidRDefault="00424968" w:rsidP="00CE075F">
            <w:pPr>
              <w:jc w:val="center"/>
              <w:rPr>
                <w:sz w:val="20"/>
                <w:szCs w:val="20"/>
              </w:rPr>
            </w:pPr>
            <w:r w:rsidRPr="00500B18">
              <w:rPr>
                <w:rFonts w:eastAsia="Times New Roman" w:cstheme="minorHAnsi"/>
                <w:sz w:val="20"/>
                <w:szCs w:val="20"/>
                <w:lang w:eastAsia="en-GB"/>
              </w:rPr>
              <w:t>Flag invalid rectification</w:t>
            </w:r>
          </w:p>
        </w:tc>
      </w:tr>
      <w:tr w:rsidR="00424968" w:rsidRPr="00500B18" w14:paraId="5B7C57BB" w14:textId="77777777" w:rsidTr="00CE075F">
        <w:tc>
          <w:tcPr>
            <w:tcW w:w="1238" w:type="pct"/>
          </w:tcPr>
          <w:p w14:paraId="7EE2E92D" w14:textId="77777777" w:rsidR="00424968" w:rsidRPr="00500B18" w:rsidRDefault="00424968" w:rsidP="00CE075F">
            <w:pPr>
              <w:jc w:val="center"/>
              <w:rPr>
                <w:sz w:val="20"/>
                <w:szCs w:val="20"/>
              </w:rPr>
            </w:pPr>
            <w:r w:rsidRPr="00500B18">
              <w:rPr>
                <w:rFonts w:eastAsia="Times New Roman" w:cstheme="minorHAnsi"/>
                <w:sz w:val="20"/>
                <w:szCs w:val="20"/>
                <w:lang w:eastAsia="en-GB"/>
              </w:rPr>
              <w:t>OTCI_BAD_IN</w:t>
            </w:r>
          </w:p>
        </w:tc>
        <w:tc>
          <w:tcPr>
            <w:tcW w:w="3762" w:type="pct"/>
          </w:tcPr>
          <w:p w14:paraId="62185B88" w14:textId="77777777" w:rsidR="00424968" w:rsidRPr="00500B18" w:rsidRDefault="00424968" w:rsidP="00CE075F">
            <w:pPr>
              <w:jc w:val="center"/>
              <w:rPr>
                <w:sz w:val="20"/>
                <w:szCs w:val="20"/>
              </w:rPr>
            </w:pPr>
            <w:r w:rsidRPr="00500B18">
              <w:rPr>
                <w:rFonts w:eastAsia="Times New Roman" w:cstheme="minorHAnsi"/>
                <w:sz w:val="20"/>
                <w:szCs w:val="20"/>
                <w:lang w:eastAsia="en-GB"/>
              </w:rPr>
              <w:t>Input data bad quality: (at least one of B12, B11, B10 is not Valid) or (B12-B</w:t>
            </w:r>
            <w:proofErr w:type="gramStart"/>
            <w:r w:rsidRPr="00500B18">
              <w:rPr>
                <w:rFonts w:eastAsia="Times New Roman" w:cstheme="minorHAnsi"/>
                <w:sz w:val="20"/>
                <w:szCs w:val="20"/>
                <w:lang w:eastAsia="en-GB"/>
              </w:rPr>
              <w:t>11)&lt;</w:t>
            </w:r>
            <w:proofErr w:type="gramEnd"/>
            <w:r w:rsidRPr="00500B18">
              <w:rPr>
                <w:rFonts w:eastAsia="Times New Roman" w:cstheme="minorHAnsi"/>
                <w:sz w:val="20"/>
                <w:szCs w:val="20"/>
                <w:lang w:eastAsia="en-GB"/>
              </w:rPr>
              <w:t>Threshold1 or (B11-B10)&lt;Threshold2</w:t>
            </w:r>
          </w:p>
        </w:tc>
      </w:tr>
      <w:tr w:rsidR="00424968" w:rsidRPr="00500B18" w14:paraId="31314B54" w14:textId="77777777" w:rsidTr="00CE075F">
        <w:tc>
          <w:tcPr>
            <w:tcW w:w="1238" w:type="pct"/>
          </w:tcPr>
          <w:p w14:paraId="4C3E8D48" w14:textId="77777777" w:rsidR="00424968" w:rsidRPr="00500B18" w:rsidRDefault="00424968" w:rsidP="00CE075F">
            <w:pPr>
              <w:jc w:val="center"/>
              <w:rPr>
                <w:sz w:val="20"/>
                <w:szCs w:val="20"/>
              </w:rPr>
            </w:pPr>
            <w:r w:rsidRPr="00500B18">
              <w:rPr>
                <w:rFonts w:eastAsia="Times New Roman" w:cstheme="minorHAnsi"/>
                <w:sz w:val="20"/>
                <w:szCs w:val="20"/>
                <w:lang w:eastAsia="en-GB"/>
              </w:rPr>
              <w:t>OTCI_CLASS_ANG</w:t>
            </w:r>
          </w:p>
        </w:tc>
        <w:tc>
          <w:tcPr>
            <w:tcW w:w="3762" w:type="pct"/>
          </w:tcPr>
          <w:p w14:paraId="16BECFA9" w14:textId="77777777" w:rsidR="00424968" w:rsidRPr="00500B18" w:rsidRDefault="00424968" w:rsidP="00CE075F">
            <w:pPr>
              <w:jc w:val="center"/>
              <w:rPr>
                <w:sz w:val="20"/>
                <w:szCs w:val="20"/>
              </w:rPr>
            </w:pPr>
            <w:r w:rsidRPr="00500B18">
              <w:rPr>
                <w:rFonts w:eastAsia="Times New Roman" w:cstheme="minorHAnsi"/>
                <w:sz w:val="20"/>
                <w:szCs w:val="20"/>
                <w:lang w:eastAsia="en-GB"/>
              </w:rPr>
              <w:t>View angle flag: OTCI_CLASS_IN OK AND view angle&gt; Threshold (TBD) AND sun angle &gt; Threshold (TBD)</w:t>
            </w:r>
          </w:p>
        </w:tc>
      </w:tr>
      <w:tr w:rsidR="00424968" w:rsidRPr="00500B18" w14:paraId="689B9433" w14:textId="77777777" w:rsidTr="00CE075F">
        <w:tc>
          <w:tcPr>
            <w:tcW w:w="1238" w:type="pct"/>
          </w:tcPr>
          <w:p w14:paraId="4B23B38D" w14:textId="77777777" w:rsidR="00424968" w:rsidRPr="00500B18" w:rsidRDefault="00424968" w:rsidP="00CE075F">
            <w:pPr>
              <w:jc w:val="center"/>
              <w:rPr>
                <w:sz w:val="20"/>
                <w:szCs w:val="20"/>
              </w:rPr>
            </w:pPr>
            <w:r w:rsidRPr="00500B18">
              <w:rPr>
                <w:rFonts w:eastAsia="Times New Roman" w:cstheme="minorHAnsi"/>
                <w:sz w:val="20"/>
                <w:szCs w:val="20"/>
                <w:lang w:eastAsia="en-GB"/>
              </w:rPr>
              <w:t>OTCI_CLASS_CLSN</w:t>
            </w:r>
          </w:p>
        </w:tc>
        <w:tc>
          <w:tcPr>
            <w:tcW w:w="3762" w:type="pct"/>
          </w:tcPr>
          <w:p w14:paraId="33AC007D" w14:textId="3793E84B" w:rsidR="00424968" w:rsidRPr="00500B18" w:rsidRDefault="00424968" w:rsidP="00CE075F">
            <w:pPr>
              <w:jc w:val="center"/>
              <w:rPr>
                <w:sz w:val="20"/>
                <w:szCs w:val="20"/>
              </w:rPr>
            </w:pPr>
            <w:r w:rsidRPr="00500B18">
              <w:rPr>
                <w:rFonts w:eastAsia="Times New Roman" w:cstheme="minorHAnsi"/>
                <w:sz w:val="20"/>
                <w:szCs w:val="20"/>
                <w:lang w:eastAsia="en-GB"/>
              </w:rPr>
              <w:t>Cloud and snow flag: input data quality flag OK but cloud shadow or partial snow</w:t>
            </w:r>
          </w:p>
        </w:tc>
      </w:tr>
    </w:tbl>
    <w:p w14:paraId="0EECEC4A" w14:textId="1DC6CD73" w:rsidR="00424968" w:rsidRPr="00424968" w:rsidRDefault="00424968" w:rsidP="00424968">
      <w:pPr>
        <w:pStyle w:val="Heading3"/>
        <w:sectPr w:rsidR="00424968" w:rsidRPr="00424968" w:rsidSect="00024274">
          <w:pgSz w:w="11906" w:h="16838"/>
          <w:pgMar w:top="1440" w:right="1440" w:bottom="1440" w:left="1440" w:header="708" w:footer="708" w:gutter="0"/>
          <w:cols w:space="708"/>
          <w:docGrid w:linePitch="360"/>
        </w:sectPr>
      </w:pPr>
    </w:p>
    <w:p w14:paraId="2DE2C23F" w14:textId="1D9597CA" w:rsidR="0074003B" w:rsidRPr="004D13CD" w:rsidRDefault="0074003B" w:rsidP="00476577">
      <w:pPr>
        <w:pStyle w:val="Heading1"/>
      </w:pPr>
      <w:bookmarkStart w:id="23" w:name="_Toc43388051"/>
      <w:r w:rsidRPr="004D13CD">
        <w:lastRenderedPageBreak/>
        <w:t>State-of-the</w:t>
      </w:r>
      <w:r w:rsidR="00491F1D">
        <w:t>-a</w:t>
      </w:r>
      <w:r w:rsidRPr="004D13CD">
        <w:t xml:space="preserve">rt </w:t>
      </w:r>
      <w:r w:rsidR="00491F1D">
        <w:t>M</w:t>
      </w:r>
      <w:r w:rsidRPr="004D13CD">
        <w:t xml:space="preserve">ethods for FAPAR and CCC </w:t>
      </w:r>
      <w:r w:rsidR="00491F1D">
        <w:t>V</w:t>
      </w:r>
      <w:r w:rsidRPr="004D13CD">
        <w:t>alidation</w:t>
      </w:r>
      <w:bookmarkEnd w:id="23"/>
    </w:p>
    <w:p w14:paraId="1AE02D6E" w14:textId="77777777" w:rsidR="00DE001B" w:rsidRPr="00DE001B" w:rsidRDefault="00DE001B" w:rsidP="00491F1D">
      <w:pPr>
        <w:autoSpaceDE w:val="0"/>
        <w:autoSpaceDN w:val="0"/>
        <w:adjustRightInd w:val="0"/>
        <w:spacing w:before="40" w:after="0" w:line="276" w:lineRule="auto"/>
        <w:rPr>
          <w:rFonts w:cstheme="minorHAnsi"/>
          <w:color w:val="000000"/>
        </w:rPr>
      </w:pPr>
    </w:p>
    <w:p w14:paraId="7C761A97" w14:textId="44A461F1" w:rsidR="0044586D" w:rsidRPr="004D13CD" w:rsidRDefault="00A7764E" w:rsidP="00476577">
      <w:pPr>
        <w:pStyle w:val="Heading2"/>
      </w:pPr>
      <w:bookmarkStart w:id="24" w:name="_Toc43388052"/>
      <w:r w:rsidRPr="004D13CD">
        <w:t xml:space="preserve">Review of </w:t>
      </w:r>
      <w:r w:rsidR="00491F1D" w:rsidRPr="00476577">
        <w:t>Validation</w:t>
      </w:r>
      <w:r w:rsidR="00491F1D">
        <w:t xml:space="preserve"> Approaches</w:t>
      </w:r>
      <w:bookmarkEnd w:id="24"/>
    </w:p>
    <w:p w14:paraId="397FB37B" w14:textId="08A71F44" w:rsidR="00A7764E" w:rsidRPr="00DB1978" w:rsidRDefault="00A7764E" w:rsidP="00491F1D">
      <w:pPr>
        <w:spacing w:after="0"/>
        <w:jc w:val="both"/>
        <w:rPr>
          <w:rFonts w:asciiTheme="majorHAnsi" w:hAnsiTheme="majorHAnsi" w:cstheme="majorHAnsi"/>
        </w:rPr>
      </w:pPr>
    </w:p>
    <w:p w14:paraId="36FD9F9A" w14:textId="6AD37EB5" w:rsidR="00581951" w:rsidRPr="00DB1978" w:rsidRDefault="00581951" w:rsidP="00476577">
      <w:pPr>
        <w:pStyle w:val="Heading3"/>
      </w:pPr>
      <w:bookmarkStart w:id="25" w:name="_Toc43388053"/>
      <w:r w:rsidRPr="00476577">
        <w:t>Direct</w:t>
      </w:r>
      <w:r w:rsidRPr="00DB1978">
        <w:t xml:space="preserve"> </w:t>
      </w:r>
      <w:r w:rsidR="00476577">
        <w:t>V</w:t>
      </w:r>
      <w:r w:rsidRPr="00DB1978">
        <w:t>alidation</w:t>
      </w:r>
      <w:bookmarkEnd w:id="25"/>
    </w:p>
    <w:p w14:paraId="3347D337" w14:textId="77777777" w:rsidR="004D13CD" w:rsidRPr="004D13CD" w:rsidRDefault="004D13CD" w:rsidP="00491F1D">
      <w:pPr>
        <w:spacing w:after="0"/>
      </w:pPr>
    </w:p>
    <w:p w14:paraId="3AE098CF" w14:textId="3C6F52AD" w:rsidR="00581951" w:rsidRPr="000058F8" w:rsidRDefault="00581951" w:rsidP="004D13CD">
      <w:pPr>
        <w:spacing w:line="360" w:lineRule="auto"/>
        <w:jc w:val="both"/>
      </w:pPr>
      <w:r w:rsidRPr="000058F8">
        <w:t>Direct validation refers to a set of approaches involving the comparison of satellite</w:t>
      </w:r>
      <w:r>
        <w:t>-derived</w:t>
      </w:r>
      <w:r w:rsidRPr="000058F8">
        <w:t xml:space="preserve"> products with independent </w:t>
      </w:r>
      <w:r w:rsidR="00EF4B3C">
        <w:t>in situ</w:t>
      </w:r>
      <w:r>
        <w:t xml:space="preserve"> reference measurements.</w:t>
      </w:r>
      <w:r w:rsidR="00500B18">
        <w:t xml:space="preserve"> </w:t>
      </w:r>
      <w:r w:rsidRPr="000058F8">
        <w:t>Because destructive sampling is laborious, time-consuming, and impractical at most sites, the use of indirect techniques is typically favoured</w:t>
      </w:r>
      <w:r>
        <w:t xml:space="preserve"> for performing </w:t>
      </w:r>
      <w:r w:rsidR="00EF4B3C">
        <w:t>in situ</w:t>
      </w:r>
      <w:r>
        <w:t xml:space="preserve"> measurements</w:t>
      </w:r>
      <w:r w:rsidRPr="000058F8">
        <w:t>.</w:t>
      </w:r>
      <w:r w:rsidR="00500B18">
        <w:t xml:space="preserve"> </w:t>
      </w:r>
      <w:r w:rsidRPr="000058F8">
        <w:t>These techniques make use of a range of optical instruments, and include:</w:t>
      </w:r>
    </w:p>
    <w:p w14:paraId="55530A13" w14:textId="77777777" w:rsidR="00581951" w:rsidRPr="000058F8" w:rsidRDefault="00581951" w:rsidP="004D13CD">
      <w:pPr>
        <w:pStyle w:val="ListParagraph"/>
        <w:numPr>
          <w:ilvl w:val="0"/>
          <w:numId w:val="8"/>
        </w:numPr>
        <w:spacing w:line="360" w:lineRule="auto"/>
        <w:jc w:val="both"/>
      </w:pPr>
      <w:proofErr w:type="spellStart"/>
      <w:r w:rsidRPr="000058F8">
        <w:t>Ceptometry</w:t>
      </w:r>
      <w:proofErr w:type="spellEnd"/>
    </w:p>
    <w:p w14:paraId="6DB662AD" w14:textId="1609D307" w:rsidR="00581951" w:rsidRPr="000058F8" w:rsidRDefault="00581951" w:rsidP="004D13CD">
      <w:pPr>
        <w:pStyle w:val="ListParagraph"/>
        <w:numPr>
          <w:ilvl w:val="0"/>
          <w:numId w:val="8"/>
        </w:numPr>
        <w:spacing w:line="360" w:lineRule="auto"/>
        <w:jc w:val="both"/>
      </w:pPr>
      <w:r w:rsidRPr="000058F8">
        <w:t>Digital hemispherical photography</w:t>
      </w:r>
      <w:r w:rsidR="00CE075F">
        <w:t xml:space="preserve"> (DHP)</w:t>
      </w:r>
    </w:p>
    <w:p w14:paraId="08F476A5" w14:textId="77777777" w:rsidR="00581951" w:rsidRPr="000058F8" w:rsidRDefault="00581951" w:rsidP="004D13CD">
      <w:pPr>
        <w:pStyle w:val="ListParagraph"/>
        <w:numPr>
          <w:ilvl w:val="0"/>
          <w:numId w:val="8"/>
        </w:numPr>
        <w:spacing w:line="360" w:lineRule="auto"/>
        <w:jc w:val="both"/>
      </w:pPr>
      <w:r w:rsidRPr="000058F8">
        <w:t>Us</w:t>
      </w:r>
      <w:r>
        <w:t>e of optical chlorophyll meters</w:t>
      </w:r>
    </w:p>
    <w:p w14:paraId="25784BB8" w14:textId="77777777" w:rsidR="00581951" w:rsidRPr="000058F8" w:rsidRDefault="00581951" w:rsidP="004D13CD">
      <w:pPr>
        <w:pStyle w:val="ListParagraph"/>
        <w:numPr>
          <w:ilvl w:val="0"/>
          <w:numId w:val="8"/>
        </w:numPr>
        <w:spacing w:line="360" w:lineRule="auto"/>
        <w:jc w:val="both"/>
      </w:pPr>
      <w:r w:rsidRPr="000058F8">
        <w:t>Use of the LI-COR LAI-2200C Plant Canopy Analyser (and the previous LAI-2000 and LAI-2200 variants)</w:t>
      </w:r>
    </w:p>
    <w:p w14:paraId="12FD9907" w14:textId="0AD60E9C" w:rsidR="00581951" w:rsidRDefault="00581951" w:rsidP="004D13CD">
      <w:pPr>
        <w:spacing w:line="360" w:lineRule="auto"/>
        <w:jc w:val="both"/>
      </w:pPr>
      <w:r w:rsidRPr="000058F8">
        <w:t>The theory behind these techniques is described in the ‘FRM Protocols and Pro</w:t>
      </w:r>
      <w:r>
        <w:t>cedures for Surface Reflectance</w:t>
      </w:r>
      <w:r w:rsidRPr="000058F8">
        <w:t xml:space="preserve"> Fraction of Absorbed Photosynthetically Active Radiation, and Canopy Chlorophyll Content (FPP) document’.</w:t>
      </w:r>
      <w:r w:rsidR="00500B18">
        <w:t xml:space="preserve"> </w:t>
      </w:r>
      <w:r w:rsidRPr="000058F8">
        <w:t xml:space="preserve">A major challenge in </w:t>
      </w:r>
      <w:r>
        <w:t xml:space="preserve">the </w:t>
      </w:r>
      <w:r w:rsidRPr="000058F8">
        <w:t xml:space="preserve">direct validation of </w:t>
      </w:r>
      <w:r>
        <w:t>satellite-derived vegetation</w:t>
      </w:r>
      <w:r w:rsidRPr="000058F8">
        <w:t xml:space="preserve"> products is the heterogeneity of the terrestrial landscape.</w:t>
      </w:r>
      <w:r w:rsidR="00500B18">
        <w:t xml:space="preserve"> </w:t>
      </w:r>
      <w:r w:rsidRPr="000058F8">
        <w:t xml:space="preserve">Because </w:t>
      </w:r>
      <w:r w:rsidR="00EF4B3C">
        <w:t>in situ</w:t>
      </w:r>
      <w:r w:rsidRPr="000058F8">
        <w:t xml:space="preserve"> measurements are point-based, straightforward comparison is possible only in highly homogeneous environments</w:t>
      </w:r>
      <w:r>
        <w:t xml:space="preserve">, as </w:t>
      </w:r>
      <w:r w:rsidRPr="000058F8">
        <w:t>the number of samples that can be obtained to adequately represent a site is necessarily limited by logistical constraints.</w:t>
      </w:r>
    </w:p>
    <w:p w14:paraId="05DA48AE" w14:textId="77777777" w:rsidR="00E17DD2" w:rsidRPr="00DB1978" w:rsidRDefault="00E17DD2" w:rsidP="00491F1D">
      <w:pPr>
        <w:spacing w:after="0"/>
        <w:jc w:val="both"/>
        <w:rPr>
          <w:rFonts w:asciiTheme="majorHAnsi" w:hAnsiTheme="majorHAnsi" w:cstheme="majorHAnsi"/>
        </w:rPr>
      </w:pPr>
    </w:p>
    <w:p w14:paraId="3960680A" w14:textId="11677855" w:rsidR="00E17DD2" w:rsidRPr="00DB1978" w:rsidRDefault="00E17DD2" w:rsidP="00476577">
      <w:pPr>
        <w:pStyle w:val="Heading3"/>
      </w:pPr>
      <w:bookmarkStart w:id="26" w:name="_Toc43388054"/>
      <w:r w:rsidRPr="00DB1978">
        <w:t>Direct Validation: Networks and Projects</w:t>
      </w:r>
      <w:bookmarkEnd w:id="26"/>
    </w:p>
    <w:p w14:paraId="42841988" w14:textId="77777777" w:rsidR="00E17DD2" w:rsidRDefault="00E17DD2" w:rsidP="00491F1D">
      <w:pPr>
        <w:spacing w:after="0"/>
      </w:pPr>
    </w:p>
    <w:p w14:paraId="60D43E56" w14:textId="1A90E58D" w:rsidR="00E17DD2" w:rsidRPr="004D13CD" w:rsidRDefault="00E17DD2" w:rsidP="004D13CD">
      <w:pPr>
        <w:spacing w:line="360" w:lineRule="auto"/>
        <w:jc w:val="both"/>
      </w:pPr>
      <w:r w:rsidRPr="004D13CD">
        <w:t>A summary of some of the major direct validation projects carried out over the last two decades is provided below.</w:t>
      </w:r>
      <w:r w:rsidR="00500B18">
        <w:t xml:space="preserve"> </w:t>
      </w:r>
      <w:r w:rsidRPr="004D13CD">
        <w:t>The list is not exhaustive and seeks only to describe those projects involving campaigns over a network of multiple sites.</w:t>
      </w:r>
    </w:p>
    <w:p w14:paraId="49685178" w14:textId="77777777" w:rsidR="00E17DD2" w:rsidRDefault="00E17DD2" w:rsidP="00491F1D">
      <w:pPr>
        <w:spacing w:after="0"/>
      </w:pPr>
    </w:p>
    <w:p w14:paraId="1CB2245F" w14:textId="689172A3" w:rsidR="00E17DD2" w:rsidRPr="00DB1978" w:rsidRDefault="00E17DD2" w:rsidP="00476577">
      <w:pPr>
        <w:pStyle w:val="Heading4"/>
        <w:ind w:left="851"/>
      </w:pPr>
      <w:proofErr w:type="spellStart"/>
      <w:r w:rsidRPr="00DB1978">
        <w:t>BigFoot</w:t>
      </w:r>
      <w:proofErr w:type="spellEnd"/>
    </w:p>
    <w:p w14:paraId="2EE7CC54" w14:textId="77777777" w:rsidR="00E17DD2" w:rsidRPr="00E17DD2" w:rsidRDefault="00E17DD2" w:rsidP="00491F1D">
      <w:pPr>
        <w:spacing w:after="0"/>
      </w:pPr>
    </w:p>
    <w:p w14:paraId="792A19F0" w14:textId="51FDB7ED" w:rsidR="00E17DD2" w:rsidRPr="00A85D5A" w:rsidRDefault="00E17DD2" w:rsidP="004D13CD">
      <w:pPr>
        <w:spacing w:line="360" w:lineRule="auto"/>
        <w:jc w:val="both"/>
      </w:pPr>
      <w:r>
        <w:t xml:space="preserve">The </w:t>
      </w:r>
      <w:proofErr w:type="spellStart"/>
      <w:r>
        <w:t>BigFoot</w:t>
      </w:r>
      <w:proofErr w:type="spellEnd"/>
      <w:r>
        <w:t xml:space="preserve"> project was developed to support validation of the </w:t>
      </w:r>
      <w:r w:rsidR="00CE075F">
        <w:t>Moderate Spatial Resolution Imaging Spectroradiometer (</w:t>
      </w:r>
      <w:r>
        <w:t>MODIS</w:t>
      </w:r>
      <w:r w:rsidR="00CE075F">
        <w:t>)</w:t>
      </w:r>
      <w:r>
        <w:t xml:space="preserve"> Land Science Team (MODLAND) products, following the success of early </w:t>
      </w:r>
      <w:r>
        <w:lastRenderedPageBreak/>
        <w:t xml:space="preserve">campaigns such as the </w:t>
      </w:r>
      <w:proofErr w:type="spellStart"/>
      <w:r>
        <w:t>Jornada</w:t>
      </w:r>
      <w:proofErr w:type="spellEnd"/>
      <w:r>
        <w:t xml:space="preserve"> Prototype Validation Experiment (PROVE)</w:t>
      </w:r>
      <w:r w:rsidR="00610519">
        <w:t xml:space="preserve"> </w:t>
      </w:r>
      <w:r w:rsidR="00610519">
        <w:fldChar w:fldCharType="begin" w:fldLock="1"/>
      </w:r>
      <w:r w:rsidR="00EF4B3C">
        <w:instrText>ADDIN CSL_CITATION {"citationItems":[{"id":"ITEM-1","itemData":{"DOI":"10.1016/S0034-4257(00)00117-6","ISSN":"00344257","author":[{"dropping-particle":"","family":"Privette","given":"J.L","non-dropping-particle":"","parse-names":false,"suffix":""},{"dropping-particle":"","family":"Asner","given":"G.P","non-dropping-particle":"","parse-names":false,"suffix":""},{"dropping-particle":"","family":"Conel","given":"J","non-dropping-particle":"","parse-names":false,"suffix":""},{"dropping-particle":"","family":"Huemmrich","given":"K.F","non-dropping-particle":"","parse-names":false,"suffix":""},{"dropping-particle":"","family":"Olson","given":"R","non-dropping-particle":"","parse-names":false,"suffix":""},{"dropping-particle":"","family":"Rango","given":"A","non-dropping-particle":"","parse-names":false,"suffix":""},{"dropping-particle":"","family":"Rahman","given":"A.F","non-dropping-particle":"","parse-names":false,"suffix":""},{"dropping-particle":"","family":"Thome","given":"K","non-dropping-particle":"","parse-names":false,"suffix":""},{"dropping-particle":"","family":"Walter-Shea","given":"E.A","non-dropping-particle":"","parse-names":false,"suffix":""}],"container-title":"Remote Sensing of Environment","id":"ITEM-1","issue":"1","issued":{"date-parts":[["2000","10"]]},"page":"1-12","title":"The EOS Prototype Validation Exercise (PROVE) at Jornada","type":"article-journal","volume":"74"},"uris":["http://www.mendeley.com/documents/?uuid=c4ef35e0-c1be-3c60-859a-c937f7c580a6"]}],"mendeley":{"formattedCitation":"[22]","plainTextFormattedCitation":"[22]","previouslyFormattedCitation":"[27]"},"properties":{"noteIndex":0},"schema":"https://github.com/citation-style-language/schema/raw/master/csl-citation.json"}</w:instrText>
      </w:r>
      <w:r w:rsidR="00610519">
        <w:fldChar w:fldCharType="separate"/>
      </w:r>
      <w:r w:rsidR="00EF4B3C" w:rsidRPr="00EF4B3C">
        <w:rPr>
          <w:noProof/>
        </w:rPr>
        <w:t>[22]</w:t>
      </w:r>
      <w:r w:rsidR="00610519">
        <w:fldChar w:fldCharType="end"/>
      </w:r>
      <w:r w:rsidR="00F36DAB">
        <w:t>.</w:t>
      </w:r>
      <w:r w:rsidR="00500B18">
        <w:t xml:space="preserve"> </w:t>
      </w:r>
      <w:r>
        <w:t xml:space="preserve">The products considered within the </w:t>
      </w:r>
      <w:proofErr w:type="spellStart"/>
      <w:r>
        <w:t>BigFoot</w:t>
      </w:r>
      <w:proofErr w:type="spellEnd"/>
      <w:r>
        <w:t xml:space="preserve"> project included land cover, LAI, FAPAR, and net primary production (NPP).</w:t>
      </w:r>
      <w:r w:rsidR="00500B18">
        <w:t xml:space="preserve"> </w:t>
      </w:r>
      <w:r>
        <w:t xml:space="preserve">The project involved the collection of </w:t>
      </w:r>
      <w:r w:rsidR="00EF4B3C">
        <w:t>in situ</w:t>
      </w:r>
      <w:r>
        <w:t xml:space="preserve"> measurements at four 5 km x 5 km sites in the United States, covering deciduous broadleaf forest, cropland, grassland and evergreen needleleaf forest.</w:t>
      </w:r>
      <w:r w:rsidR="00500B18">
        <w:t xml:space="preserve"> </w:t>
      </w:r>
      <w:r>
        <w:t>Each site was also equipped with an eddy covariance flux tower.</w:t>
      </w:r>
      <w:r w:rsidR="00500B18">
        <w:t xml:space="preserve"> </w:t>
      </w:r>
      <w:r>
        <w:t xml:space="preserve">The sampling design was explicitly designed to capture spatial variation within plots of 25 m x 25 m, enabling </w:t>
      </w:r>
      <w:r w:rsidR="00EF4B3C">
        <w:t>in situ</w:t>
      </w:r>
      <w:r>
        <w:t xml:space="preserve"> measurements to be upscaled to the flux tower footprint and MODIS spatial resolution, making use of Landsat </w:t>
      </w:r>
      <w:r w:rsidR="00CE075F">
        <w:t>Enhanced Thematic Mapper (</w:t>
      </w:r>
      <w:r>
        <w:t>ETM+</w:t>
      </w:r>
      <w:r w:rsidR="00CE075F">
        <w:t>)</w:t>
      </w:r>
      <w:r>
        <w:t xml:space="preserve"> data</w:t>
      </w:r>
      <w:r w:rsidR="00610519">
        <w:t xml:space="preserve"> </w:t>
      </w:r>
      <w:r w:rsidR="00610519">
        <w:fldChar w:fldCharType="begin" w:fldLock="1"/>
      </w:r>
      <w:r w:rsidR="00EF4B3C">
        <w:instrText>ADDIN CSL_CITATION {"citationItems":[{"id":"ITEM-1","itemData":{"ISBN":"0071601201","author":[{"dropping-particle":"","family":"Campbell","given":"J.L.","non-dropping-particle":"","parse-names":false,"suffix":""},{"dropping-particle":"","family":"Burrows","given":"S.","non-dropping-particle":"","parse-names":false,"suffix":""},{"dropping-particle":"","family":"Gower","given":"S.T.","non-dropping-particle":"","parse-names":false,"suffix":""},{"dropping-particle":"","family":"Cohen","given":"W.B.","non-dropping-particle":"","parse-names":false,"suffix":""}],"edition":"2.1","id":"ITEM-1","issued":{"date-parts":[["1999"]]},"publisher":"Oak Ridge National Laboratory","publisher-place":"Oak Ridge, Tennessee, United States","title":"BigFoot: Characterizing Land Cover, LAI and NPP at the Landscape Scale for EOS/MODIS Validation - Field Manual","type":"book"},"uris":["http://www.mendeley.com/documents/?uuid=4cdb44be-ab3a-4ff7-946c-9367392fe2aa"]}],"mendeley":{"formattedCitation":"[23]","plainTextFormattedCitation":"[23]","previouslyFormattedCitation":"[28]"},"properties":{"noteIndex":0},"schema":"https://github.com/citation-style-language/schema/raw/master/csl-citation.json"}</w:instrText>
      </w:r>
      <w:r w:rsidR="00610519">
        <w:fldChar w:fldCharType="separate"/>
      </w:r>
      <w:r w:rsidR="00EF4B3C" w:rsidRPr="00EF4B3C">
        <w:rPr>
          <w:noProof/>
        </w:rPr>
        <w:t>[23]</w:t>
      </w:r>
      <w:r w:rsidR="00610519">
        <w:fldChar w:fldCharType="end"/>
      </w:r>
      <w:r>
        <w:t>.</w:t>
      </w:r>
    </w:p>
    <w:p w14:paraId="5F320CB0" w14:textId="77777777" w:rsidR="00E17DD2" w:rsidRDefault="00E17DD2" w:rsidP="00491F1D">
      <w:pPr>
        <w:spacing w:after="0"/>
      </w:pPr>
    </w:p>
    <w:p w14:paraId="1E1DA98F" w14:textId="77777777" w:rsidR="00E17DD2" w:rsidRPr="00DB1978" w:rsidRDefault="00E17DD2" w:rsidP="00476577">
      <w:pPr>
        <w:pStyle w:val="Heading4"/>
        <w:ind w:left="851"/>
      </w:pPr>
      <w:r w:rsidRPr="00DB1978">
        <w:t>Southern African Regional Science Initiative (SAFARI-2000)</w:t>
      </w:r>
    </w:p>
    <w:p w14:paraId="72FEA2D2" w14:textId="77777777" w:rsidR="00E17DD2" w:rsidRPr="00A85D5A" w:rsidRDefault="00E17DD2" w:rsidP="00491F1D">
      <w:pPr>
        <w:spacing w:after="0"/>
      </w:pPr>
    </w:p>
    <w:p w14:paraId="2DB94442" w14:textId="661C1B9D" w:rsidR="00E17DD2" w:rsidRDefault="00E17DD2" w:rsidP="00F92F9B">
      <w:pPr>
        <w:spacing w:line="360" w:lineRule="auto"/>
        <w:jc w:val="both"/>
      </w:pPr>
      <w:r>
        <w:t>The Southern African Regional Science Initiative (SAFARI-2000) was developed to investigate the linkages between land and atmospheric processes in the Southern African region.</w:t>
      </w:r>
      <w:r w:rsidR="00500B18">
        <w:t xml:space="preserve"> </w:t>
      </w:r>
      <w:r>
        <w:t xml:space="preserve">Within the project, several field sites were established along the International Geosphere Biosphere Programme (IGBP) </w:t>
      </w:r>
      <w:proofErr w:type="spellStart"/>
      <w:r>
        <w:t>Kalahri</w:t>
      </w:r>
      <w:proofErr w:type="spellEnd"/>
      <w:r>
        <w:t xml:space="preserve"> Transect, covering equatorial/subtropical forest and arid scrubland</w:t>
      </w:r>
      <w:r w:rsidR="00610519">
        <w:t xml:space="preserve"> </w:t>
      </w:r>
      <w:r w:rsidR="00610519">
        <w:fldChar w:fldCharType="begin" w:fldLock="1"/>
      </w:r>
      <w:r w:rsidR="00EF4B3C">
        <w:instrText>ADDIN CSL_CITATION {"citationItems":[{"id":"ITEM-1","itemData":{"ISBN":"0780352076","author":[{"dropping-particle":"","family":"Swap","given":"Robert J","non-dropping-particle":"","parse-names":false,"suffix":""},{"dropping-particle":"","family":"Privette","given":"Jeffrey L","non-dropping-particle":"","parse-names":false,"suffix":""}],"container-title":"Proceedings of the 1999 IEEE International Geoscience and Remote Sensing Symposium","id":"ITEM-1","issued":{"date-parts":[["1999"]]},"publisher":"Institute of Electrical and Electronics Engineers","publisher-place":"Hamburg, Germany","title":"Overview of the Southern African Regional Science Initiative - SAFARI 2000","type":"paper-conference"},"uris":["http://www.mendeley.com/documents/?uuid=81cab29d-5176-4b7e-85f1-7e7c6a33b9c0"]}],"mendeley":{"formattedCitation":"[24]","plainTextFormattedCitation":"[24]","previouslyFormattedCitation":"[29]"},"properties":{"noteIndex":0},"schema":"https://github.com/citation-style-language/schema/raw/master/csl-citation.json"}</w:instrText>
      </w:r>
      <w:r w:rsidR="00610519">
        <w:fldChar w:fldCharType="separate"/>
      </w:r>
      <w:r w:rsidR="00EF4B3C" w:rsidRPr="00EF4B3C">
        <w:rPr>
          <w:noProof/>
        </w:rPr>
        <w:t>[24]</w:t>
      </w:r>
      <w:r w:rsidR="00610519">
        <w:fldChar w:fldCharType="end"/>
      </w:r>
      <w:r>
        <w:t>.</w:t>
      </w:r>
      <w:r w:rsidR="00500B18">
        <w:t xml:space="preserve"> </w:t>
      </w:r>
      <w:r>
        <w:t xml:space="preserve">In a series of campaigns, </w:t>
      </w:r>
      <w:r w:rsidR="00EF4B3C">
        <w:t>in situ</w:t>
      </w:r>
      <w:r>
        <w:t xml:space="preserve"> LAI measurements were performed over a 1 km x 1 km area (enabling comparison to MODIS).</w:t>
      </w:r>
      <w:r w:rsidR="00500B18">
        <w:t xml:space="preserve"> </w:t>
      </w:r>
      <w:r>
        <w:t>Measurements were conducted every 25 m along three transects of 750 m, whilst intensive sampling occurred every 50 m within a nested 250 m x 300 m gri</w:t>
      </w:r>
      <w:r w:rsidR="00F36DAB">
        <w:t>d</w:t>
      </w:r>
      <w:r w:rsidR="00610519">
        <w:t xml:space="preserve"> </w:t>
      </w:r>
      <w:r w:rsidR="00610519">
        <w:fldChar w:fldCharType="begin" w:fldLock="1"/>
      </w:r>
      <w:r w:rsidR="00EF4B3C">
        <w:instrText>ADDIN CSL_CITATION {"citationItems":[{"id":"ITEM-1","itemData":{"DOI":"10.1016/S0034-4257(02)00058-5","ISBN":"0034-4257","ISSN":"00344257","PMID":"16","abstract":"The development of appropriate ground-based validation techniques is critical to assessing uncertainties associated with satellite data-based products. In this paper, the second of a two-part series, we present a method for validation of the Moderate Resolution Imaging Spectroradiometer Leaf Area Index (MODIS LAI) product with emphasis on the sampling strategy for field data collection. Using a hierarchical scene model, we divided 30-m resolution LAI and NDVI images from Maun (Botswana), Harvard Forest (USA) and Ruokulahti Forest (Finland) into individual scale images of classes, region and pixel. Isolating the effects associated with different landscape scales through decomposition of semivariograms not only shows the relative contribution of different characteristic scales to the overall variation, but also displays the spatial structure of the different scales within a scene. We find that (1) patterns of variance at the class, region and pixel scale at these sites are different with respect to the dominance in order of the three levels of landscape organization within a scene; (2) the spatial structure of LAI shows similarity across the three sites, that is, ranges of semivariograms from scale of pixel, region and class are less than 1000 m. Knowledge gained from these analyses aids in formulation of sampling strategies for validation of biophysical products derived from moderate resolution sensors such as MODIS. For a homogeneous (within class) site, where the scales of class and region account for most of the spatial variation, a sampling strategy should focus more on using accurate land cover maps and selection of regions. However, for a heterogeneous (within class) site, accurate point measurements and GPS readings are needed. © 2002 Elsevier Science Inc. All rights reserved.","author":[{"dropping-particle":"","family":"Tian","given":"Yuhong","non-dropping-particle":"","parse-names":false,"suffix":""},{"dropping-particle":"","family":"Woodcock","given":"Curtis E.","non-dropping-particle":"","parse-names":false,"suffix":""},{"dropping-particle":"","family":"Wang","given":"Yujie","non-dropping-particle":"","parse-names":false,"suffix":""},{"dropping-particle":"","family":"Privette","given":"Jeff L.","non-dropping-particle":"","parse-names":false,"suffix":""},{"dropping-particle":"V.","family":"Shabanov","given":"Nikolay","non-dropping-particle":"","parse-names":false,"suffix":""},{"dropping-particle":"","family":"Zhou","given":"Liming","non-dropping-particle":"","parse-names":false,"suffix":""},{"dropping-particle":"","family":"Zhang","given":"Yu","non-dropping-particle":"","parse-names":false,"suffix":""},{"dropping-particle":"","family":"Buermann","given":"Wolfgang","non-dropping-particle":"","parse-names":false,"suffix":""},{"dropping-particle":"","family":"Dong","given":"Jiarui","non-dropping-particle":"","parse-names":false,"suffix":""},{"dropping-particle":"","family":"Veikkanen","given":"Brita","non-dropping-particle":"","parse-names":false,"suffix":""},{"dropping-particle":"","family":"Häme","given":"Tuomas","non-dropping-particle":"","parse-names":false,"suffix":""},{"dropping-particle":"","family":"Andersson","given":"Kaj","non-dropping-particle":"","parse-names":false,"suffix":""},{"dropping-particle":"","family":"Ozdogan","given":"Mutlu","non-dropping-particle":"","parse-names":false,"suffix":""},{"dropping-particle":"","family":"Knyazikhin","given":"Yuri","non-dropping-particle":"","parse-names":false,"suffix":""},{"dropping-particle":"","family":"Myneni","given":"Ranga B.","non-dropping-particle":"","parse-names":false,"suffix":""}],"container-title":"Remote Sensing of Environment","id":"ITEM-1","issue":"3","issued":{"date-parts":[["2002","12"]]},"page":"431-441","title":"Multiscale analysis and validation of the MODIS LAI product II. Sampling strategy","type":"article-journal","volume":"83"},"uris":["http://www.mendeley.com/documents/?uuid=1b355d0d-8fa9-366f-a826-fc88a881d1f0"]}],"mendeley":{"formattedCitation":"[25]","plainTextFormattedCitation":"[25]","previouslyFormattedCitation":"[30]"},"properties":{"noteIndex":0},"schema":"https://github.com/citation-style-language/schema/raw/master/csl-citation.json"}</w:instrText>
      </w:r>
      <w:r w:rsidR="00610519">
        <w:fldChar w:fldCharType="separate"/>
      </w:r>
      <w:r w:rsidR="00EF4B3C" w:rsidRPr="00EF4B3C">
        <w:rPr>
          <w:noProof/>
        </w:rPr>
        <w:t>[25]</w:t>
      </w:r>
      <w:r w:rsidR="00610519">
        <w:fldChar w:fldCharType="end"/>
      </w:r>
      <w:r>
        <w:t>.</w:t>
      </w:r>
    </w:p>
    <w:p w14:paraId="377C5618" w14:textId="77777777" w:rsidR="00E17DD2" w:rsidRPr="00DB1978" w:rsidRDefault="00E17DD2" w:rsidP="00491F1D">
      <w:pPr>
        <w:spacing w:after="0"/>
        <w:rPr>
          <w:rFonts w:asciiTheme="majorHAnsi" w:hAnsiTheme="majorHAnsi" w:cstheme="majorHAnsi"/>
          <w:color w:val="0066B7" w:themeColor="accent1" w:themeShade="80"/>
        </w:rPr>
      </w:pPr>
    </w:p>
    <w:p w14:paraId="37FFA073" w14:textId="77777777" w:rsidR="00E17DD2" w:rsidRPr="00DB1978" w:rsidRDefault="00E17DD2" w:rsidP="0083359B">
      <w:pPr>
        <w:pStyle w:val="Heading4"/>
        <w:ind w:left="851"/>
      </w:pPr>
      <w:r w:rsidRPr="00DB1978">
        <w:t xml:space="preserve">Validation of Land European </w:t>
      </w:r>
      <w:r w:rsidRPr="00476577">
        <w:t>Remote</w:t>
      </w:r>
      <w:r w:rsidRPr="00DB1978">
        <w:t xml:space="preserve"> Sensing Instruments (VALERI)</w:t>
      </w:r>
    </w:p>
    <w:p w14:paraId="64BB2B6D" w14:textId="77777777" w:rsidR="00E17DD2" w:rsidRDefault="00E17DD2" w:rsidP="00491F1D">
      <w:pPr>
        <w:spacing w:after="0" w:line="360" w:lineRule="auto"/>
      </w:pPr>
    </w:p>
    <w:p w14:paraId="7B7DD1A8" w14:textId="0BC5FCD7" w:rsidR="00E17DD2" w:rsidRDefault="00E17DD2" w:rsidP="00F92F9B">
      <w:pPr>
        <w:spacing w:line="360" w:lineRule="auto"/>
        <w:jc w:val="both"/>
      </w:pPr>
      <w:r>
        <w:t xml:space="preserve">The Validation of Land European Remote Sensing Instruments (VALERI) project was developed by the </w:t>
      </w:r>
      <w:r>
        <w:rPr>
          <w:iCs/>
        </w:rPr>
        <w:t>Centre N</w:t>
      </w:r>
      <w:r w:rsidRPr="001D6944">
        <w:rPr>
          <w:iCs/>
        </w:rPr>
        <w:t xml:space="preserve">ational </w:t>
      </w:r>
      <w:proofErr w:type="spellStart"/>
      <w:r w:rsidRPr="001D6944">
        <w:rPr>
          <w:iCs/>
        </w:rPr>
        <w:t>d'É</w:t>
      </w:r>
      <w:r>
        <w:rPr>
          <w:iCs/>
        </w:rPr>
        <w:t>tudes</w:t>
      </w:r>
      <w:proofErr w:type="spellEnd"/>
      <w:r>
        <w:rPr>
          <w:iCs/>
        </w:rPr>
        <w:t xml:space="preserve"> </w:t>
      </w:r>
      <w:proofErr w:type="spellStart"/>
      <w:r>
        <w:rPr>
          <w:iCs/>
        </w:rPr>
        <w:t>S</w:t>
      </w:r>
      <w:r w:rsidRPr="001D6944">
        <w:rPr>
          <w:iCs/>
        </w:rPr>
        <w:t>patiales</w:t>
      </w:r>
      <w:proofErr w:type="spellEnd"/>
      <w:r>
        <w:t xml:space="preserve"> (CNES) and the </w:t>
      </w:r>
      <w:proofErr w:type="spellStart"/>
      <w:r>
        <w:t>Institut</w:t>
      </w:r>
      <w:proofErr w:type="spellEnd"/>
      <w:r>
        <w:t xml:space="preserve"> National de </w:t>
      </w:r>
      <w:r w:rsidR="00501D98">
        <w:t>Recherche</w:t>
      </w:r>
      <w:r>
        <w:t xml:space="preserve"> </w:t>
      </w:r>
      <w:proofErr w:type="spellStart"/>
      <w:r>
        <w:t>Agronomique</w:t>
      </w:r>
      <w:proofErr w:type="spellEnd"/>
      <w:r>
        <w:t xml:space="preserve"> (INRA).</w:t>
      </w:r>
      <w:r w:rsidR="00500B18">
        <w:t xml:space="preserve"> </w:t>
      </w:r>
      <w:r>
        <w:t>It was designed to provide high spatial resolution reference maps of LAI, FAPAR, and</w:t>
      </w:r>
      <w:r w:rsidR="00CE075F">
        <w:t xml:space="preserve"> the</w:t>
      </w:r>
      <w:r>
        <w:t xml:space="preserve"> </w:t>
      </w:r>
      <w:r w:rsidR="00CE075F">
        <w:t>fraction of vegetation cover (</w:t>
      </w:r>
      <w:r>
        <w:t>FCOVER</w:t>
      </w:r>
      <w:r w:rsidR="00CE075F">
        <w:t>)</w:t>
      </w:r>
      <w:r>
        <w:t xml:space="preserve"> for the purpose of satellite-derived vegetation product validation, making use of </w:t>
      </w:r>
      <w:r w:rsidR="00EF4B3C">
        <w:t>in situ</w:t>
      </w:r>
      <w:r>
        <w:t xml:space="preserve"> measurements.</w:t>
      </w:r>
      <w:r w:rsidR="00500B18">
        <w:t xml:space="preserve"> </w:t>
      </w:r>
      <w:r>
        <w:t xml:space="preserve">The project focused on the development of an effective methodological framework, and offered a pool of instrumentation for performing </w:t>
      </w:r>
      <w:r w:rsidR="00EF4B3C">
        <w:t>in situ</w:t>
      </w:r>
      <w:r>
        <w:t xml:space="preserve"> measurements</w:t>
      </w:r>
      <w:r w:rsidR="00610519">
        <w:t xml:space="preserve"> </w:t>
      </w:r>
      <w:r w:rsidR="00610519">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610519">
        <w:fldChar w:fldCharType="separate"/>
      </w:r>
      <w:r w:rsidR="00610519">
        <w:rPr>
          <w:noProof/>
        </w:rPr>
        <w:t>[10]</w:t>
      </w:r>
      <w:r w:rsidR="00610519">
        <w:fldChar w:fldCharType="end"/>
      </w:r>
      <w:r>
        <w:t>.</w:t>
      </w:r>
      <w:r w:rsidR="00500B18">
        <w:t xml:space="preserve"> </w:t>
      </w:r>
      <w:r>
        <w:t>By leveraging a large network of international partners, a total of 53 campaigns were carried out at 33 sites within the VALERI project, covering 21 counties across Africa, Asia, Europe, North America, Oceania, and South America.</w:t>
      </w:r>
      <w:r w:rsidR="00500B18">
        <w:t xml:space="preserve"> </w:t>
      </w:r>
      <w:r>
        <w:t xml:space="preserve">The </w:t>
      </w:r>
      <w:proofErr w:type="gramStart"/>
      <w:r w:rsidR="00EF4B3C">
        <w:t>in situ</w:t>
      </w:r>
      <w:proofErr w:type="gramEnd"/>
      <w:r>
        <w:t xml:space="preserve"> measurements collected in each campaign were processed by INRA to derive high spatial resolution reference maps covering a 3 km x 3 km area.</w:t>
      </w:r>
    </w:p>
    <w:p w14:paraId="24E10ACD" w14:textId="77777777" w:rsidR="00E17DD2" w:rsidRPr="004F2CD7" w:rsidRDefault="00E17DD2" w:rsidP="00491F1D">
      <w:pPr>
        <w:spacing w:after="0"/>
        <w:jc w:val="both"/>
        <w:rPr>
          <w:rFonts w:cstheme="minorHAnsi"/>
        </w:rPr>
      </w:pPr>
    </w:p>
    <w:p w14:paraId="68681C2F" w14:textId="77777777" w:rsidR="00E17DD2" w:rsidRPr="00DB1978" w:rsidRDefault="00E17DD2" w:rsidP="0083359B">
      <w:pPr>
        <w:pStyle w:val="Heading4"/>
        <w:ind w:left="851"/>
      </w:pPr>
      <w:r w:rsidRPr="00DB1978">
        <w:t>Implementation of Multiscale Agricultural Indicators Exploiting Sentinels (</w:t>
      </w:r>
      <w:proofErr w:type="spellStart"/>
      <w:r w:rsidRPr="00DB1978">
        <w:t>ImagineS</w:t>
      </w:r>
      <w:proofErr w:type="spellEnd"/>
      <w:r w:rsidRPr="00DB1978">
        <w:t>)</w:t>
      </w:r>
    </w:p>
    <w:p w14:paraId="7D0E1C60" w14:textId="77777777" w:rsidR="00E17DD2" w:rsidRDefault="00E17DD2" w:rsidP="00491F1D">
      <w:pPr>
        <w:spacing w:after="0"/>
      </w:pPr>
    </w:p>
    <w:p w14:paraId="21637EE5" w14:textId="70963990" w:rsidR="00E17DD2" w:rsidRDefault="00E17DD2" w:rsidP="00F92F9B">
      <w:pPr>
        <w:spacing w:line="360" w:lineRule="auto"/>
        <w:jc w:val="both"/>
      </w:pPr>
      <w:r>
        <w:lastRenderedPageBreak/>
        <w:t>The Implementation of Multiscale Agricultural Indicators Exploring Sentinels (</w:t>
      </w:r>
      <w:proofErr w:type="spellStart"/>
      <w:r>
        <w:t>ImagineS</w:t>
      </w:r>
      <w:proofErr w:type="spellEnd"/>
      <w:r>
        <w:t>) project was designed to support the Copernicus Global Land Service (C</w:t>
      </w:r>
      <w:r w:rsidR="001E1279">
        <w:t>G</w:t>
      </w:r>
      <w:r>
        <w:t>LS), and focussed on developing the processing chains required to generate global LAI, FAPAR and FCOVER products from PROBA-V at a spatial resolution of 300 m.</w:t>
      </w:r>
      <w:r w:rsidR="00500B18">
        <w:t xml:space="preserve"> </w:t>
      </w:r>
      <w:r>
        <w:t xml:space="preserve">To assess the performance of these processing chains, </w:t>
      </w:r>
      <w:r w:rsidR="00EF4B3C">
        <w:t>in situ</w:t>
      </w:r>
      <w:r>
        <w:t xml:space="preserve"> measurements were performed in 46 campaigns covering 20 sites between 2013 and 2016, in collaboration with a range of international partners.</w:t>
      </w:r>
      <w:r w:rsidR="00500B18">
        <w:t xml:space="preserve"> </w:t>
      </w:r>
      <w:r>
        <w:t xml:space="preserve">Local teams followed data collection protocols designed to comply with the recommendations of the </w:t>
      </w:r>
      <w:r w:rsidR="00B96F5C">
        <w:t>Committee on Earth Observation Satellites (</w:t>
      </w:r>
      <w:r>
        <w:t>CEOS</w:t>
      </w:r>
      <w:r w:rsidR="00B96F5C">
        <w:t>)</w:t>
      </w:r>
      <w:r>
        <w:t xml:space="preserve"> </w:t>
      </w:r>
      <w:r w:rsidR="00B96F5C">
        <w:t>Working Group on Calibration and Validation (</w:t>
      </w:r>
      <w:r>
        <w:t>WGCV</w:t>
      </w:r>
      <w:r w:rsidR="00B96F5C">
        <w:t>)</w:t>
      </w:r>
      <w:r>
        <w:t xml:space="preserve"> </w:t>
      </w:r>
      <w:r w:rsidR="00B96F5C">
        <w:t>Land Product Validation (</w:t>
      </w:r>
      <w:r>
        <w:t>LPV</w:t>
      </w:r>
      <w:r w:rsidR="00B96F5C">
        <w:t>) sub-group</w:t>
      </w:r>
      <w:r>
        <w:t xml:space="preserve">, and as in the VALERI project, these </w:t>
      </w:r>
      <w:r w:rsidR="00EF4B3C">
        <w:t>in situ</w:t>
      </w:r>
      <w:r>
        <w:t xml:space="preserve"> measurements were processed by the Earth Observation Laboratory (EOLAB) to derive high spatial resolution reference maps covering a 3 km x 3 km area.</w:t>
      </w:r>
      <w:r w:rsidR="00500B18">
        <w:t xml:space="preserve"> </w:t>
      </w:r>
      <w:r>
        <w:t xml:space="preserve">Upscaling was achieved using Landsat 8 </w:t>
      </w:r>
      <w:r w:rsidR="00B96F5C">
        <w:t>Operational Land Imager (</w:t>
      </w:r>
      <w:r>
        <w:t>OLI</w:t>
      </w:r>
      <w:r w:rsidR="00B96F5C">
        <w:t>)</w:t>
      </w:r>
      <w:r>
        <w:t xml:space="preserve"> data.</w:t>
      </w:r>
    </w:p>
    <w:p w14:paraId="0107DFF3" w14:textId="77777777" w:rsidR="00E17DD2" w:rsidRDefault="00E17DD2" w:rsidP="00491F1D">
      <w:pPr>
        <w:spacing w:after="0"/>
        <w:jc w:val="both"/>
      </w:pPr>
    </w:p>
    <w:p w14:paraId="26272F11" w14:textId="77777777" w:rsidR="00E17DD2" w:rsidRPr="00DB1978" w:rsidRDefault="00E17DD2" w:rsidP="0083359B">
      <w:pPr>
        <w:pStyle w:val="Heading4"/>
        <w:ind w:left="851"/>
      </w:pPr>
      <w:r w:rsidRPr="00DB1978">
        <w:t>DIRECT 2.0</w:t>
      </w:r>
    </w:p>
    <w:p w14:paraId="48456516" w14:textId="77777777" w:rsidR="00E17DD2" w:rsidRPr="0044740B" w:rsidRDefault="00E17DD2" w:rsidP="00491F1D">
      <w:pPr>
        <w:spacing w:after="0"/>
      </w:pPr>
    </w:p>
    <w:p w14:paraId="2943CE07" w14:textId="26790E8E" w:rsidR="00E17DD2" w:rsidRDefault="00E17DD2" w:rsidP="00F92F9B">
      <w:pPr>
        <w:spacing w:line="360" w:lineRule="auto"/>
        <w:jc w:val="both"/>
      </w:pPr>
      <w:r>
        <w:t xml:space="preserve">The CEOS WGCV LPV DIRECT database is one of the largest collections of </w:t>
      </w:r>
      <w:r w:rsidR="00EF4B3C">
        <w:t>in situ</w:t>
      </w:r>
      <w:r>
        <w:t xml:space="preserve"> measurements for validating satellite-derived vegetation products.</w:t>
      </w:r>
      <w:r w:rsidR="00500B18">
        <w:t xml:space="preserve"> </w:t>
      </w:r>
      <w:r>
        <w:t xml:space="preserve">The database represents a collection of </w:t>
      </w:r>
      <w:r w:rsidR="00EF4B3C">
        <w:t>in situ</w:t>
      </w:r>
      <w:r>
        <w:t xml:space="preserve"> data obtained in the previously described projects, in addition to efforts by Boston University, the University of Alberta, the Canadian Centre for Remote Sensing (CCRS), EOLAB, the Environmental Protection Agency (EPA), and ES</w:t>
      </w:r>
      <w:r w:rsidR="00FA0EEA">
        <w:t xml:space="preserve">A </w:t>
      </w:r>
      <w:r w:rsidR="00610519">
        <w:fldChar w:fldCharType="begin" w:fldLock="1"/>
      </w:r>
      <w:r w:rsidR="00EF4B3C">
        <w:instrText>ADDIN CSL_CITATION {"citationItems":[{"id":"ITEM-1","itemData":{"DOI":"10.1029/2007JG000635","ISBN":"0148-0227","ISSN":"01480227","abstract":"This study investigates the performances of four major global Leaf\\nArea Index (LAI) products at 1/11.2 degrees spatial sampling and\\na monthly time step: ECOCLIMAP climatology, GLOBCARBON (from SPOT/VEGETATION\\nand ATSR/AATSR), CYCLOPES (from SPOT/VEGETATION) and MODIS Collection\\n4 (main algorithm, from MODIS/TERRA). These products were intercompared\\nduring the 2001 - 2003 period over the BELMANIP network of sites.\\nTheir uncertainty was assessed by comparison with 56 LAI reference\\nmaps derived from ground measurements. CYCLOPES and MODIS depict\\nrealistic spatial variations at continental scale, while ECOCLIMAP\\npoorly captures surface spatial heterogeneity, and GLOBCARBON tends\\nto display erratic variations. ECOCLIMAP and GLOBCARBON show the\\nhighest frequency of successful retrievals while MODIS and CYCLOPES\\nretrievals are frequently missing in winter over northern latitudes\\nand over the equatorial belt. CYCLOPES and MODIS describe consistent\\ntemporal profiles over most vegetation types, while ECOCLIMAP does\\nnot show any interannual variations, and GLOBCARBON can exhibit temporal\\ninstability during the growing season over forests. The CYCLOPES,\\nMODIS, and GLOBCARBON LAI values agree better over croplands and\\ngrasslands than over forests, where differences in vegetation structure\\nrepresentation between algorithms and surface reflectance uncertainties\\nlead to substantial discrepancies between products. CYCLOPES does\\nnot reach high enough LAI values to properly characterize forests.\\nIn contrast, the other products have sufficient dynamic range of\\nLAI to describe the global variability of LAI. Overall, CYCLOPES\\nis the most similar product to the LAI reference maps. However, more\\naccurate ground measurements and better representation of the global\\nand seasonal variability of vegetation are required to refine this\\nresult.","author":[{"dropping-particle":"","family":"Garrigues","given":"S.","non-dropping-particle":"","parse-names":false,"suffix":""},{"dropping-particle":"","family":"Lacaze","given":"R.","non-dropping-particle":"","parse-names":false,"suffix":""},{"dropping-particle":"","family":"Baret","given":"F.","non-dropping-particle":"","parse-names":false,"suffix":""},{"dropping-particle":"","family":"Morisette","given":"J. T.","non-dropping-particle":"","parse-names":false,"suffix":""},{"dropping-particle":"","family":"Weiss","given":"M.","non-dropping-particle":"","parse-names":false,"suffix":""},{"dropping-particle":"","family":"Nickeson","given":"J. E.","non-dropping-particle":"","parse-names":false,"suffix":""},{"dropping-particle":"","family":"Fernandes","given":"R.","non-dropping-particle":"","parse-names":false,"suffix":""},{"dropping-particle":"","family":"Plummer","given":"S.","non-dropping-particle":"","parse-names":false,"suffix":""},{"dropping-particle":"V.","family":"Shabanov","given":"N.","non-dropping-particle":"","parse-names":false,"suffix":""},{"dropping-particle":"","family":"Myneni","given":"R. B.","non-dropping-particle":"","parse-names":false,"suffix":""},{"dropping-particle":"","family":"Knyazikhin","given":"Y.","non-dropping-particle":"","parse-names":false,"suffix":""},{"dropping-particle":"","family":"Yang","given":"W.","non-dropping-particle":"","parse-names":false,"suffix":""}],"container-title":"Journal of Geophysical Research","id":"ITEM-1","issued":{"date-parts":[["2008","6"]]},"page":"G02028","title":"Validation and intercomparison of global Leaf Area Index products derived from remote sensing data","type":"article-journal","volume":"113"},"uris":["http://www.mendeley.com/documents/?uuid=97bee3c8-d558-45cd-82b9-803ba0a5acfb"]},{"id":"ITEM-2","itemData":{"DOI":"10.1016/j.rse.2013.02.030","ISBN":"0034-4257","ISSN":"00344257","abstract":"This paper describes the scientific validation of the first version of global biophysical products (i.e., leaf area index, fraction of absorbed photosynthetically active radiation and fraction of vegetation cover), namely GEOV1, developed in the framework of the geoland-2/BioPar core mapping service at 1. km spatial resolution and 10-days temporal frequency. The strategy follows the recommendations of the CEOS/WGCV Land Product Validation for LAI global products validation. Several criteria of performance were evaluated, including continuity, spatial and temporal consistency, dynamic range of retrievals, statistical analysis per biome type, precision and accuracy. The spatial and temporal consistencies of GEOV1 products were assessed by intercomparison with reference global products (MODIS c5, CYCLOPES v3.1, GLOBCARBON v2 LAI, and JRC SeaWIFS FAPAR) over a global network of homogeneous sites (BELMANIP-2) during the 2003-2005 period. The accuracy of GEOV1 was evaluated against a number of available ground reference maps. Our results show that GEOV1 products present reliable spatial distribution, smooth temporal profiles which are stable from year to year, good dynamic range with reliable magnitude for bare areas and dense forests, and optimal performances with ground-based maps. GEOV1 outperforms the quality of reference global products in most of the examined criteria, and constitutes a step forward in the development of consistent and accurate global biophysical variables within the context of the land monitoring core service of GMES. © 2013 Elsevier Inc.","author":[{"dropping-particle":"","family":"Camacho","given":"Fernando","non-dropping-particle":"","parse-names":false,"suffix":""},{"dropping-particle":"","family":"Cernicharo","given":"Jesús","non-dropping-particle":"","parse-names":false,"suffix":""},{"dropping-particle":"","family":"Lacaze","given":"Roselyne","non-dropping-particle":"","parse-names":false,"suffix":""},{"dropping-particle":"","family":"Baret","given":"Frédéric","non-dropping-particle":"","parse-names":false,"suffix":""},{"dropping-particle":"","family":"Weiss","given":"Marie","non-dropping-particle":"","parse-names":false,"suffix":""}],"container-title":"Remote Sensing of Environment","id":"ITEM-2","issued":{"date-parts":[["2013","10"]]},"page":"310-329","title":"GEOV1: LAI, FAPAR essential climate variables and FCOVER global time series capitalizing over existing products. Part 2: Validation and intercomparison with reference products","type":"article-journal","volume":"137"},"uris":["http://www.mendeley.com/documents/?uuid=a5f28fdf-e790-47df-bcb1-a93361bb6da3"]}],"mendeley":{"formattedCitation":"[26], [27]","plainTextFormattedCitation":"[26], [27]","previouslyFormattedCitation":"[3], [7]"},"properties":{"noteIndex":0},"schema":"https://github.com/citation-style-language/schema/raw/master/csl-citation.json"}</w:instrText>
      </w:r>
      <w:r w:rsidR="00610519">
        <w:fldChar w:fldCharType="separate"/>
      </w:r>
      <w:r w:rsidR="00EF4B3C" w:rsidRPr="00EF4B3C">
        <w:rPr>
          <w:noProof/>
        </w:rPr>
        <w:t>[26], [27]</w:t>
      </w:r>
      <w:r w:rsidR="00610519">
        <w:fldChar w:fldCharType="end"/>
      </w:r>
      <w:r>
        <w:t>.</w:t>
      </w:r>
      <w:r w:rsidR="00500B18">
        <w:t xml:space="preserve"> </w:t>
      </w:r>
      <w:r>
        <w:t>Now in its second version (DIRECT 2.0), it contains data from 242 campaigns over 140 sites, spanning from 2000 to 2017.</w:t>
      </w:r>
    </w:p>
    <w:p w14:paraId="2943BA36" w14:textId="77777777" w:rsidR="00E17DD2" w:rsidRPr="004F2CD7" w:rsidRDefault="00E17DD2" w:rsidP="00491F1D">
      <w:pPr>
        <w:spacing w:after="0"/>
        <w:jc w:val="both"/>
        <w:rPr>
          <w:rFonts w:cstheme="minorHAnsi"/>
          <w:color w:val="0066B7" w:themeColor="accent1" w:themeShade="80"/>
        </w:rPr>
      </w:pPr>
    </w:p>
    <w:p w14:paraId="264B7107" w14:textId="77777777" w:rsidR="00E17DD2" w:rsidRPr="00DB1978" w:rsidRDefault="00E17DD2" w:rsidP="0083359B">
      <w:pPr>
        <w:pStyle w:val="Heading4"/>
        <w:ind w:left="851"/>
      </w:pPr>
      <w:r w:rsidRPr="00DB1978">
        <w:t>Ground Based Observations for Validation of Copernicus Land Products (GBOV)</w:t>
      </w:r>
    </w:p>
    <w:p w14:paraId="373BD0FE" w14:textId="77777777" w:rsidR="00E17DD2" w:rsidRPr="004D13CD" w:rsidRDefault="00E17DD2" w:rsidP="00491F1D">
      <w:pPr>
        <w:spacing w:after="0"/>
        <w:rPr>
          <w:color w:val="0066B7" w:themeColor="accent1" w:themeShade="80"/>
        </w:rPr>
      </w:pPr>
    </w:p>
    <w:p w14:paraId="086FBF73" w14:textId="280C0B65" w:rsidR="00E17DD2" w:rsidRDefault="00E17DD2" w:rsidP="00F92F9B">
      <w:pPr>
        <w:spacing w:line="360" w:lineRule="auto"/>
        <w:jc w:val="both"/>
      </w:pPr>
      <w:r w:rsidRPr="001C1120">
        <w:t>The most recent direct validation initiative is the Ground Based Observations for Validation of Copernicus Land Products (GBOV) project.</w:t>
      </w:r>
      <w:r w:rsidR="00500B18">
        <w:t xml:space="preserve"> </w:t>
      </w:r>
      <w:r w:rsidRPr="001C1120">
        <w:t xml:space="preserve">The project was recently initiated by the European </w:t>
      </w:r>
      <w:r w:rsidR="003E0371" w:rsidRPr="001C1120">
        <w:t>Commission’s</w:t>
      </w:r>
      <w:r w:rsidRPr="001C1120">
        <w:t xml:space="preserve"> Joint Research Centre (JRC</w:t>
      </w:r>
      <w:proofErr w:type="gramStart"/>
      <w:r w:rsidRPr="001C1120">
        <w:t>), and</w:t>
      </w:r>
      <w:proofErr w:type="gramEnd"/>
      <w:r w:rsidRPr="001C1120">
        <w:t xml:space="preserve"> aims to develop and distribute robust </w:t>
      </w:r>
      <w:r w:rsidR="00EF4B3C">
        <w:t>in situ</w:t>
      </w:r>
      <w:r w:rsidRPr="001C1120">
        <w:t xml:space="preserve"> datasets for the purpose of direct validation.</w:t>
      </w:r>
      <w:r w:rsidR="00500B18">
        <w:t xml:space="preserve"> </w:t>
      </w:r>
      <w:r>
        <w:t>Within the project, r</w:t>
      </w:r>
      <w:r w:rsidRPr="001C1120">
        <w:t xml:space="preserve">aw observations from a range of existing networks </w:t>
      </w:r>
      <w:r>
        <w:t>are</w:t>
      </w:r>
      <w:r w:rsidRPr="001C1120">
        <w:t xml:space="preserve"> collected and processed to provide datasets suitable for validating global albedo, land surface temperature, soil moisture, surface reflectance, and vegetation products.</w:t>
      </w:r>
      <w:r w:rsidR="00500B18">
        <w:t xml:space="preserve"> </w:t>
      </w:r>
      <w:r w:rsidRPr="001C1120">
        <w:t xml:space="preserve">In the case of the vegetation variables, </w:t>
      </w:r>
      <w:r w:rsidR="00EF4B3C">
        <w:t>in situ</w:t>
      </w:r>
      <w:r w:rsidRPr="001C1120">
        <w:t xml:space="preserve"> measurements </w:t>
      </w:r>
      <w:r>
        <w:t>are currently</w:t>
      </w:r>
      <w:r w:rsidRPr="001C1120">
        <w:t xml:space="preserve"> derived from raw</w:t>
      </w:r>
      <w:r w:rsidR="00B96F5C">
        <w:t xml:space="preserve"> </w:t>
      </w:r>
      <w:r w:rsidR="00CE075F">
        <w:t>DHP</w:t>
      </w:r>
      <w:r w:rsidRPr="001C1120">
        <w:t xml:space="preserve"> collected by the National Ecological Observatory Network (NEON) in the United States. T</w:t>
      </w:r>
      <w:r>
        <w:t xml:space="preserve">hese </w:t>
      </w:r>
      <w:r w:rsidR="00EF4B3C">
        <w:t>in situ</w:t>
      </w:r>
      <w:r w:rsidRPr="001C1120">
        <w:t xml:space="preserve"> measurements </w:t>
      </w:r>
      <w:r>
        <w:t>are then</w:t>
      </w:r>
      <w:r w:rsidRPr="001C1120">
        <w:t xml:space="preserve"> upscaled using Landsat 8 OLI and Sentinel-2 </w:t>
      </w:r>
      <w:r w:rsidR="00B96F5C">
        <w:t>Multispectral Instrument (</w:t>
      </w:r>
      <w:r w:rsidRPr="001C1120">
        <w:t>MSI</w:t>
      </w:r>
      <w:r w:rsidR="00B96F5C">
        <w:t>)</w:t>
      </w:r>
      <w:r w:rsidRPr="001C1120">
        <w:t xml:space="preserve"> data.</w:t>
      </w:r>
      <w:r w:rsidR="00500B18">
        <w:t xml:space="preserve"> </w:t>
      </w:r>
      <w:r w:rsidRPr="001C1120">
        <w:t>In the first year of the project, 744 3 km x 3 km high spatial resolution reference maps suitable for validating LAI, FAPAR and FCOVER products have been produced, covering 20 sites between 2013 and 2017.</w:t>
      </w:r>
    </w:p>
    <w:p w14:paraId="0E6724B6" w14:textId="77777777" w:rsidR="00581951" w:rsidRPr="00DB1978" w:rsidRDefault="00581951" w:rsidP="00491F1D">
      <w:pPr>
        <w:spacing w:after="0"/>
        <w:jc w:val="both"/>
        <w:rPr>
          <w:rFonts w:asciiTheme="majorHAnsi" w:hAnsiTheme="majorHAnsi" w:cstheme="majorHAnsi"/>
        </w:rPr>
      </w:pPr>
    </w:p>
    <w:p w14:paraId="50BEF722" w14:textId="73D4755A" w:rsidR="0044586D" w:rsidRPr="00DB1978" w:rsidRDefault="00A7764E" w:rsidP="0083359B">
      <w:pPr>
        <w:pStyle w:val="Heading3"/>
      </w:pPr>
      <w:bookmarkStart w:id="27" w:name="_Toc43388055"/>
      <w:r w:rsidRPr="00DB1978">
        <w:lastRenderedPageBreak/>
        <w:t xml:space="preserve">Indirect </w:t>
      </w:r>
      <w:r w:rsidR="00476577">
        <w:t>V</w:t>
      </w:r>
      <w:r w:rsidRPr="00DB1978">
        <w:t>alidation</w:t>
      </w:r>
      <w:bookmarkEnd w:id="27"/>
    </w:p>
    <w:p w14:paraId="38D133DC" w14:textId="77777777" w:rsidR="00E17DD2" w:rsidRPr="00E17DD2" w:rsidRDefault="00E17DD2" w:rsidP="00491F1D">
      <w:pPr>
        <w:spacing w:after="0"/>
      </w:pPr>
    </w:p>
    <w:p w14:paraId="3F808425" w14:textId="5DDEB71D" w:rsidR="008A6219" w:rsidRDefault="005559AD" w:rsidP="00F92F9B">
      <w:pPr>
        <w:spacing w:line="360" w:lineRule="auto"/>
        <w:jc w:val="both"/>
      </w:pPr>
      <w:r>
        <w:t xml:space="preserve">Indirect validation refers to the </w:t>
      </w:r>
      <w:r w:rsidR="008A6219">
        <w:t>inter</w:t>
      </w:r>
      <w:r w:rsidR="00195D5F">
        <w:t>-</w:t>
      </w:r>
      <w:r w:rsidR="008A6219">
        <w:t>compari</w:t>
      </w:r>
      <w:r w:rsidR="00581951">
        <w:t>s</w:t>
      </w:r>
      <w:r w:rsidR="008A6219">
        <w:t>on of satellite</w:t>
      </w:r>
      <w:r w:rsidR="0063084E">
        <w:t>-der</w:t>
      </w:r>
      <w:r w:rsidR="00581951">
        <w:t>iv</w:t>
      </w:r>
      <w:r w:rsidR="0063084E">
        <w:t>ed</w:t>
      </w:r>
      <w:r w:rsidR="008A6219">
        <w:t xml:space="preserve"> </w:t>
      </w:r>
      <w:r>
        <w:t>products generated using different instruments and/or retrieval algorithms.</w:t>
      </w:r>
      <w:r w:rsidR="00500B18">
        <w:t xml:space="preserve"> </w:t>
      </w:r>
      <w:r w:rsidR="008A6219">
        <w:t>These</w:t>
      </w:r>
      <w:r>
        <w:t xml:space="preserve"> activities </w:t>
      </w:r>
      <w:r w:rsidR="008A6219">
        <w:t>enable</w:t>
      </w:r>
      <w:r w:rsidR="00F53E47">
        <w:t xml:space="preserve"> agreement between </w:t>
      </w:r>
      <w:r w:rsidR="008A6219">
        <w:t xml:space="preserve">the different </w:t>
      </w:r>
      <w:r w:rsidR="00F53E47">
        <w:t>products</w:t>
      </w:r>
      <w:r w:rsidR="008A6219">
        <w:t xml:space="preserve"> to be assessed, providing</w:t>
      </w:r>
      <w:r w:rsidR="00F53E47">
        <w:t xml:space="preserve"> information on their </w:t>
      </w:r>
      <w:r w:rsidR="008A6219">
        <w:t xml:space="preserve">relative </w:t>
      </w:r>
      <w:r w:rsidR="00F53E47">
        <w:t>performance</w:t>
      </w:r>
      <w:r w:rsidR="008A6219">
        <w:t>.</w:t>
      </w:r>
      <w:r w:rsidR="00500B18">
        <w:t xml:space="preserve"> </w:t>
      </w:r>
      <w:r w:rsidR="008A6219">
        <w:t xml:space="preserve">Such information is </w:t>
      </w:r>
      <w:r w:rsidR="00B33D05">
        <w:t xml:space="preserve">typically </w:t>
      </w:r>
      <w:r w:rsidR="008A6219">
        <w:t>provided by means of:</w:t>
      </w:r>
    </w:p>
    <w:p w14:paraId="12F97824" w14:textId="3304A395" w:rsidR="008A6219" w:rsidRDefault="008A6219" w:rsidP="00F92F9B">
      <w:pPr>
        <w:pStyle w:val="ListParagraph"/>
        <w:numPr>
          <w:ilvl w:val="0"/>
          <w:numId w:val="4"/>
        </w:numPr>
        <w:spacing w:line="360" w:lineRule="auto"/>
        <w:jc w:val="both"/>
      </w:pPr>
      <w:r>
        <w:t>Difference maps</w:t>
      </w:r>
    </w:p>
    <w:p w14:paraId="54044C2A" w14:textId="2373C55E" w:rsidR="008A6219" w:rsidRDefault="008A6219" w:rsidP="00F92F9B">
      <w:pPr>
        <w:pStyle w:val="ListParagraph"/>
        <w:numPr>
          <w:ilvl w:val="0"/>
          <w:numId w:val="4"/>
        </w:numPr>
        <w:spacing w:line="360" w:lineRule="auto"/>
        <w:jc w:val="both"/>
      </w:pPr>
      <w:r>
        <w:t>Frequency and cumulative distribution plots</w:t>
      </w:r>
    </w:p>
    <w:p w14:paraId="3F69E190" w14:textId="7380BCA6" w:rsidR="008A6219" w:rsidRDefault="00B33D05" w:rsidP="00F92F9B">
      <w:pPr>
        <w:pStyle w:val="ListParagraph"/>
        <w:numPr>
          <w:ilvl w:val="0"/>
          <w:numId w:val="4"/>
        </w:numPr>
        <w:spacing w:line="360" w:lineRule="auto"/>
        <w:jc w:val="both"/>
      </w:pPr>
      <w:r>
        <w:t xml:space="preserve">Transect and temporal </w:t>
      </w:r>
      <w:r w:rsidR="008A6219">
        <w:t>profiles</w:t>
      </w:r>
    </w:p>
    <w:p w14:paraId="04060E2B" w14:textId="12958B80" w:rsidR="008A6219" w:rsidRDefault="008A6219" w:rsidP="00F92F9B">
      <w:pPr>
        <w:pStyle w:val="ListParagraph"/>
        <w:numPr>
          <w:ilvl w:val="0"/>
          <w:numId w:val="4"/>
        </w:numPr>
        <w:spacing w:line="360" w:lineRule="auto"/>
        <w:jc w:val="both"/>
      </w:pPr>
      <w:r>
        <w:t>Product to product scatter plots</w:t>
      </w:r>
    </w:p>
    <w:p w14:paraId="3120BF83" w14:textId="3B8F467E" w:rsidR="00F53E47" w:rsidRDefault="008A6219" w:rsidP="00F92F9B">
      <w:pPr>
        <w:spacing w:line="360" w:lineRule="auto"/>
        <w:jc w:val="both"/>
      </w:pPr>
      <w:r>
        <w:t>A key</w:t>
      </w:r>
      <w:r w:rsidR="00F53E47">
        <w:t xml:space="preserve"> advantage of indirect validation is the diverse global sampling that can be achieved </w:t>
      </w:r>
      <w:r>
        <w:t>with relative ease.</w:t>
      </w:r>
      <w:r w:rsidR="00500B18">
        <w:t xml:space="preserve"> </w:t>
      </w:r>
      <w:r>
        <w:t xml:space="preserve">When compared to direct validation, indirect validation enables a </w:t>
      </w:r>
      <w:r w:rsidR="00581951">
        <w:t>greater number of sites</w:t>
      </w:r>
      <w:r>
        <w:t xml:space="preserve">, vegetation conditions, </w:t>
      </w:r>
      <w:r w:rsidR="00F53E47">
        <w:t xml:space="preserve">and time periods </w:t>
      </w:r>
      <w:r>
        <w:t>to be covered.</w:t>
      </w:r>
      <w:r w:rsidR="00500B18">
        <w:t xml:space="preserve"> </w:t>
      </w:r>
      <w:r w:rsidR="009435D4">
        <w:t>Nevertheless, its utility depends upon the extent to which the traceability of the data can be described (i.e. how data are processed from L1,</w:t>
      </w:r>
      <w:r w:rsidR="009435D4" w:rsidDel="009435D4">
        <w:t xml:space="preserve"> </w:t>
      </w:r>
      <w:r w:rsidR="009435D4">
        <w:t>in addition to the retrieval algorithms and assumptions adopted by each product).</w:t>
      </w:r>
      <w:r w:rsidR="00500B18">
        <w:t xml:space="preserve"> </w:t>
      </w:r>
      <w:r w:rsidR="009435D4">
        <w:t>The definitions of the products in question must also be carefully considered, as they may represent similar, but ultimately different quantities.</w:t>
      </w:r>
    </w:p>
    <w:p w14:paraId="65F4A8C2" w14:textId="77777777" w:rsidR="002F5796" w:rsidRDefault="002F5796" w:rsidP="00491F1D">
      <w:pPr>
        <w:spacing w:after="0"/>
        <w:jc w:val="both"/>
      </w:pPr>
    </w:p>
    <w:p w14:paraId="51FCB690" w14:textId="50F911FC" w:rsidR="002F5796" w:rsidRPr="00DB1978" w:rsidRDefault="00823885" w:rsidP="0083359B">
      <w:pPr>
        <w:pStyle w:val="Heading3"/>
      </w:pPr>
      <w:bookmarkStart w:id="28" w:name="_Toc43388056"/>
      <w:r w:rsidRPr="00DB1978">
        <w:t xml:space="preserve">Indirect Validation: </w:t>
      </w:r>
      <w:r w:rsidR="002F5796" w:rsidRPr="0083359B">
        <w:t>Networks</w:t>
      </w:r>
      <w:r w:rsidR="002F5796" w:rsidRPr="00DB1978">
        <w:t xml:space="preserve"> and Projects</w:t>
      </w:r>
      <w:bookmarkEnd w:id="28"/>
    </w:p>
    <w:p w14:paraId="1E733AD0" w14:textId="38D9CE78" w:rsidR="0044740B" w:rsidRPr="00DB1978" w:rsidRDefault="0044740B" w:rsidP="00491F1D">
      <w:pPr>
        <w:spacing w:after="0"/>
        <w:rPr>
          <w:rFonts w:asciiTheme="majorHAnsi" w:hAnsiTheme="majorHAnsi" w:cstheme="majorHAnsi"/>
        </w:rPr>
      </w:pPr>
    </w:p>
    <w:p w14:paraId="16D2A764" w14:textId="4F50D22B" w:rsidR="0044740B" w:rsidRPr="00DB1978" w:rsidRDefault="0044740B" w:rsidP="0083359B">
      <w:pPr>
        <w:pStyle w:val="Heading4"/>
        <w:ind w:left="851"/>
      </w:pPr>
      <w:r w:rsidRPr="00DB1978">
        <w:t xml:space="preserve">Benchmark Land Multisite </w:t>
      </w:r>
      <w:r w:rsidRPr="0083359B">
        <w:t>Analysis</w:t>
      </w:r>
      <w:r w:rsidRPr="00DB1978">
        <w:t xml:space="preserve"> and Inter</w:t>
      </w:r>
      <w:r w:rsidR="00E413DE">
        <w:t>-</w:t>
      </w:r>
      <w:r w:rsidRPr="00DB1978">
        <w:t>compari</w:t>
      </w:r>
      <w:r w:rsidR="00707746" w:rsidRPr="00DB1978">
        <w:t>s</w:t>
      </w:r>
      <w:r w:rsidRPr="00DB1978">
        <w:t>on of Products (BELMANIP)</w:t>
      </w:r>
    </w:p>
    <w:p w14:paraId="42C3CA51" w14:textId="77777777" w:rsidR="002F5796" w:rsidRPr="002F5796" w:rsidRDefault="002F5796" w:rsidP="00491F1D">
      <w:pPr>
        <w:spacing w:after="0"/>
      </w:pPr>
    </w:p>
    <w:p w14:paraId="0E2FA517" w14:textId="6F626EC9" w:rsidR="000D4DED" w:rsidRDefault="00F53E47" w:rsidP="00F92F9B">
      <w:pPr>
        <w:spacing w:line="360" w:lineRule="auto"/>
        <w:jc w:val="both"/>
      </w:pPr>
      <w:r>
        <w:t>T</w:t>
      </w:r>
      <w:r w:rsidR="003C776A">
        <w:t xml:space="preserve">he </w:t>
      </w:r>
      <w:r w:rsidR="00F55CD7">
        <w:t>importance</w:t>
      </w:r>
      <w:r>
        <w:t xml:space="preserve"> of representing global conditions in indirect validation efforts</w:t>
      </w:r>
      <w:r w:rsidR="003C776A">
        <w:t xml:space="preserve"> was </w:t>
      </w:r>
      <w:r>
        <w:t xml:space="preserve">recognised by the CEOS WGCV </w:t>
      </w:r>
      <w:r w:rsidR="00122587">
        <w:t xml:space="preserve">LPV sub-group, </w:t>
      </w:r>
      <w:r>
        <w:t>who</w:t>
      </w:r>
      <w:r w:rsidR="008A6219">
        <w:t>,</w:t>
      </w:r>
      <w:r>
        <w:t xml:space="preserve"> in 2006, established a network of sites for product inter</w:t>
      </w:r>
      <w:r w:rsidR="00E413DE">
        <w:t>-</w:t>
      </w:r>
      <w:r>
        <w:t>comparison under the Benchmark Land Multisite Analysis and Inter</w:t>
      </w:r>
      <w:r w:rsidR="00E413DE">
        <w:t>-</w:t>
      </w:r>
      <w:r>
        <w:t>comparison of Products (BELMANIP) initiative.</w:t>
      </w:r>
      <w:r w:rsidR="00500B18">
        <w:t xml:space="preserve"> </w:t>
      </w:r>
      <w:r w:rsidR="008A6219">
        <w:t>Sites</w:t>
      </w:r>
      <w:r>
        <w:t xml:space="preserve"> were selected from existing networks and projects</w:t>
      </w:r>
      <w:r w:rsidR="00B33D05">
        <w:t>, ensuring</w:t>
      </w:r>
      <w:r w:rsidR="008A6219">
        <w:t xml:space="preserve"> that for each latitudinal band</w:t>
      </w:r>
      <w:r w:rsidR="003C776A">
        <w:t xml:space="preserve"> of the globe, </w:t>
      </w:r>
      <w:r w:rsidR="008A6219">
        <w:t xml:space="preserve">a representative proportion of biomes </w:t>
      </w:r>
      <w:r w:rsidR="003C776A">
        <w:t>were</w:t>
      </w:r>
      <w:r w:rsidR="008A6219">
        <w:t xml:space="preserve"> sampled.</w:t>
      </w:r>
      <w:r w:rsidR="00500B18">
        <w:t xml:space="preserve"> </w:t>
      </w:r>
      <w:r w:rsidR="00390E55">
        <w:t xml:space="preserve">Additional constraints were </w:t>
      </w:r>
      <w:r w:rsidR="003C776A">
        <w:t>imposed to ensure</w:t>
      </w:r>
      <w:r w:rsidR="00390E55">
        <w:t xml:space="preserve"> </w:t>
      </w:r>
      <w:r w:rsidR="003C776A">
        <w:t>that sites were flat,</w:t>
      </w:r>
      <w:r w:rsidR="00390E55">
        <w:t xml:space="preserve"> homogeneous over a 10 km x 10 km area, and </w:t>
      </w:r>
      <w:r w:rsidR="003C776A">
        <w:t>minimally</w:t>
      </w:r>
      <w:r w:rsidR="00390E55">
        <w:t xml:space="preserve"> cover</w:t>
      </w:r>
      <w:r w:rsidR="003C776A">
        <w:t>ed</w:t>
      </w:r>
      <w:r w:rsidR="00390E55">
        <w:t xml:space="preserve"> by water bodies and urban settlements</w:t>
      </w:r>
      <w:r w:rsidR="003E0371">
        <w:t xml:space="preserve"> </w:t>
      </w:r>
      <w:r w:rsidR="003E0371">
        <w:fldChar w:fldCharType="begin" w:fldLock="1"/>
      </w:r>
      <w:r w:rsidR="00EF4B3C">
        <w:instrText>ADDIN CSL_CITATION {"citationItems":[{"id":"ITEM-1","itemData":{"DOI":"10.1109/TGRS.2006.876030","ISBN":"0196-2892","ISSN":"0196-2892","PMID":"60","abstract":"This study investigates the representativeness of land cover and leaf area index (LAI) sampled by a global network of sites to be used for the evaluation of land biophysical products, such as LAI or fAPAR, derived from current satellite systems. The networks of sites considered include 100 sites where ground measurements of LAI or fAPAR have been performed for the validation of medium resolution satellite land biophysical products, 188 FLUXNET sites and 52 AERONET sites. All the sites retained had less than 25% of water bodies within a 8times8 km 2 window, and were separated by more than 20 km. The ECOCLIMAP global classification was used to quantify the representativeness of the networks. It allowed describing the Earth's surface with seven main types and proposed a climatology for monthly LAI values at a spatial resolution around 1 km. The site distribution indicates a large over representation of the northern midlatitudes relative to other regions, and an under-representation of bare surfaces, grass, and evergreen broadleaf forests. These three networks represent all together 295 sites after elimination of sites that were too close. They were thus completed by 76 additional sites to improve the representativeness in latitude, longitude, and surface type. This constitutes the BELMANIP network proposed as a benchmark for intercomparison of land biophysical products. Suitable approaches to conducting intercomparison at the sites are recommended","author":[{"dropping-particle":"","family":"Baret","given":"Frédéric","non-dropping-particle":"","parse-names":false,"suffix":""},{"dropping-particle":"","family":"Morissette","given":"J.T.","non-dropping-particle":"","parse-names":false,"suffix":""},{"dropping-particle":"","family":"Fernandes","given":"R.A.","non-dropping-particle":"","parse-names":false,"suffix":""},{"dropping-particle":"","family":"Champeaux","given":"J.L.","non-dropping-particle":"","parse-names":false,"suffix":""},{"dropping-particle":"","family":"Myneni","given":"R.B.","non-dropping-particle":"","parse-names":false,"suffix":""},{"dropping-particle":"","family":"Chen","given":"J.","non-dropping-particle":"","parse-names":false,"suffix":""},{"dropping-particle":"","family":"Plummer","given":"Stephen","non-dropping-particle":"","parse-names":false,"suffix":""},{"dropping-particle":"","family":"Weiss","given":"M.","non-dropping-particle":"","parse-names":false,"suffix":""},{"dropping-particle":"","family":"Bacour","given":"C.","non-dropping-particle":"","parse-names":false,"suffix":""},{"dropping-particle":"","family":"Garrigues","given":"Sébastien","non-dropping-particle":"","parse-names":false,"suffix":""},{"dropping-particle":"","family":"Nickeso","given":"J.E.","non-dropping-particle":"","parse-names":false,"suffix":""}],"container-title":"IEEE Transactions on Geoscience and Remote Sensing","id":"ITEM-1","issue":"7","issued":{"date-parts":[["2006","7"]]},"page":"1794-1803","title":"Evaluation of the representativeness of networks of sites for the global validation and intercomparison of land biophysical products: proposition of the CEOS-BELMANIP","type":"article-journal","volume":"44"},"uris":["http://www.mendeley.com/documents/?uuid=be09657e-1080-4859-a4c8-e2c999807f9f"]}],"mendeley":{"formattedCitation":"[28]","plainTextFormattedCitation":"[28]","previouslyFormattedCitation":"[2]"},"properties":{"noteIndex":0},"schema":"https://github.com/citation-style-language/schema/raw/master/csl-citation.json"}</w:instrText>
      </w:r>
      <w:r w:rsidR="003E0371">
        <w:fldChar w:fldCharType="separate"/>
      </w:r>
      <w:r w:rsidR="00EF4B3C" w:rsidRPr="00EF4B3C">
        <w:rPr>
          <w:noProof/>
        </w:rPr>
        <w:t>[28]</w:t>
      </w:r>
      <w:r w:rsidR="003E0371">
        <w:fldChar w:fldCharType="end"/>
      </w:r>
      <w:r w:rsidR="00390E55">
        <w:t>.</w:t>
      </w:r>
      <w:r w:rsidR="00500B18">
        <w:t xml:space="preserve"> </w:t>
      </w:r>
      <w:r w:rsidR="00655282">
        <w:t>An updated list (BELMANIP2) was released</w:t>
      </w:r>
      <w:r>
        <w:t xml:space="preserve"> in 2009, bringing the total number of sites to 445.</w:t>
      </w:r>
    </w:p>
    <w:p w14:paraId="4E15D62E" w14:textId="2E40FEAB" w:rsidR="003C776A" w:rsidRDefault="004811BA" w:rsidP="00F92F9B">
      <w:pPr>
        <w:spacing w:line="360" w:lineRule="auto"/>
        <w:jc w:val="both"/>
      </w:pPr>
      <w:r>
        <w:t>Several indirect</w:t>
      </w:r>
      <w:r w:rsidR="003C776A">
        <w:t xml:space="preserve"> validation exercises</w:t>
      </w:r>
      <w:r>
        <w:t xml:space="preserve"> have been carried out</w:t>
      </w:r>
      <w:r w:rsidR="003C776A">
        <w:t xml:space="preserve"> over the BELMANIP </w:t>
      </w:r>
      <w:r w:rsidR="003C776A" w:rsidRPr="00BE688E">
        <w:t>sites</w:t>
      </w:r>
      <w:r w:rsidRPr="00BE688E">
        <w:t>,</w:t>
      </w:r>
      <w:r>
        <w:t xml:space="preserve"> </w:t>
      </w:r>
      <w:r w:rsidR="00217FED">
        <w:t>facilitating inter</w:t>
      </w:r>
      <w:r w:rsidR="00E413DE">
        <w:t>-</w:t>
      </w:r>
      <w:r w:rsidR="00217FED">
        <w:t>comparison</w:t>
      </w:r>
      <w:r w:rsidR="00B33D05">
        <w:t xml:space="preserve"> between a wide range of </w:t>
      </w:r>
      <w:r w:rsidR="00A200A0">
        <w:t>satellite-derived vegetation products</w:t>
      </w:r>
      <w:r w:rsidR="00B33D05">
        <w:t>, including:</w:t>
      </w:r>
    </w:p>
    <w:p w14:paraId="6FEB2E7F" w14:textId="3565ECA5" w:rsidR="00A200A0" w:rsidRDefault="004811BA" w:rsidP="00F92F9B">
      <w:pPr>
        <w:pStyle w:val="ListParagraph"/>
        <w:numPr>
          <w:ilvl w:val="0"/>
          <w:numId w:val="5"/>
        </w:numPr>
        <w:spacing w:line="360" w:lineRule="auto"/>
        <w:jc w:val="both"/>
      </w:pPr>
      <w:r>
        <w:t>Carbon Cycle and Change in Land Observational Products from an Ensemble of Satellites (</w:t>
      </w:r>
      <w:r w:rsidR="00A200A0">
        <w:t>CYCLOPES</w:t>
      </w:r>
      <w:r>
        <w:t>)</w:t>
      </w:r>
    </w:p>
    <w:p w14:paraId="2D505FAB" w14:textId="5B75D45D" w:rsidR="00A200A0" w:rsidRDefault="00A200A0" w:rsidP="00F92F9B">
      <w:pPr>
        <w:pStyle w:val="ListParagraph"/>
        <w:numPr>
          <w:ilvl w:val="0"/>
          <w:numId w:val="5"/>
        </w:numPr>
        <w:spacing w:line="360" w:lineRule="auto"/>
        <w:jc w:val="both"/>
      </w:pPr>
      <w:r>
        <w:lastRenderedPageBreak/>
        <w:t>ECOCLIMAP</w:t>
      </w:r>
    </w:p>
    <w:p w14:paraId="4E833807" w14:textId="4A38C9F6" w:rsidR="004811BA" w:rsidRDefault="004811BA" w:rsidP="00F92F9B">
      <w:pPr>
        <w:pStyle w:val="ListParagraph"/>
        <w:numPr>
          <w:ilvl w:val="0"/>
          <w:numId w:val="5"/>
        </w:numPr>
        <w:spacing w:line="360" w:lineRule="auto"/>
        <w:jc w:val="both"/>
      </w:pPr>
      <w:r>
        <w:t>Global Biophysical Products Terrestrial Carbon Studies (GLOBCARBON)</w:t>
      </w:r>
    </w:p>
    <w:p w14:paraId="7FA8B6E2" w14:textId="2AF4169C" w:rsidR="000765C3" w:rsidRDefault="000765C3" w:rsidP="00F92F9B">
      <w:pPr>
        <w:pStyle w:val="ListParagraph"/>
        <w:numPr>
          <w:ilvl w:val="0"/>
          <w:numId w:val="5"/>
        </w:numPr>
        <w:spacing w:line="360" w:lineRule="auto"/>
        <w:jc w:val="both"/>
      </w:pPr>
      <w:r>
        <w:t>Global Land Surface Satellite (GLASS)</w:t>
      </w:r>
    </w:p>
    <w:p w14:paraId="67625285" w14:textId="4C6F7DCD" w:rsidR="00A200A0" w:rsidRDefault="00CE075F" w:rsidP="00F92F9B">
      <w:pPr>
        <w:pStyle w:val="ListParagraph"/>
        <w:numPr>
          <w:ilvl w:val="0"/>
          <w:numId w:val="5"/>
        </w:numPr>
        <w:spacing w:line="360" w:lineRule="auto"/>
        <w:jc w:val="both"/>
      </w:pPr>
      <w:r>
        <w:t>MODIS</w:t>
      </w:r>
    </w:p>
    <w:p w14:paraId="0C4D8CA5" w14:textId="24E6A27F" w:rsidR="00A200A0" w:rsidRDefault="00CE075F" w:rsidP="00F92F9B">
      <w:pPr>
        <w:pStyle w:val="ListParagraph"/>
        <w:numPr>
          <w:ilvl w:val="0"/>
          <w:numId w:val="5"/>
        </w:numPr>
        <w:spacing w:line="360" w:lineRule="auto"/>
        <w:jc w:val="both"/>
      </w:pPr>
      <w:r>
        <w:t>MGVI</w:t>
      </w:r>
    </w:p>
    <w:p w14:paraId="4A5ACB6C" w14:textId="756A2079" w:rsidR="00A200A0" w:rsidRDefault="00A200A0" w:rsidP="00F92F9B">
      <w:pPr>
        <w:pStyle w:val="ListParagraph"/>
        <w:numPr>
          <w:ilvl w:val="0"/>
          <w:numId w:val="5"/>
        </w:numPr>
        <w:spacing w:line="360" w:lineRule="auto"/>
        <w:jc w:val="both"/>
      </w:pPr>
      <w:r>
        <w:t>GEOV1</w:t>
      </w:r>
    </w:p>
    <w:p w14:paraId="55E846CA" w14:textId="202F7719" w:rsidR="001921F1" w:rsidRDefault="004811BA" w:rsidP="007714A0">
      <w:pPr>
        <w:spacing w:line="360" w:lineRule="auto"/>
        <w:jc w:val="both"/>
      </w:pPr>
      <w:r w:rsidRPr="00217FED">
        <w:t>These studies have demonstrated</w:t>
      </w:r>
      <w:r w:rsidR="002052B2" w:rsidRPr="00217FED">
        <w:t>, in some cases, substantial differences between the products.</w:t>
      </w:r>
      <w:r w:rsidR="00500B18">
        <w:t xml:space="preserve"> </w:t>
      </w:r>
      <w:r w:rsidR="002052B2" w:rsidRPr="00217FED">
        <w:t xml:space="preserve">For example, </w:t>
      </w:r>
      <w:r w:rsidR="003E0371">
        <w:fldChar w:fldCharType="begin" w:fldLock="1"/>
      </w:r>
      <w:r w:rsidR="00EF4B3C">
        <w:instrText>ADDIN CSL_CITATION {"citationItems":[{"id":"ITEM-1","itemData":{"DOI":"10.1029/2007JG000635","ISBN":"0148-0227","ISSN":"01480227","abstract":"This study investigates the performances of four major global Leaf\\nArea Index (LAI) products at 1/11.2 degrees spatial sampling and\\na monthly time step: ECOCLIMAP climatology, GLOBCARBON (from SPOT/VEGETATION\\nand ATSR/AATSR), CYCLOPES (from SPOT/VEGETATION) and MODIS Collection\\n4 (main algorithm, from MODIS/TERRA). These products were intercompared\\nduring the 2001 - 2003 period over the BELMANIP network of sites.\\nTheir uncertainty was assessed by comparison with 56 LAI reference\\nmaps derived from ground measurements. CYCLOPES and MODIS depict\\nrealistic spatial variations at continental scale, while ECOCLIMAP\\npoorly captures surface spatial heterogeneity, and GLOBCARBON tends\\nto display erratic variations. ECOCLIMAP and GLOBCARBON show the\\nhighest frequency of successful retrievals while MODIS and CYCLOPES\\nretrievals are frequently missing in winter over northern latitudes\\nand over the equatorial belt. CYCLOPES and MODIS describe consistent\\ntemporal profiles over most vegetation types, while ECOCLIMAP does\\nnot show any interannual variations, and GLOBCARBON can exhibit temporal\\ninstability during the growing season over forests. The CYCLOPES,\\nMODIS, and GLOBCARBON LAI values agree better over croplands and\\ngrasslands than over forests, where differences in vegetation structure\\nrepresentation between algorithms and surface reflectance uncertainties\\nlead to substantial discrepancies between products. CYCLOPES does\\nnot reach high enough LAI values to properly characterize forests.\\nIn contrast, the other products have sufficient dynamic range of\\nLAI to describe the global variability of LAI. Overall, CYCLOPES\\nis the most similar product to the LAI reference maps. However, more\\naccurate ground measurements and better representation of the global\\nand seasonal variability of vegetation are required to refine this\\nresult.","author":[{"dropping-particle":"","family":"Garrigues","given":"S.","non-dropping-particle":"","parse-names":false,"suffix":""},{"dropping-particle":"","family":"Lacaze","given":"R.","non-dropping-particle":"","parse-names":false,"suffix":""},{"dropping-particle":"","family":"Baret","given":"F.","non-dropping-particle":"","parse-names":false,"suffix":""},{"dropping-particle":"","family":"Morisette","given":"J. T.","non-dropping-particle":"","parse-names":false,"suffix":""},{"dropping-particle":"","family":"Weiss","given":"M.","non-dropping-particle":"","parse-names":false,"suffix":""},{"dropping-particle":"","family":"Nickeson","given":"J. E.","non-dropping-particle":"","parse-names":false,"suffix":""},{"dropping-particle":"","family":"Fernandes","given":"R.","non-dropping-particle":"","parse-names":false,"suffix":""},{"dropping-particle":"","family":"Plummer","given":"S.","non-dropping-particle":"","parse-names":false,"suffix":""},{"dropping-particle":"V.","family":"Shabanov","given":"N.","non-dropping-particle":"","parse-names":false,"suffix":""},{"dropping-particle":"","family":"Myneni","given":"R. B.","non-dropping-particle":"","parse-names":false,"suffix":""},{"dropping-particle":"","family":"Knyazikhin","given":"Y.","non-dropping-particle":"","parse-names":false,"suffix":""},{"dropping-particle":"","family":"Yang","given":"W.","non-dropping-particle":"","parse-names":false,"suffix":""}],"container-title":"Journal of Geophysical Research","id":"ITEM-1","issued":{"date-parts":[["2008","6"]]},"page":"G02028","title":"Validation and intercomparison of global Leaf Area Index products derived from remote sensing data","type":"article-journal","volume":"113"},"uris":["http://www.mendeley.com/documents/?uuid=97bee3c8-d558-45cd-82b9-803ba0a5acfb"]}],"mendeley":{"formattedCitation":"[26]","plainTextFormattedCitation":"[26]","previouslyFormattedCitation":"[3]"},"properties":{"noteIndex":0},"schema":"https://github.com/citation-style-language/schema/raw/master/csl-citation.json"}</w:instrText>
      </w:r>
      <w:r w:rsidR="003E0371">
        <w:fldChar w:fldCharType="separate"/>
      </w:r>
      <w:r w:rsidR="00EF4B3C" w:rsidRPr="00EF4B3C">
        <w:rPr>
          <w:noProof/>
        </w:rPr>
        <w:t>[26]</w:t>
      </w:r>
      <w:r w:rsidR="003E0371">
        <w:fldChar w:fldCharType="end"/>
      </w:r>
      <w:r w:rsidR="003E0371">
        <w:t xml:space="preserve"> </w:t>
      </w:r>
      <w:r w:rsidR="000765C3">
        <w:t>f</w:t>
      </w:r>
      <w:r w:rsidR="002052B2" w:rsidRPr="00217FED">
        <w:t>ound that whilst the CYCLOPES and MODIS p</w:t>
      </w:r>
      <w:r w:rsidR="00B10CA5" w:rsidRPr="00217FED">
        <w:t>roducts reflect</w:t>
      </w:r>
      <w:r w:rsidR="002052B2" w:rsidRPr="00217FED">
        <w:t xml:space="preserve"> realistic spatial and temporal variations, the ECOCLIMAP and GLOBCARBON</w:t>
      </w:r>
      <w:r w:rsidR="00B10CA5" w:rsidRPr="00217FED">
        <w:t xml:space="preserve"> products demonstrate</w:t>
      </w:r>
      <w:r w:rsidR="002052B2" w:rsidRPr="00217FED">
        <w:t xml:space="preserve"> comparatively poor consistency.</w:t>
      </w:r>
      <w:r w:rsidR="00500B18">
        <w:t xml:space="preserve"> </w:t>
      </w:r>
      <w:r w:rsidR="00217FED" w:rsidRPr="00217FED">
        <w:t xml:space="preserve">The best agreement </w:t>
      </w:r>
      <w:r w:rsidR="000765C3">
        <w:t>was</w:t>
      </w:r>
      <w:r w:rsidR="00217FED" w:rsidRPr="00217FED">
        <w:t xml:space="preserve"> demonstrated over</w:t>
      </w:r>
      <w:r w:rsidR="002052B2" w:rsidRPr="00217FED">
        <w:t xml:space="preserve"> cropland sites, </w:t>
      </w:r>
      <w:r w:rsidR="00217FED">
        <w:t xml:space="preserve">whilst the worst agreement was demonstrated </w:t>
      </w:r>
      <w:r w:rsidR="002052B2" w:rsidRPr="00217FED">
        <w:t>over forests due to differences in each algorithm’s representation of canopy structure.</w:t>
      </w:r>
      <w:r w:rsidR="00500B18">
        <w:t xml:space="preserve"> </w:t>
      </w:r>
      <w:r w:rsidR="002052B2" w:rsidRPr="00217FED">
        <w:t>When compared to the MODIS product,</w:t>
      </w:r>
      <w:r w:rsidR="000765C3">
        <w:t xml:space="preserve"> </w:t>
      </w:r>
      <w:r w:rsidR="003E0371">
        <w:fldChar w:fldCharType="begin" w:fldLock="1"/>
      </w:r>
      <w:r w:rsidR="00EF4B3C">
        <w:instrText>ADDIN CSL_CITATION {"citationItems":[{"id":"ITEM-1","itemData":{"DOI":"10.1016/j.rse.2007.03.001","ISBN":"0034-4257","ISSN":"00344257","abstract":"The main objective of this paper is the validation of CYCLOPES version 3.1 LAI and fAPAR products. It is achieved by the comparison with MODIS collection 4 and 4.1 products and ECOCLIMAP LAI climatology over the BELMANIP representative set of sites, and with ground measurements over a limited set of sites. Great attention is paid to the consistency of the comparison: for the spatial dimension, product PSF appears to be the main aspect governing the spatial resolution at which the comparison has to be achieved. For CYCLOPES, a minimal size of the sites should be 3 km × 3 km2, while the optimal one is 10 km × 10 km2; regarding the temporal sampling interval and resolution, the problem is much easier to solve when assuming a relatively smooth time course of vegetation characteristics (8-16 days). Great care was also paid to the departure of products from the nominal definition, particularly for LAI where different scales of clumping have to be considered. Results showed that CYCLOPES and MODIS products have generally consistent seasonality, CYCLOPES being however characterized by a smoother temporal evolution as expected. Differences are mainly concentrated on the magnitude of products values, CYCLOPES achieving better performances both for LAI (RMSE = 0.73) and fAPAR (RMSE = 0.10) over the limited number of sites where ground measurements were available. This study also sets a framework to the validation exercise that could be used to evaluate other products or future versions of the same products and contribute to associate quantitative uncertainties as required by the user community. © 2007 Elsevier Inc. All rights reserved.","author":[{"dropping-particle":"","family":"Weiss","given":"Marie","non-dropping-particle":"","parse-names":false,"suffix":""},{"dropping-particle":"","family":"Baret","given":"Frédéric","non-dropping-particle":"","parse-names":false,"suffix":""},{"dropping-particle":"","family":"Garrigues","given":"Sébastien","non-dropping-particle":"","parse-names":false,"suffix":""},{"dropping-particle":"","family":"Lacaze","given":"Roselyne","non-dropping-particle":"","parse-names":false,"suffix":""}],"container-title":"Remote Sensing of Environment","id":"ITEM-1","issue":"3","issued":{"date-parts":[["2007","10"]]},"page":"317-331","title":"LAI and fAPAR CYCLOPES global products derived from VEGETATION. Part 2: validation and comparison with MODIS collection 4 products","type":"article-journal","volume":"110"},"uris":["http://www.mendeley.com/documents/?uuid=c48fafeb-8ee6-4696-892a-8f8cfbfbf121"]}],"mendeley":{"formattedCitation":"[29]","plainTextFormattedCitation":"[29]","previouslyFormattedCitation":"[4]"},"properties":{"noteIndex":0},"schema":"https://github.com/citation-style-language/schema/raw/master/csl-citation.json"}</w:instrText>
      </w:r>
      <w:r w:rsidR="003E0371">
        <w:fldChar w:fldCharType="separate"/>
      </w:r>
      <w:r w:rsidR="00EF4B3C" w:rsidRPr="00EF4B3C">
        <w:rPr>
          <w:noProof/>
        </w:rPr>
        <w:t>[29]</w:t>
      </w:r>
      <w:r w:rsidR="003E0371">
        <w:fldChar w:fldCharType="end"/>
      </w:r>
      <w:r w:rsidR="00FA0EEA">
        <w:t xml:space="preserve"> </w:t>
      </w:r>
      <w:r w:rsidR="002052B2" w:rsidRPr="00217FED">
        <w:t xml:space="preserve">found that the CYCLOPES product </w:t>
      </w:r>
      <w:r w:rsidR="00B10CA5" w:rsidRPr="00217FED">
        <w:t>is</w:t>
      </w:r>
      <w:r w:rsidR="002052B2" w:rsidRPr="00217FED">
        <w:t xml:space="preserve"> characterised by smoother seasonality, but suffers from underestimation </w:t>
      </w:r>
      <w:r w:rsidR="00B10CA5" w:rsidRPr="00217FED">
        <w:t xml:space="preserve">of higher values </w:t>
      </w:r>
      <w:r w:rsidR="002052B2" w:rsidRPr="00217FED">
        <w:t>over forest environments.</w:t>
      </w:r>
      <w:r w:rsidR="00500B18">
        <w:t xml:space="preserve"> </w:t>
      </w:r>
      <w:r w:rsidR="00B10CA5" w:rsidRPr="00217FED">
        <w:t>However, at lower values,</w:t>
      </w:r>
      <w:r w:rsidR="00B33D05">
        <w:t xml:space="preserve"> </w:t>
      </w:r>
      <w:r w:rsidR="00B10CA5" w:rsidRPr="00217FED">
        <w:t xml:space="preserve">the MODIS product </w:t>
      </w:r>
      <w:r w:rsidR="000765C3">
        <w:t>tends</w:t>
      </w:r>
      <w:r w:rsidR="00B10CA5" w:rsidRPr="00217FED">
        <w:t xml:space="preserve"> to overestimate, particularly in the case of FAPAR.</w:t>
      </w:r>
      <w:r w:rsidR="00500B18">
        <w:t xml:space="preserve"> </w:t>
      </w:r>
      <w:r w:rsidR="00B10CA5" w:rsidRPr="00217FED">
        <w:t xml:space="preserve">Similar results </w:t>
      </w:r>
      <w:r w:rsidR="000765C3">
        <w:t>were</w:t>
      </w:r>
      <w:r w:rsidR="00B10CA5" w:rsidRPr="00217FED">
        <w:t xml:space="preserve"> presented by</w:t>
      </w:r>
      <w:r w:rsidR="000765C3">
        <w:t xml:space="preserve"> </w:t>
      </w:r>
      <w:r w:rsidR="003E0371">
        <w:fldChar w:fldCharType="begin" w:fldLock="1"/>
      </w:r>
      <w:r w:rsidR="00EF4B3C">
        <w:instrText>ADDIN CSL_CITATION {"citationItems":[{"id":"ITEM-1","itemData":{"DOI":"10.3390/rs6054190","ISBN":"2072-4292","ISSN":"2072-4292","abstract":"The OLIVE (On Line Interactive Validation Exercise) platform is dedicated to the validation of global biophysical products such as LAI (Leaf Area Index) and FAPAR (Fraction of Absorbed Photosynthetically Active Radiation). It was developed under the framework of the CEOS (Committee on Earth Observation Satellites) Land Product Validation (LPV) sub-group. OLIVE has three main objectives: (i) to provide a consistent and centralized information on the definition of the biophysical variables, as well as a description of the main available products and their performances (ii) to provide transparency and traceability by an online validation procedure compliant with the CEOS LPV and QA4EO (Quality Assurance for Earth Observation) recommendations (iii) and finally, to provide a tool to benchmark new products, update product validation results and host new ground measurement sites for accuracy assessment. The functionalities and algorithms of OLIVE are described to provide full transparency of its procedures to the community. The validation process and typical results are illustrated for three FAPAR products: GEOV1 (VEGETATION sensor), MGVIo (MERIS sensor) and MODIS collection 5 FPAR. OLIVE is available on the European Space Agency CAL/VAL portal), including full documentation, validation exercise results, and product extracts.","author":[{"dropping-particle":"","family":"Weiss","given":"Marie","non-dropping-particle":"","parse-names":false,"suffix":""},{"dropping-particle":"","family":"Baret","given":"Frédéric","non-dropping-particle":"","parse-names":false,"suffix":""},{"dropping-particle":"","family":"Block","given":"Tom","non-dropping-particle":"","parse-names":false,"suffix":""},{"dropping-particle":"","family":"Koetz","given":"Benjamin","non-dropping-particle":"","parse-names":false,"suffix":""},{"dropping-particle":"","family":"Burini","given":"Alessandro","non-dropping-particle":"","parse-names":false,"suffix":""},{"dropping-particle":"","family":"Scholze","given":"Bettina","non-dropping-particle":"","parse-names":false,"suffix":""},{"dropping-particle":"","family":"Lecharpentier","given":"Patrice","non-dropping-particle":"","parse-names":false,"suffix":""},{"dropping-particle":"","family":"Brockmann","given":"Carsten","non-dropping-particle":"","parse-names":false,"suffix":""},{"dropping-particle":"","family":"Fernandes","given":"Richard","non-dropping-particle":"","parse-names":false,"suffix":""},{"dropping-particle":"","family":"Plummer","given":"Stephen","non-dropping-particle":"","parse-names":false,"suffix":""},{"dropping-particle":"","family":"Myneni","given":"Ranga","non-dropping-particle":"","parse-names":false,"suffix":""},{"dropping-particle":"","family":"Gobron","given":"Nadine","non-dropping-particle":"","parse-names":false,"suffix":""},{"dropping-particle":"","family":"Nightingale","given":"Joanne","non-dropping-particle":"","parse-names":false,"suffix":""},{"dropping-particle":"","family":"Schaepman-Strub","given":"Gabriela","non-dropping-particle":"","parse-names":false,"suffix":""},{"dropping-particle":"","family":"Camacho","given":"Fernando","non-dropping-particle":"","parse-names":false,"suffix":""},{"dropping-particle":"","family":"Sanchez-Azofeifa","given":"Arturo","non-dropping-particle":"","parse-names":false,"suffix":""}],"container-title":"Remote Sensing","id":"ITEM-1","issue":"5","issued":{"date-parts":[["2014","5","5"]]},"page":"4190-4216","title":"On Line Validation Exercise (OLIVE): A Web Based Service for the Validation of Medium Resolution Land Products. Application to FAPAR Products","type":"article-journal","volume":"6"},"uris":["http://www.mendeley.com/documents/?uuid=05361408-570a-3ada-9ddc-4e8c1b329a11"]}],"mendeley":{"formattedCitation":"[30]","plainTextFormattedCitation":"[30]","previouslyFormattedCitation":"[5]"},"properties":{"noteIndex":0},"schema":"https://github.com/citation-style-language/schema/raw/master/csl-citation.json"}</w:instrText>
      </w:r>
      <w:r w:rsidR="003E0371">
        <w:fldChar w:fldCharType="separate"/>
      </w:r>
      <w:r w:rsidR="00EF4B3C" w:rsidRPr="00EF4B3C">
        <w:rPr>
          <w:noProof/>
        </w:rPr>
        <w:t>[30]</w:t>
      </w:r>
      <w:r w:rsidR="003E0371">
        <w:fldChar w:fldCharType="end"/>
      </w:r>
      <w:r w:rsidR="003E0371">
        <w:t xml:space="preserve"> and </w:t>
      </w:r>
      <w:r w:rsidR="003E0371">
        <w:fldChar w:fldCharType="begin" w:fldLock="1"/>
      </w:r>
      <w:r w:rsidR="003E0371">
        <w:instrText>ADDIN CSL_CITATION {"citationItems":[{"id":"ITEM-1","itemData":{"DOI":"10.3390/rs8060460","ISBN":"8618610011","ISSN":"2072-4292","abstract":"As the latest version of Moderate Resolution Imaging Spectroradiometer (MODIS) Leaf Area Index (LAI) and Fraction of Photosynthetically Active Radiation (FPAR) products, Collection 6 (C6) has been distributed since August 2015. This collection is evaluated in this two-part series with the goal of assessing product accuracy, uncertainty and consistency with the previous version. In this first paper, we compare C6 (MOD15A2H) with Collection 5 (C5) to check for consistency and discuss the scale effects associated with changing spatial resolution between the two collections and benefits from improvements to algorithm inputs. Compared with C5, C6 benefits from two improved inputs: (1) L2G–lite surface reflectance at 500 m resolution in place of reflectance at 1 km resolution; and (2) new multi-year land-cover product at 500 m resolution in place of the 1 km static land-cover product. Global and seasonal comparison between C5 and C6 indicates good continuity and consistency for all biome types. Moreover, inter-annual LAI anomalies at the regional scale from C5 and C6 agree well. The proportion of main radiative transfer algorithm retrievals in C6 increased slightly in most biome types, notably including a 17% improvement in evergreen broadleaf forests. With same biome input, the mean RMSE of LAI and FPAR between C5 and C6 at global scale are 0.29 and 0.091, respectively, but biome type disagreement worsens the consistency (LAI: 0.39, FPAR: 0.102). By quantifying the impact of input changes, we find that the improvements of both land-cover and reflectance products improve LAI/FPAR products. Moreover, we find that spatial scale effects due to a resolution change from 1 km to 500 m do not cause any significant differences.","author":[{"dropping-particle":"","family":"Yan","given":"Kai","non-dropping-particle":"","parse-names":false,"suffix":""},{"dropping-particle":"","family":"Park","given":"Taejin","non-dropping-particle":"","parse-names":false,"suffix":""},{"dropping-particle":"","family":"Yan","given":"Guangjian","non-dropping-particle":"","parse-names":false,"suffix":""},{"dropping-particle":"","family":"Liu","given":"Zhao","non-dropping-particle":"","parse-names":false,"suffix":""},{"dropping-particle":"","family":"Yang","given":"Bin","non-dropping-particle":"","parse-names":false,"suffix":""},{"dropping-particle":"","family":"Chen","given":"Chi","non-dropping-particle":"","parse-names":false,"suffix":""},{"dropping-particle":"","family":"Nemani","given":"Ramakrishna","non-dropping-particle":"","parse-names":false,"suffix":""},{"dropping-particle":"","family":"Knyazikhin","given":"Yuri","non-dropping-particle":"","parse-names":false,"suffix":""},{"dropping-particle":"","family":"Myneni","given":"Ranga","non-dropping-particle":"","parse-names":false,"suffix":""}],"container-title":"Remote Sensing","id":"ITEM-1","issue":"6","issued":{"date-parts":[["2016","5","30"]]},"page":"460","title":"Evaluation of MODIS LAI/FPAR Product Collection 6. Part 2: Validation and Intercomparison","type":"article-journal","volume":"8"},"uris":["http://www.mendeley.com/documents/?uuid=faeddfe6-f658-457c-856c-6bda06896bf7"]}],"mendeley":{"formattedCitation":"[6]","plainTextFormattedCitation":"[6]","previouslyFormattedCitation":"[6]"},"properties":{"noteIndex":0},"schema":"https://github.com/citation-style-language/schema/raw/master/csl-citation.json"}</w:instrText>
      </w:r>
      <w:r w:rsidR="003E0371">
        <w:fldChar w:fldCharType="separate"/>
      </w:r>
      <w:r w:rsidR="003E0371">
        <w:rPr>
          <w:noProof/>
        </w:rPr>
        <w:t>[6]</w:t>
      </w:r>
      <w:r w:rsidR="003E0371">
        <w:fldChar w:fldCharType="end"/>
      </w:r>
      <w:r w:rsidR="00B10CA5" w:rsidRPr="00217FED">
        <w:t>, whilst</w:t>
      </w:r>
      <w:r w:rsidR="000765C3">
        <w:t xml:space="preserve"> </w:t>
      </w:r>
      <w:r w:rsidR="003E0371">
        <w:fldChar w:fldCharType="begin" w:fldLock="1"/>
      </w:r>
      <w:r w:rsidR="00EF4B3C">
        <w:instrText>ADDIN CSL_CITATION {"citationItems":[{"id":"ITEM-1","itemData":{"DOI":"10.1016/j.rse.2013.02.030","ISBN":"0034-4257","ISSN":"00344257","abstract":"This paper describes the scientific validation of the first version of global biophysical products (i.e., leaf area index, fraction of absorbed photosynthetically active radiation and fraction of vegetation cover), namely GEOV1, developed in the framework of the geoland-2/BioPar core mapping service at 1. km spatial resolution and 10-days temporal frequency. The strategy follows the recommendations of the CEOS/WGCV Land Product Validation for LAI global products validation. Several criteria of performance were evaluated, including continuity, spatial and temporal consistency, dynamic range of retrievals, statistical analysis per biome type, precision and accuracy. The spatial and temporal consistencies of GEOV1 products were assessed by intercomparison with reference global products (MODIS c5, CYCLOPES v3.1, GLOBCARBON v2 LAI, and JRC SeaWIFS FAPAR) over a global network of homogeneous sites (BELMANIP-2) during the 2003-2005 period. The accuracy of GEOV1 was evaluated against a number of available ground reference maps. Our results show that GEOV1 products present reliable spatial distribution, smooth temporal profiles which are stable from year to year, good dynamic range with reliable magnitude for bare areas and dense forests, and optimal performances with ground-based maps. GEOV1 outperforms the quality of reference global products in most of the examined criteria, and constitutes a step forward in the development of consistent and accurate global biophysical variables within the context of the land monitoring core service of GMES. © 2013 Elsevier Inc.","author":[{"dropping-particle":"","family":"Camacho","given":"Fernando","non-dropping-particle":"","parse-names":false,"suffix":""},{"dropping-particle":"","family":"Cernicharo","given":"Jesús","non-dropping-particle":"","parse-names":false,"suffix":""},{"dropping-particle":"","family":"Lacaze","given":"Roselyne","non-dropping-particle":"","parse-names":false,"suffix":""},{"dropping-particle":"","family":"Baret","given":"Frédéric","non-dropping-particle":"","parse-names":false,"suffix":""},{"dropping-particle":"","family":"Weiss","given":"Marie","non-dropping-particle":"","parse-names":false,"suffix":""}],"container-title":"Remote Sensing of Environment","id":"ITEM-1","issued":{"date-parts":[["2013","10"]]},"page":"310-329","title":"GEOV1: LAI, FAPAR essential climate variables and FCOVER global time series capitalizing over existing products. Part 2: Validation and intercomparison with reference products","type":"article-journal","volume":"137"},"uris":["http://www.mendeley.com/documents/?uuid=a5f28fdf-e790-47df-bcb1-a93361bb6da3"]}],"mendeley":{"formattedCitation":"[27]","plainTextFormattedCitation":"[27]","previouslyFormattedCitation":"[7]"},"properties":{"noteIndex":0},"schema":"https://github.com/citation-style-language/schema/raw/master/csl-citation.json"}</w:instrText>
      </w:r>
      <w:r w:rsidR="003E0371">
        <w:fldChar w:fldCharType="separate"/>
      </w:r>
      <w:r w:rsidR="00EF4B3C" w:rsidRPr="00EF4B3C">
        <w:rPr>
          <w:noProof/>
        </w:rPr>
        <w:t>[27]</w:t>
      </w:r>
      <w:r w:rsidR="003E0371">
        <w:fldChar w:fldCharType="end"/>
      </w:r>
      <w:r w:rsidR="003E0371">
        <w:t xml:space="preserve"> </w:t>
      </w:r>
      <w:r w:rsidR="00B10CA5" w:rsidRPr="00217FED">
        <w:t>demonstrate</w:t>
      </w:r>
      <w:r w:rsidR="000765C3">
        <w:t>d</w:t>
      </w:r>
      <w:r w:rsidR="00B10CA5" w:rsidRPr="00217FED">
        <w:t xml:space="preserve"> that by </w:t>
      </w:r>
      <w:r w:rsidR="00B33D05">
        <w:t xml:space="preserve">using </w:t>
      </w:r>
      <w:r w:rsidR="0063084E">
        <w:t xml:space="preserve">a </w:t>
      </w:r>
      <w:r w:rsidR="00B33D05">
        <w:t>retrieval</w:t>
      </w:r>
      <w:r w:rsidR="00B10CA5" w:rsidRPr="00217FED">
        <w:t xml:space="preserve"> algorithm </w:t>
      </w:r>
      <w:r w:rsidR="00B33D05">
        <w:t xml:space="preserve">trained </w:t>
      </w:r>
      <w:r w:rsidR="00B10CA5" w:rsidRPr="00217FED">
        <w:t>on fused CYCLOPES and MODIS data, the GEOV1 product is able to overcome some of these issues.</w:t>
      </w:r>
      <w:r w:rsidR="00500B18">
        <w:t xml:space="preserve"> </w:t>
      </w:r>
      <w:r w:rsidR="00217FED" w:rsidRPr="00217FED">
        <w:t>In terms of the MGVI,</w:t>
      </w:r>
      <w:r w:rsidR="000765C3">
        <w:t xml:space="preserve"> </w:t>
      </w:r>
      <w:r w:rsidR="003E0371">
        <w:fldChar w:fldCharType="begin" w:fldLock="1"/>
      </w:r>
      <w:r w:rsidR="00EF4B3C">
        <w:instrText>ADDIN CSL_CITATION {"citationItems":[{"id":"ITEM-1","itemData":{"DOI":"10.1016/j.rse.2013.02.030","ISBN":"0034-4257","ISSN":"00344257","abstract":"This paper describes the scientific validation of the first version of global biophysical products (i.e., leaf area index, fraction of absorbed photosynthetically active radiation and fraction of vegetation cover), namely GEOV1, developed in the framework of the geoland-2/BioPar core mapping service at 1. km spatial resolution and 10-days temporal frequency. The strategy follows the recommendations of the CEOS/WGCV Land Product Validation for LAI global products validation. Several criteria of performance were evaluated, including continuity, spatial and temporal consistency, dynamic range of retrievals, statistical analysis per biome type, precision and accuracy. The spatial and temporal consistencies of GEOV1 products were assessed by intercomparison with reference global products (MODIS c5, CYCLOPES v3.1, GLOBCARBON v2 LAI, and JRC SeaWIFS FAPAR) over a global network of homogeneous sites (BELMANIP-2) during the 2003-2005 period. The accuracy of GEOV1 was evaluated against a number of available ground reference maps. Our results show that GEOV1 products present reliable spatial distribution, smooth temporal profiles which are stable from year to year, good dynamic range with reliable magnitude for bare areas and dense forests, and optimal performances with ground-based maps. GEOV1 outperforms the quality of reference global products in most of the examined criteria, and constitutes a step forward in the development of consistent and accurate global biophysical variables within the context of the land monitoring core service of GMES. © 2013 Elsevier Inc.","author":[{"dropping-particle":"","family":"Camacho","given":"Fernando","non-dropping-particle":"","parse-names":false,"suffix":""},{"dropping-particle":"","family":"Cernicharo","given":"Jesús","non-dropping-particle":"","parse-names":false,"suffix":""},{"dropping-particle":"","family":"Lacaze","given":"Roselyne","non-dropping-particle":"","parse-names":false,"suffix":""},{"dropping-particle":"","family":"Baret","given":"Frédéric","non-dropping-particle":"","parse-names":false,"suffix":""},{"dropping-particle":"","family":"Weiss","given":"Marie","non-dropping-particle":"","parse-names":false,"suffix":""}],"container-title":"Remote Sensing of Environment","id":"ITEM-1","issued":{"date-parts":[["2013","10"]]},"page":"310-329","title":"GEOV1: LAI, FAPAR essential climate variables and FCOVER global time series capitalizing over existing products. Part 2: Validation and intercomparison with reference products","type":"article-journal","volume":"137"},"uris":["http://www.mendeley.com/documents/?uuid=a5f28fdf-e790-47df-bcb1-a93361bb6da3"]}],"mendeley":{"formattedCitation":"[27]","plainTextFormattedCitation":"[27]","previouslyFormattedCitation":"[7]"},"properties":{"noteIndex":0},"schema":"https://github.com/citation-style-language/schema/raw/master/csl-citation.json"}</w:instrText>
      </w:r>
      <w:r w:rsidR="003E0371">
        <w:fldChar w:fldCharType="separate"/>
      </w:r>
      <w:r w:rsidR="00EF4B3C" w:rsidRPr="00EF4B3C">
        <w:rPr>
          <w:noProof/>
        </w:rPr>
        <w:t>[27]</w:t>
      </w:r>
      <w:r w:rsidR="003E0371">
        <w:fldChar w:fldCharType="end"/>
      </w:r>
      <w:r w:rsidR="003E0371">
        <w:t xml:space="preserve"> </w:t>
      </w:r>
      <w:r w:rsidR="00217FED" w:rsidRPr="00217FED">
        <w:t>observed underestimation when compared to the GEOV1 product,</w:t>
      </w:r>
      <w:r w:rsidR="00217FED">
        <w:t xml:space="preserve"> and</w:t>
      </w:r>
      <w:r w:rsidR="00217FED" w:rsidRPr="00217FED">
        <w:t xml:space="preserve"> similar results were presented by</w:t>
      </w:r>
      <w:r w:rsidR="000765C3">
        <w:t xml:space="preserve"> </w:t>
      </w:r>
      <w:r w:rsidR="003E0371">
        <w:fldChar w:fldCharType="begin" w:fldLock="1"/>
      </w:r>
      <w:r w:rsidR="00EF4B3C">
        <w:instrText>ADDIN CSL_CITATION {"citationItems":[{"id":"ITEM-1","itemData":{"DOI":"10.3390/rs6054190","ISBN":"2072-4292","ISSN":"2072-4292","abstract":"The OLIVE (On Line Interactive Validation Exercise) platform is dedicated to the validation of global biophysical products such as LAI (Leaf Area Index) and FAPAR (Fraction of Absorbed Photosynthetically Active Radiation). It was developed under the framework of the CEOS (Committee on Earth Observation Satellites) Land Product Validation (LPV) sub-group. OLIVE has three main objectives: (i) to provide a consistent and centralized information on the definition of the biophysical variables, as well as a description of the main available products and their performances (ii) to provide transparency and traceability by an online validation procedure compliant with the CEOS LPV and QA4EO (Quality Assurance for Earth Observation) recommendations (iii) and finally, to provide a tool to benchmark new products, update product validation results and host new ground measurement sites for accuracy assessment. The functionalities and algorithms of OLIVE are described to provide full transparency of its procedures to the community. The validation process and typical results are illustrated for three FAPAR products: GEOV1 (VEGETATION sensor), MGVIo (MERIS sensor) and MODIS collection 5 FPAR. OLIVE is available on the European Space Agency CAL/VAL portal), including full documentation, validation exercise results, and product extracts.","author":[{"dropping-particle":"","family":"Weiss","given":"Marie","non-dropping-particle":"","parse-names":false,"suffix":""},{"dropping-particle":"","family":"Baret","given":"Frédéric","non-dropping-particle":"","parse-names":false,"suffix":""},{"dropping-particle":"","family":"Block","given":"Tom","non-dropping-particle":"","parse-names":false,"suffix":""},{"dropping-particle":"","family":"Koetz","given":"Benjamin","non-dropping-particle":"","parse-names":false,"suffix":""},{"dropping-particle":"","family":"Burini","given":"Alessandro","non-dropping-particle":"","parse-names":false,"suffix":""},{"dropping-particle":"","family":"Scholze","given":"Bettina","non-dropping-particle":"","parse-names":false,"suffix":""},{"dropping-particle":"","family":"Lecharpentier","given":"Patrice","non-dropping-particle":"","parse-names":false,"suffix":""},{"dropping-particle":"","family":"Brockmann","given":"Carsten","non-dropping-particle":"","parse-names":false,"suffix":""},{"dropping-particle":"","family":"Fernandes","given":"Richard","non-dropping-particle":"","parse-names":false,"suffix":""},{"dropping-particle":"","family":"Plummer","given":"Stephen","non-dropping-particle":"","parse-names":false,"suffix":""},{"dropping-particle":"","family":"Myneni","given":"Ranga","non-dropping-particle":"","parse-names":false,"suffix":""},{"dropping-particle":"","family":"Gobron","given":"Nadine","non-dropping-particle":"","parse-names":false,"suffix":""},{"dropping-particle":"","family":"Nightingale","given":"Joanne","non-dropping-particle":"","parse-names":false,"suffix":""},{"dropping-particle":"","family":"Schaepman-Strub","given":"Gabriela","non-dropping-particle":"","parse-names":false,"suffix":""},{"dropping-particle":"","family":"Camacho","given":"Fernando","non-dropping-particle":"","parse-names":false,"suffix":""},{"dropping-particle":"","family":"Sanchez-Azofeifa","given":"Arturo","non-dropping-particle":"","parse-names":false,"suffix":""}],"container-title":"Remote Sensing","id":"ITEM-1","issue":"5","issued":{"date-parts":[["2014","5","5"]]},"page":"4190-4216","title":"On Line Validation Exercise (OLIVE): A Web Based Service for the Validation of Medium Resolution Land Products. Application to FAPAR Products","type":"article-journal","volume":"6"},"uris":["http://www.mendeley.com/documents/?uuid=05361408-570a-3ada-9ddc-4e8c1b329a11"]}],"mendeley":{"formattedCitation":"[30]","plainTextFormattedCitation":"[30]","previouslyFormattedCitation":"[5]"},"properties":{"noteIndex":0},"schema":"https://github.com/citation-style-language/schema/raw/master/csl-citation.json"}</w:instrText>
      </w:r>
      <w:r w:rsidR="003E0371">
        <w:fldChar w:fldCharType="separate"/>
      </w:r>
      <w:r w:rsidR="00EF4B3C" w:rsidRPr="00EF4B3C">
        <w:rPr>
          <w:noProof/>
        </w:rPr>
        <w:t>[30]</w:t>
      </w:r>
      <w:r w:rsidR="003E0371">
        <w:fldChar w:fldCharType="end"/>
      </w:r>
      <w:r w:rsidR="00FA0EEA">
        <w:t xml:space="preserve"> </w:t>
      </w:r>
      <w:r w:rsidR="00217FED" w:rsidRPr="00217FED">
        <w:t>when comparing the MGVI to both the GEOV1 and MODIS products.</w:t>
      </w:r>
      <w:r w:rsidR="00500B18">
        <w:t xml:space="preserve"> </w:t>
      </w:r>
      <w:r w:rsidR="000765C3">
        <w:t>Of the products considered by</w:t>
      </w:r>
      <w:r w:rsidR="003E0371">
        <w:t xml:space="preserve"> </w:t>
      </w:r>
      <w:r w:rsidR="003E0371">
        <w:fldChar w:fldCharType="begin" w:fldLock="1"/>
      </w:r>
      <w:r w:rsidR="00EF4B3C">
        <w:instrText>ADDIN CSL_CITATION {"citationItems":[{"id":"ITEM-1","itemData":{"DOI":"10.3390/rs8050359","ISBN":"8618610011","ISSN":"2072-4292","abstract":"As the latest version of Moderate Resolution Imaging Spectroradiometer (MODIS) Leaf Area Index (LAI) and Fraction of Photosynthetically Active Radiation (FPAR) products, Collection 6 (C6) has been distributed since August 2015. This collection is evaluated in this two-part series with the goal of assessing product accuracy, uncertainty and consistency with the previous version. In this first paper, we compare C6 (MOD15A2H) with Collection 5 (C5) to check for consistency and discuss the scale effects associated with changing spatial resolution between the two collections and benefits from improvements to algorithm inputs. Compared with C5, C6 benefits from two improved inputs: (1) L2G–lite surface reflectance at 500 m resolution in place of reflectance at 1 km resolution; and (2) new multi-year land-cover product at 500 m resolution in place of the 1 km static land-cover product. Global and seasonal comparison between C5 and C6 indicates good continuity and consistency for all biome types. Moreover, inter-annual LAI anomalies at the regional scale from C5 and C6 agree well. The proportion of main radiative transfer algorithm retrievals in C6 increased slightly in most biome types, notably including a 17% improvement in evergreen broadleaf forests. With same biome input, the mean RMSE of LAI and FPAR between C5 and C6 at global scale are 0.29 and 0.091, respectively, but biome type disagreement worsens the consistency (LAI: 0.39, FPAR: 0.102). By quantifying the impact of input changes, we find that the improvements of both land-cover and reflectance products improve LAI/FPAR products. Moreover, we find that spatial scale effects due to a resolution change from 1 km to 500 m do not cause any significant differences.","author":[{"dropping-particle":"","family":"Yan","given":"Kai","non-dropping-particle":"","parse-names":false,"suffix":""},{"dropping-particle":"","family":"Park","given":"Taejin","non-dropping-particle":"","parse-names":false,"suffix":""},{"dropping-particle":"","family":"Yan","given":"Guangjian","non-dropping-particle":"","parse-names":false,"suffix":""},{"dropping-particle":"","family":"Chen","given":"Chi","non-dropping-particle":"","parse-names":false,"suffix":""},{"dropping-particle":"","family":"Yang","given":"Bin","non-dropping-particle":"","parse-names":false,"suffix":""},{"dropping-particle":"","family":"Liu","given":"Zhao","non-dropping-particle":"","parse-names":false,"suffix":""},{"dropping-particle":"","family":"Nemani","given":"Ramakrishna","non-dropping-particle":"","parse-names":false,"suffix":""},{"dropping-particle":"","family":"Knyazikhin","given":"Yuri","non-dropping-particle":"","parse-names":false,"suffix":""},{"dropping-particle":"","family":"Myneni","given":"Ranga","non-dropping-particle":"","parse-names":false,"suffix":""}],"container-title":"Remote Sensing","id":"ITEM-1","issue":"5","issued":{"date-parts":[["2016","4","26"]]},"page":"359","title":"Evaluation of MODIS LAI/FPAR Product Collection 6. Part 1: Consistency and Improvements","type":"article-journal","volume":"8"},"uris":["http://www.mendeley.com/documents/?uuid=cbbd37d3-64bd-4e7c-bc48-a19446124307"]}],"mendeley":{"formattedCitation":"[31]","plainTextFormattedCitation":"[31]","previouslyFormattedCitation":"[8]"},"properties":{"noteIndex":0},"schema":"https://github.com/citation-style-language/schema/raw/master/csl-citation.json"}</w:instrText>
      </w:r>
      <w:r w:rsidR="003E0371">
        <w:fldChar w:fldCharType="separate"/>
      </w:r>
      <w:r w:rsidR="00EF4B3C" w:rsidRPr="00EF4B3C">
        <w:rPr>
          <w:noProof/>
        </w:rPr>
        <w:t>[31]</w:t>
      </w:r>
      <w:r w:rsidR="003E0371">
        <w:fldChar w:fldCharType="end"/>
      </w:r>
      <w:r w:rsidR="000765C3">
        <w:t>, the GLASS and MODIS products, which share input data from the same instrument, demonstrated the best agreement.</w:t>
      </w:r>
    </w:p>
    <w:p w14:paraId="3E46D8C5" w14:textId="77777777" w:rsidR="00491F1D" w:rsidRDefault="00491F1D" w:rsidP="00491F1D">
      <w:pPr>
        <w:spacing w:after="0" w:line="360" w:lineRule="auto"/>
        <w:jc w:val="both"/>
      </w:pPr>
    </w:p>
    <w:p w14:paraId="70429F2B" w14:textId="4AFA1F86" w:rsidR="007714A0" w:rsidRDefault="007714A0" w:rsidP="007714A0">
      <w:pPr>
        <w:pStyle w:val="Caption"/>
        <w:keepNext/>
        <w:jc w:val="center"/>
      </w:pPr>
      <w:bookmarkStart w:id="29" w:name="_Toc43388027"/>
      <w:r>
        <w:t xml:space="preserve">Table </w:t>
      </w:r>
      <w:fldSimple w:instr=" SEQ Table \* ARABIC ">
        <w:r w:rsidR="00D533BE">
          <w:rPr>
            <w:noProof/>
          </w:rPr>
          <w:t>3</w:t>
        </w:r>
      </w:fldSimple>
      <w:r>
        <w:t xml:space="preserve">: </w:t>
      </w:r>
      <w:r w:rsidRPr="00EC5B43">
        <w:t>Studies making use of the BELMANIP network of sites for indirect validation</w:t>
      </w:r>
      <w:bookmarkEnd w:id="29"/>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5843"/>
        <w:gridCol w:w="2446"/>
      </w:tblGrid>
      <w:tr w:rsidR="004811BA" w:rsidRPr="00500B18" w14:paraId="62BEE308" w14:textId="77777777" w:rsidTr="007714A0">
        <w:tc>
          <w:tcPr>
            <w:tcW w:w="408" w:type="pct"/>
            <w:tcBorders>
              <w:top w:val="single" w:sz="4" w:space="0" w:color="auto"/>
              <w:bottom w:val="single" w:sz="4" w:space="0" w:color="auto"/>
            </w:tcBorders>
          </w:tcPr>
          <w:p w14:paraId="68BA2581" w14:textId="5393D7A1" w:rsidR="004811BA" w:rsidRPr="00500B18" w:rsidRDefault="004811BA" w:rsidP="003C776A">
            <w:pPr>
              <w:jc w:val="both"/>
              <w:rPr>
                <w:b/>
                <w:bCs/>
                <w:sz w:val="20"/>
                <w:szCs w:val="20"/>
              </w:rPr>
            </w:pPr>
            <w:r w:rsidRPr="00500B18">
              <w:rPr>
                <w:b/>
                <w:bCs/>
                <w:sz w:val="20"/>
                <w:szCs w:val="20"/>
              </w:rPr>
              <w:t>Study</w:t>
            </w:r>
          </w:p>
        </w:tc>
        <w:tc>
          <w:tcPr>
            <w:tcW w:w="3237" w:type="pct"/>
            <w:tcBorders>
              <w:top w:val="single" w:sz="4" w:space="0" w:color="auto"/>
              <w:bottom w:val="single" w:sz="4" w:space="0" w:color="auto"/>
            </w:tcBorders>
          </w:tcPr>
          <w:p w14:paraId="483DC790" w14:textId="0C28DE6E" w:rsidR="004811BA" w:rsidRPr="00500B18" w:rsidRDefault="004811BA" w:rsidP="003C776A">
            <w:pPr>
              <w:jc w:val="both"/>
              <w:rPr>
                <w:b/>
                <w:bCs/>
                <w:sz w:val="20"/>
                <w:szCs w:val="20"/>
              </w:rPr>
            </w:pPr>
            <w:r w:rsidRPr="00500B18">
              <w:rPr>
                <w:b/>
                <w:bCs/>
                <w:sz w:val="20"/>
                <w:szCs w:val="20"/>
              </w:rPr>
              <w:t>Considered products</w:t>
            </w:r>
          </w:p>
        </w:tc>
        <w:tc>
          <w:tcPr>
            <w:tcW w:w="1355" w:type="pct"/>
            <w:tcBorders>
              <w:top w:val="single" w:sz="4" w:space="0" w:color="auto"/>
              <w:bottom w:val="single" w:sz="4" w:space="0" w:color="auto"/>
            </w:tcBorders>
          </w:tcPr>
          <w:p w14:paraId="00D922E6" w14:textId="323FA83D" w:rsidR="004811BA" w:rsidRPr="00500B18" w:rsidRDefault="004811BA" w:rsidP="003C776A">
            <w:pPr>
              <w:jc w:val="both"/>
              <w:rPr>
                <w:b/>
                <w:bCs/>
                <w:sz w:val="20"/>
                <w:szCs w:val="20"/>
              </w:rPr>
            </w:pPr>
            <w:r w:rsidRPr="00500B18">
              <w:rPr>
                <w:b/>
                <w:bCs/>
                <w:sz w:val="20"/>
                <w:szCs w:val="20"/>
              </w:rPr>
              <w:t>Considered variables</w:t>
            </w:r>
          </w:p>
        </w:tc>
      </w:tr>
      <w:tr w:rsidR="004811BA" w:rsidRPr="00500B18" w14:paraId="7B3D32FE" w14:textId="77777777" w:rsidTr="007714A0">
        <w:tc>
          <w:tcPr>
            <w:tcW w:w="408" w:type="pct"/>
            <w:tcBorders>
              <w:top w:val="single" w:sz="4" w:space="0" w:color="auto"/>
            </w:tcBorders>
          </w:tcPr>
          <w:p w14:paraId="5018A5FD" w14:textId="61172EE6" w:rsidR="004811BA" w:rsidRPr="00500B18" w:rsidRDefault="000765C3" w:rsidP="00A200A0">
            <w:pPr>
              <w:rPr>
                <w:sz w:val="20"/>
                <w:szCs w:val="20"/>
              </w:rPr>
            </w:pPr>
            <w:r w:rsidRPr="00500B18">
              <w:rPr>
                <w:sz w:val="20"/>
                <w:szCs w:val="20"/>
              </w:rPr>
              <w:fldChar w:fldCharType="begin" w:fldLock="1"/>
            </w:r>
            <w:r w:rsidR="00EF4B3C">
              <w:rPr>
                <w:sz w:val="20"/>
                <w:szCs w:val="20"/>
              </w:rPr>
              <w:instrText>ADDIN CSL_CITATION {"citationItems":[{"id":"ITEM-1","itemData":{"DOI":"10.1029/2007JG000635","ISBN":"0148-0227","ISSN":"01480227","author":[{"dropping-particle":"","family":"Garrigues","given":"Sebastien","non-dropping-particle":"","parse-names":false,"suffix":""},{"dropping-particle":"","family":"Lacaze","given":"R","non-dropping-particle":"","parse-names":false,"suffix":""},{"dropping-particle":"","family":"Baret","given":"Frédéric","non-dropping-particle":"","parse-names":false,"suffix":""},{"dropping-particle":"","family":"Morissette","given":"Jeffrey T","non-dropping-particle":"","parse-names":false,"suffix":""},{"dropping-particle":"","family":"Weiss","given":"M","non-dropping-particle":"","parse-names":false,"suffix":""},{"dropping-particle":"","family":"Nickeson","given":"J E","non-dropping-particle":"","parse-names":false,"suffix":""},{"dropping-particle":"","family":"Fernandes","given":"R","non-dropping-particle":"","parse-names":false,"suffix":""},{"dropping-particle":"","family":"Plummer","given":"S","non-dropping-particle":"","parse-names":false,"suffix":""},{"dropping-particle":"","family":"Shabanov","given":"V N","non-dropping-particle":"","parse-names":false,"suffix":""},{"dropping-particle":"","family":"Myneni","given":"Ranga B","non-dropping-particle":"","parse-names":false,"suffix":""},{"dropping-particle":"","family":"Knyazikhin","given":"Y","non-dropping-particle":"","parse-names":false,"suffix":""},{"dropping-particle":"","family":"Yang","given":"W","non-dropping-particle":"","parse-names":false,"suffix":""}],"container-title":"Journal of Geophysical Research: Biogeosciences","id":"ITEM-1","issue":"2","issued":{"date-parts":[["2008"]]},"title":"Validation and intercomparison of global Leaf Area Index products derived from remote sensing data","type":"article-journal","volume":"113"},"uris":["http://www.mendeley.com/documents/?uuid=6445086f-3d98-43a2-aa08-a165d54ec8b2"]}],"mendeley":{"formattedCitation":"[32]","plainTextFormattedCitation":"[32]","previouslyFormattedCitation":"[3]"},"properties":{"noteIndex":0},"schema":"https://github.com/citation-style-language/schema/raw/master/csl-citation.json"}</w:instrText>
            </w:r>
            <w:r w:rsidRPr="00500B18">
              <w:rPr>
                <w:sz w:val="20"/>
                <w:szCs w:val="20"/>
              </w:rPr>
              <w:fldChar w:fldCharType="separate"/>
            </w:r>
            <w:r w:rsidR="00EF4B3C" w:rsidRPr="00EF4B3C">
              <w:rPr>
                <w:noProof/>
                <w:sz w:val="20"/>
                <w:szCs w:val="20"/>
              </w:rPr>
              <w:t>[32]</w:t>
            </w:r>
            <w:r w:rsidRPr="00500B18">
              <w:rPr>
                <w:sz w:val="20"/>
                <w:szCs w:val="20"/>
              </w:rPr>
              <w:fldChar w:fldCharType="end"/>
            </w:r>
          </w:p>
        </w:tc>
        <w:tc>
          <w:tcPr>
            <w:tcW w:w="3237" w:type="pct"/>
            <w:tcBorders>
              <w:top w:val="single" w:sz="4" w:space="0" w:color="auto"/>
            </w:tcBorders>
          </w:tcPr>
          <w:p w14:paraId="5CA4ACF5" w14:textId="24FDF6B0" w:rsidR="004811BA" w:rsidRPr="00500B18" w:rsidRDefault="004811BA" w:rsidP="00A200A0">
            <w:pPr>
              <w:rPr>
                <w:sz w:val="20"/>
                <w:szCs w:val="20"/>
              </w:rPr>
            </w:pPr>
            <w:r w:rsidRPr="00500B18">
              <w:rPr>
                <w:sz w:val="20"/>
                <w:szCs w:val="20"/>
              </w:rPr>
              <w:t>CYCLOPES, ECOCLIMAP, GLOBCARBON, MODIS C4</w:t>
            </w:r>
          </w:p>
        </w:tc>
        <w:tc>
          <w:tcPr>
            <w:tcW w:w="1355" w:type="pct"/>
            <w:tcBorders>
              <w:top w:val="single" w:sz="4" w:space="0" w:color="auto"/>
            </w:tcBorders>
          </w:tcPr>
          <w:p w14:paraId="525EF31F" w14:textId="117F8BCD" w:rsidR="004811BA" w:rsidRPr="00500B18" w:rsidRDefault="004811BA" w:rsidP="00A200A0">
            <w:pPr>
              <w:rPr>
                <w:sz w:val="20"/>
                <w:szCs w:val="20"/>
              </w:rPr>
            </w:pPr>
            <w:r w:rsidRPr="00500B18">
              <w:rPr>
                <w:sz w:val="20"/>
                <w:szCs w:val="20"/>
              </w:rPr>
              <w:t>LAI</w:t>
            </w:r>
          </w:p>
        </w:tc>
      </w:tr>
      <w:tr w:rsidR="004811BA" w:rsidRPr="00500B18" w14:paraId="72197ECD" w14:textId="77777777" w:rsidTr="007714A0">
        <w:tc>
          <w:tcPr>
            <w:tcW w:w="408" w:type="pct"/>
          </w:tcPr>
          <w:p w14:paraId="75DA2E42" w14:textId="25281CEE" w:rsidR="004811BA" w:rsidRPr="00500B18" w:rsidRDefault="000765C3" w:rsidP="00A200A0">
            <w:pPr>
              <w:rPr>
                <w:sz w:val="20"/>
                <w:szCs w:val="20"/>
              </w:rPr>
            </w:pPr>
            <w:r w:rsidRPr="00500B18">
              <w:rPr>
                <w:sz w:val="20"/>
                <w:szCs w:val="20"/>
              </w:rPr>
              <w:fldChar w:fldCharType="begin" w:fldLock="1"/>
            </w:r>
            <w:r w:rsidR="00EF4B3C">
              <w:rPr>
                <w:sz w:val="20"/>
                <w:szCs w:val="20"/>
              </w:rPr>
              <w:instrText>ADDIN CSL_CITATION {"citationItems":[{"id":"ITEM-1","itemData":{"DOI":"10.1016/j.rse.2007.03.001","ISBN":"0034-4257","ISSN":"00344257","author":[{"dropping-particle":"","family":"Weiss","given":"Marie","non-dropping-particle":"","parse-names":false,"suffix":""},{"dropping-particle":"","family":"Baret","given":"Frédéric","non-dropping-particle":"","parse-names":false,"suffix":""},{"dropping-particle":"","family":"Garrigues","given":"Sebastien","non-dropping-particle":"","parse-names":false,"suffix":""},{"dropping-particle":"","family":"Lacaze","given":"Roselyne","non-dropping-particle":"","parse-names":false,"suffix":""}],"container-title":"Remote Sensing of Environment","id":"ITEM-1","issue":"3","issued":{"date-parts":[["2007"]]},"page":"317-331","title":"LAI and fAPAR CYCLOPES global products derived from VEGETATION. Part 2: validation and comparison with MODIS collection 4 products","type":"article-journal","volume":"110"},"uris":["http://www.mendeley.com/documents/?uuid=616121ba-44cc-4bbb-8b96-94f0964f7c9d"]}],"mendeley":{"formattedCitation":"[33]","plainTextFormattedCitation":"[33]","previouslyFormattedCitation":"[4]"},"properties":{"noteIndex":0},"schema":"https://github.com/citation-style-language/schema/raw/master/csl-citation.json"}</w:instrText>
            </w:r>
            <w:r w:rsidRPr="00500B18">
              <w:rPr>
                <w:sz w:val="20"/>
                <w:szCs w:val="20"/>
              </w:rPr>
              <w:fldChar w:fldCharType="separate"/>
            </w:r>
            <w:r w:rsidR="00EF4B3C" w:rsidRPr="00EF4B3C">
              <w:rPr>
                <w:noProof/>
                <w:sz w:val="20"/>
                <w:szCs w:val="20"/>
              </w:rPr>
              <w:t>[33]</w:t>
            </w:r>
            <w:r w:rsidRPr="00500B18">
              <w:rPr>
                <w:sz w:val="20"/>
                <w:szCs w:val="20"/>
              </w:rPr>
              <w:fldChar w:fldCharType="end"/>
            </w:r>
          </w:p>
        </w:tc>
        <w:tc>
          <w:tcPr>
            <w:tcW w:w="3237" w:type="pct"/>
            <w:tcBorders>
              <w:bottom w:val="nil"/>
            </w:tcBorders>
          </w:tcPr>
          <w:p w14:paraId="4E2DA112" w14:textId="3BCD4A17" w:rsidR="004811BA" w:rsidRPr="00500B18" w:rsidRDefault="004811BA" w:rsidP="00A200A0">
            <w:pPr>
              <w:rPr>
                <w:sz w:val="20"/>
                <w:szCs w:val="20"/>
              </w:rPr>
            </w:pPr>
            <w:r w:rsidRPr="00500B18">
              <w:rPr>
                <w:sz w:val="20"/>
                <w:szCs w:val="20"/>
              </w:rPr>
              <w:t>CYCLOPES, ECOCLIMAP, MODIS C4</w:t>
            </w:r>
          </w:p>
        </w:tc>
        <w:tc>
          <w:tcPr>
            <w:tcW w:w="1355" w:type="pct"/>
            <w:tcBorders>
              <w:bottom w:val="nil"/>
            </w:tcBorders>
          </w:tcPr>
          <w:p w14:paraId="1DA544B9" w14:textId="65C5582A" w:rsidR="004811BA" w:rsidRPr="00500B18" w:rsidRDefault="004811BA" w:rsidP="00A200A0">
            <w:pPr>
              <w:rPr>
                <w:sz w:val="20"/>
                <w:szCs w:val="20"/>
              </w:rPr>
            </w:pPr>
            <w:r w:rsidRPr="00500B18">
              <w:rPr>
                <w:sz w:val="20"/>
                <w:szCs w:val="20"/>
              </w:rPr>
              <w:t>LAI, FAPAR</w:t>
            </w:r>
          </w:p>
        </w:tc>
      </w:tr>
      <w:tr w:rsidR="004811BA" w:rsidRPr="00500B18" w14:paraId="0F9431C0" w14:textId="77777777" w:rsidTr="007714A0">
        <w:tc>
          <w:tcPr>
            <w:tcW w:w="408" w:type="pct"/>
          </w:tcPr>
          <w:p w14:paraId="57226B0B" w14:textId="3BE5C014" w:rsidR="004811BA" w:rsidRPr="00500B18" w:rsidRDefault="000765C3" w:rsidP="00A200A0">
            <w:pPr>
              <w:rPr>
                <w:sz w:val="20"/>
                <w:szCs w:val="20"/>
              </w:rPr>
            </w:pPr>
            <w:r w:rsidRPr="00500B18">
              <w:rPr>
                <w:sz w:val="20"/>
                <w:szCs w:val="20"/>
              </w:rPr>
              <w:fldChar w:fldCharType="begin" w:fldLock="1"/>
            </w:r>
            <w:r w:rsidR="00EF4B3C">
              <w:rPr>
                <w:sz w:val="20"/>
                <w:szCs w:val="20"/>
              </w:rPr>
              <w:instrText>ADDIN CSL_CITATION {"citationItems":[{"id":"ITEM-1","itemData":{"DOI":"10.1016/j.rse.2013.02.030","ISBN":"0034-4257","ISSN":"00344257","abstract":"This paper describes the scientific validation of the first version of global biophysical products (i.e., leaf area index, fraction of absorbed photosynthetically active radiation and fraction of vegetation cover), namely GEOV1, developed in the framework of the geoland-2/BioPar core mapping service at 1. km spatial resolution and 10-days temporal frequency. The strategy follows the recommendations of the CEOS/WGCV Land Product Validation for LAI global products validation. Several criteria of performance were evaluated, including continuity, spatial and temporal consistency, dynamic range of retrievals, statistical analysis per biome type, precision and accuracy. The spatial and temporal consistencies of GEOV1 products were assessed by intercomparison with reference global products (MODIS c5, CYCLOPES v3.1, GLOBCARBON v2 LAI, and JRC SeaWIFS FAPAR) over a global network of homogeneous sites (BELMANIP-2) during the 2003-2005 period. The accuracy of GEOV1 was evaluated against a number of available ground reference maps. Our results show that GEOV1 products present reliable spatial distribution, smooth temporal profiles which are stable from year to year, good dynamic range with reliable magnitude for bare areas and dense forests, and optimal performances with ground-based maps. GEOV1 outperforms the quality of reference global products in most of the examined criteria, and constitutes a step forward in the development of consistent and accurate global biophysical variables within the context of the land monitoring core service of GMES. © 2013 Elsevier Inc.","author":[{"dropping-particle":"","family":"Camacho","given":"Fernando","non-dropping-particle":"","parse-names":false,"suffix":""},{"dropping-particle":"","family":"Cernicharo","given":"Jesús","non-dropping-particle":"","parse-names":false,"suffix":""},{"dropping-particle":"","family":"Lacaze","given":"Roselyne","non-dropping-particle":"","parse-names":false,"suffix":""},{"dropping-particle":"","family":"Baret","given":"Frédéric","non-dropping-particle":"","parse-names":false,"suffix":""},{"dropping-particle":"","family":"Weiss","given":"Marie","non-dropping-particle":"","parse-names":false,"suffix":""}],"container-title":"Remote Sensing of Environment","id":"ITEM-1","issued":{"date-parts":[["2013","10"]]},"page":"310-329","title":"GEOV1: LAI, FAPAR essential climate variables and FCOVER global time series capitalizing over existing products. Part 2: Validation and intercomparison with reference products","type":"article-journal","volume":"137"},"uris":["http://www.mendeley.com/documents/?uuid=427c5483-1a0f-4da1-9409-1928fd55073e"]}],"mendeley":{"formattedCitation":"[27]","plainTextFormattedCitation":"[27]","previouslyFormattedCitation":"[7]"},"properties":{"noteIndex":0},"schema":"https://github.com/citation-style-language/schema/raw/master/csl-citation.json"}</w:instrText>
            </w:r>
            <w:r w:rsidRPr="00500B18">
              <w:rPr>
                <w:sz w:val="20"/>
                <w:szCs w:val="20"/>
              </w:rPr>
              <w:fldChar w:fldCharType="separate"/>
            </w:r>
            <w:r w:rsidR="00EF4B3C" w:rsidRPr="00EF4B3C">
              <w:rPr>
                <w:noProof/>
                <w:sz w:val="20"/>
                <w:szCs w:val="20"/>
              </w:rPr>
              <w:t>[27]</w:t>
            </w:r>
            <w:r w:rsidRPr="00500B18">
              <w:rPr>
                <w:sz w:val="20"/>
                <w:szCs w:val="20"/>
              </w:rPr>
              <w:fldChar w:fldCharType="end"/>
            </w:r>
          </w:p>
        </w:tc>
        <w:tc>
          <w:tcPr>
            <w:tcW w:w="3237" w:type="pct"/>
            <w:tcBorders>
              <w:top w:val="nil"/>
              <w:bottom w:val="nil"/>
            </w:tcBorders>
          </w:tcPr>
          <w:p w14:paraId="5E71667A" w14:textId="00DB5FAB" w:rsidR="004811BA" w:rsidRPr="00500B18" w:rsidRDefault="004811BA" w:rsidP="00A200A0">
            <w:pPr>
              <w:rPr>
                <w:sz w:val="20"/>
                <w:szCs w:val="20"/>
              </w:rPr>
            </w:pPr>
            <w:r w:rsidRPr="00500B18">
              <w:rPr>
                <w:sz w:val="20"/>
                <w:szCs w:val="20"/>
              </w:rPr>
              <w:t>CYCLOPES, GEOV1, GLOBCARBON, MGVI, MODIS C5</w:t>
            </w:r>
          </w:p>
        </w:tc>
        <w:tc>
          <w:tcPr>
            <w:tcW w:w="1355" w:type="pct"/>
            <w:tcBorders>
              <w:top w:val="nil"/>
              <w:bottom w:val="nil"/>
            </w:tcBorders>
          </w:tcPr>
          <w:p w14:paraId="009AD6D1" w14:textId="71B0F453" w:rsidR="004811BA" w:rsidRPr="00500B18" w:rsidRDefault="004811BA" w:rsidP="00A200A0">
            <w:pPr>
              <w:rPr>
                <w:sz w:val="20"/>
                <w:szCs w:val="20"/>
              </w:rPr>
            </w:pPr>
            <w:r w:rsidRPr="00500B18">
              <w:rPr>
                <w:sz w:val="20"/>
                <w:szCs w:val="20"/>
              </w:rPr>
              <w:t>LAI, FAPAR, FCOVER</w:t>
            </w:r>
          </w:p>
        </w:tc>
      </w:tr>
      <w:tr w:rsidR="004811BA" w:rsidRPr="00500B18" w14:paraId="1DADC93D" w14:textId="77777777" w:rsidTr="007714A0">
        <w:tc>
          <w:tcPr>
            <w:tcW w:w="408" w:type="pct"/>
          </w:tcPr>
          <w:p w14:paraId="2EBFE51E" w14:textId="50CDD73C" w:rsidR="004811BA" w:rsidRPr="00500B18" w:rsidRDefault="000765C3" w:rsidP="00A200A0">
            <w:pPr>
              <w:rPr>
                <w:sz w:val="20"/>
                <w:szCs w:val="20"/>
              </w:rPr>
            </w:pPr>
            <w:r w:rsidRPr="00500B18">
              <w:rPr>
                <w:sz w:val="20"/>
                <w:szCs w:val="20"/>
              </w:rPr>
              <w:fldChar w:fldCharType="begin" w:fldLock="1"/>
            </w:r>
            <w:r w:rsidR="00CE075F" w:rsidRPr="00500B18">
              <w:rPr>
                <w:sz w:val="20"/>
                <w:szCs w:val="20"/>
              </w:rPr>
              <w:instrText>ADDIN CSL_CITATION {"citationItems":[{"id":"ITEM-1","itemData":{"DOI":"10.3390/rs6054190","ISBN":"2072-4292","ISSN":"20724292","author":[{"dropping-particle":"","family":"Weiss","given":"Marie","non-dropping-particle":"","parse-names":false,"suffix":""},{"dropping-particle":"","family":"Baret","given":"Frédéric","non-dropping-particle":"","parse-names":false,"suffix":""},{"dropping-particle":"","family":"Block","given":"Tom","non-dropping-particle":"","parse-names":false,"suffix":""},{"dropping-particle":"","family":"Koetz","given":"Benjamin","non-dropping-particle":"","parse-names":false,"suffix":""},{"dropping-particle":"","family":"Burini","given":"Alessandro","non-dropping-particle":"","parse-names":false,"suffix":""},{"dropping-particle":"","family":"Scholze","given":"Bettina","non-dropping-particle":"","parse-names":false,"suffix":""},{"dropping-particle":"","family":"Lecharpentier","given":"Patrice","non-dropping-particle":"","parse-names":false,"suffix":""},{"dropping-particle":"","family":"Brockmann","given":"Carsten","non-dropping-particle":"","parse-names":false,"suffix":""},{"dropping-particle":"","family":"Fernandes","given":"Richard","non-dropping-particle":"","parse-names":false,"suffix":""},{"dropping-particle":"","family":"Plummer","given":"Stephen","non-dropping-particle":"","parse-names":false,"suffix":""},{"dropping-particle":"","family":"Myneni","given":"Ranga B","non-dropping-particle":"","parse-names":false,"suffix":""},{"dropping-particle":"","family":"Gobron","given":"Nadine","non-dropping-particle":"","parse-names":false,"suffix":""},{"dropping-particle":"","family":"Nightingale","given":"Joanne","non-dropping-particle":"","parse-names":false,"suffix":""},{"dropping-particle":"","family":"Schaepman-Strub","given":"Gabriela","non-dropping-particle":"","parse-names":false,"suffix":""},{"dropping-particle":"","family":"Camacho","given":"Fernando","non-dropping-particle":"","parse-names":false,"suffix":""},{"dropping-particle":"","family":"Sanchez-Azofeifa","given":"Arturo","non-dropping-particle":"","parse-names":false,"suffix":""}],"container-title":"Remote Sensing","id":"ITEM-1","issue":"5","issued":{"date-parts":[["2014"]]},"page":"4190-4216","title":"On line validation exercise (OLIVE): A web based service for the validation of medium resolution land products. application to FAPAR products","type":"article-journal","volume":"6"},"uris":["http://www.mendeley.com/documents/?uuid=f0452a9e-9dfc-4c65-8dd8-bc77c91d97dd"]}],"mendeley":{"formattedCitation":"[5]","plainTextFormattedCitation":"[5]","previouslyFormattedCitation":"[5]"},"properties":{"noteIndex":0},"schema":"https://github.com/citation-style-language/schema/raw/master/csl-citation.json"}</w:instrText>
            </w:r>
            <w:r w:rsidRPr="00500B18">
              <w:rPr>
                <w:sz w:val="20"/>
                <w:szCs w:val="20"/>
              </w:rPr>
              <w:fldChar w:fldCharType="separate"/>
            </w:r>
            <w:r w:rsidR="00476577" w:rsidRPr="00500B18">
              <w:rPr>
                <w:noProof/>
                <w:sz w:val="20"/>
                <w:szCs w:val="20"/>
              </w:rPr>
              <w:t>[5]</w:t>
            </w:r>
            <w:r w:rsidRPr="00500B18">
              <w:rPr>
                <w:sz w:val="20"/>
                <w:szCs w:val="20"/>
              </w:rPr>
              <w:fldChar w:fldCharType="end"/>
            </w:r>
          </w:p>
        </w:tc>
        <w:tc>
          <w:tcPr>
            <w:tcW w:w="3237" w:type="pct"/>
            <w:tcBorders>
              <w:top w:val="nil"/>
            </w:tcBorders>
          </w:tcPr>
          <w:p w14:paraId="12C58864" w14:textId="3C92223F" w:rsidR="004811BA" w:rsidRPr="00500B18" w:rsidRDefault="004811BA" w:rsidP="00A200A0">
            <w:pPr>
              <w:rPr>
                <w:sz w:val="20"/>
                <w:szCs w:val="20"/>
              </w:rPr>
            </w:pPr>
            <w:r w:rsidRPr="00500B18">
              <w:rPr>
                <w:sz w:val="20"/>
                <w:szCs w:val="20"/>
              </w:rPr>
              <w:t>GEOV1, MGVI, MODIS</w:t>
            </w:r>
          </w:p>
        </w:tc>
        <w:tc>
          <w:tcPr>
            <w:tcW w:w="1355" w:type="pct"/>
            <w:tcBorders>
              <w:top w:val="nil"/>
            </w:tcBorders>
          </w:tcPr>
          <w:p w14:paraId="30C3D299" w14:textId="1D6D01D1" w:rsidR="004811BA" w:rsidRPr="00500B18" w:rsidRDefault="004811BA" w:rsidP="00A200A0">
            <w:pPr>
              <w:rPr>
                <w:sz w:val="20"/>
                <w:szCs w:val="20"/>
              </w:rPr>
            </w:pPr>
            <w:r w:rsidRPr="00500B18">
              <w:rPr>
                <w:sz w:val="20"/>
                <w:szCs w:val="20"/>
              </w:rPr>
              <w:t>FAPAR</w:t>
            </w:r>
          </w:p>
        </w:tc>
      </w:tr>
      <w:tr w:rsidR="004811BA" w:rsidRPr="00500B18" w14:paraId="04C288ED" w14:textId="77777777" w:rsidTr="007714A0">
        <w:tc>
          <w:tcPr>
            <w:tcW w:w="408" w:type="pct"/>
          </w:tcPr>
          <w:p w14:paraId="2F0DF0A5" w14:textId="72078EAA" w:rsidR="004811BA" w:rsidRPr="00500B18" w:rsidRDefault="000765C3" w:rsidP="00A200A0">
            <w:pPr>
              <w:rPr>
                <w:sz w:val="20"/>
                <w:szCs w:val="20"/>
              </w:rPr>
            </w:pPr>
            <w:r w:rsidRPr="00500B18">
              <w:rPr>
                <w:sz w:val="20"/>
                <w:szCs w:val="20"/>
              </w:rPr>
              <w:fldChar w:fldCharType="begin" w:fldLock="1"/>
            </w:r>
            <w:r w:rsidR="00CE075F" w:rsidRPr="00500B18">
              <w:rPr>
                <w:sz w:val="20"/>
                <w:szCs w:val="20"/>
              </w:rPr>
              <w:instrText>ADDIN CSL_CITATION {"citationItems":[{"id":"ITEM-1","itemData":{"DOI":"10.3390/rs8060460","ISBN":"8618610011","ISSN":"2072-4292","abstract":"As the latest version of Moderate Resolution Imaging Spectroradiometer (MODIS) Leaf Area Index (LAI) and Fraction of Photosynthetically Active Radiation (FPAR) products, Collection 6 (C6) has been distributed since August 2015. This collection is evaluated in this two-part series with the goal of assessing product accuracy, uncertainty and consistency with the previous version. In this first paper, we compare C6 (MOD15A2H) with Collection 5 (C5) to check for consistency and discuss the scale effects associated with changing spatial resolution between the two collections and benefits from improvements to algorithm inputs. Compared with C5, C6 benefits from two improved inputs: (1) L2G–lite surface reflectance at 500 m resolution in place of reflectance at 1 km resolution; and (2) new multi-year land-cover product at 500 m resolution in place of the 1 km static land-cover product. Global and seasonal comparison between C5 and C6 indicates good continuity and consistency for all biome types. Moreover, inter-annual LAI anomalies at the regional scale from C5 and C6 agree well. The proportion of main radiative transfer algorithm retrievals in C6 increased slightly in most biome types, notably including a 17% improvement in evergreen broadleaf forests. With same biome input, the mean RMSE of LAI and FPAR between C5 and C6 at global scale are 0.29 and 0.091, respectively, but biome type disagreement worsens the consistency (LAI: 0.39, FPAR: 0.102). By quantifying the impact of input changes, we find that the improvements of both land-cover and reflectance products improve LAI/FPAR products. Moreover, we find that spatial scale effects due to a resolution change from 1 km to 500 m do not cause any significant differences.","author":[{"dropping-particle":"","family":"Yan","given":"Kai","non-dropping-particle":"","parse-names":false,"suffix":""},{"dropping-particle":"","family":"Park","given":"Taejin","non-dropping-particle":"","parse-names":false,"suffix":""},{"dropping-particle":"","family":"Yan","given":"Guangjian","non-dropping-particle":"","parse-names":false,"suffix":""},{"dropping-particle":"","family":"Liu","given":"Zhao","non-dropping-particle":"","parse-names":false,"suffix":""},{"dropping-particle":"","family":"Yang","given":"Bin","non-dropping-particle":"","parse-names":false,"suffix":""},{"dropping-particle":"","family":"Chen","given":"Chi","non-dropping-particle":"","parse-names":false,"suffix":""},{"dropping-particle":"","family":"Nemani","given":"Ramakrishna","non-dropping-particle":"","parse-names":false,"suffix":""},{"dropping-particle":"","family":"Knyazikhin","given":"Yuri","non-dropping-particle":"","parse-names":false,"suffix":""},{"dropping-particle":"","family":"Myneni","given":"Ranga","non-dropping-particle":"","parse-names":false,"suffix":""}],"container-title":"Remote Sensing","id":"ITEM-1","issue":"6","issued":{"date-parts":[["2016","5","30"]]},"page":"460","title":"Evaluation of MODIS LAI/FPAR Product Collection 6. Part 2: Validation and Intercomparison","type":"article-journal","volume":"8"},"uris":["http://www.mendeley.com/documents/?uuid=faeddfe6-f658-457c-856c-6bda06896bf7"]}],"mendeley":{"formattedCitation":"[6]","plainTextFormattedCitation":"[6]","previouslyFormattedCitation":"[6]"},"properties":{"noteIndex":0},"schema":"https://github.com/citation-style-language/schema/raw/master/csl-citation.json"}</w:instrText>
            </w:r>
            <w:r w:rsidRPr="00500B18">
              <w:rPr>
                <w:sz w:val="20"/>
                <w:szCs w:val="20"/>
              </w:rPr>
              <w:fldChar w:fldCharType="separate"/>
            </w:r>
            <w:r w:rsidR="00476577" w:rsidRPr="00500B18">
              <w:rPr>
                <w:noProof/>
                <w:sz w:val="20"/>
                <w:szCs w:val="20"/>
              </w:rPr>
              <w:t>[6]</w:t>
            </w:r>
            <w:r w:rsidRPr="00500B18">
              <w:rPr>
                <w:sz w:val="20"/>
                <w:szCs w:val="20"/>
              </w:rPr>
              <w:fldChar w:fldCharType="end"/>
            </w:r>
          </w:p>
        </w:tc>
        <w:tc>
          <w:tcPr>
            <w:tcW w:w="3237" w:type="pct"/>
          </w:tcPr>
          <w:p w14:paraId="44D5A85B" w14:textId="04A1D1EA" w:rsidR="004811BA" w:rsidRPr="00500B18" w:rsidRDefault="004811BA" w:rsidP="00A200A0">
            <w:pPr>
              <w:rPr>
                <w:sz w:val="20"/>
                <w:szCs w:val="20"/>
              </w:rPr>
            </w:pPr>
            <w:r w:rsidRPr="00500B18">
              <w:rPr>
                <w:sz w:val="20"/>
                <w:szCs w:val="20"/>
              </w:rPr>
              <w:t>CYCLOPES, GEOV1, GLASS, MODIS C6</w:t>
            </w:r>
          </w:p>
        </w:tc>
        <w:tc>
          <w:tcPr>
            <w:tcW w:w="1355" w:type="pct"/>
          </w:tcPr>
          <w:p w14:paraId="4F70596A" w14:textId="690142FD" w:rsidR="004811BA" w:rsidRPr="00500B18" w:rsidRDefault="004811BA" w:rsidP="00A200A0">
            <w:pPr>
              <w:rPr>
                <w:sz w:val="20"/>
                <w:szCs w:val="20"/>
              </w:rPr>
            </w:pPr>
            <w:r w:rsidRPr="00500B18">
              <w:rPr>
                <w:sz w:val="20"/>
                <w:szCs w:val="20"/>
              </w:rPr>
              <w:t>LAI, FAPAR</w:t>
            </w:r>
          </w:p>
        </w:tc>
      </w:tr>
    </w:tbl>
    <w:p w14:paraId="44F97939" w14:textId="78C768E6" w:rsidR="00836873" w:rsidRPr="004F2CD7" w:rsidRDefault="00B33D05" w:rsidP="00491F1D">
      <w:pPr>
        <w:spacing w:after="0"/>
        <w:jc w:val="both"/>
        <w:rPr>
          <w:rFonts w:cstheme="minorHAnsi"/>
        </w:rPr>
      </w:pPr>
      <w:r>
        <w:br/>
      </w:r>
    </w:p>
    <w:p w14:paraId="15103F3C" w14:textId="3329D83D" w:rsidR="00836873" w:rsidRPr="00DB1978" w:rsidRDefault="00836873" w:rsidP="0083359B">
      <w:pPr>
        <w:pStyle w:val="Heading4"/>
        <w:ind w:left="851"/>
      </w:pPr>
      <w:r w:rsidRPr="00DB1978">
        <w:t>Online Inte</w:t>
      </w:r>
      <w:r w:rsidR="002B79B9" w:rsidRPr="00DB1978">
        <w:t xml:space="preserve">ractive Validation </w:t>
      </w:r>
      <w:r w:rsidR="002B79B9" w:rsidRPr="0083359B">
        <w:t>Exercise</w:t>
      </w:r>
      <w:r w:rsidR="002B79B9" w:rsidRPr="00DB1978">
        <w:t xml:space="preserve"> (OL</w:t>
      </w:r>
      <w:r w:rsidRPr="00DB1978">
        <w:t>I</w:t>
      </w:r>
      <w:r w:rsidR="002B79B9" w:rsidRPr="00DB1978">
        <w:t>V</w:t>
      </w:r>
      <w:r w:rsidRPr="00DB1978">
        <w:t>E)</w:t>
      </w:r>
    </w:p>
    <w:p w14:paraId="35AAEF8D" w14:textId="013436F8" w:rsidR="005226EB" w:rsidRDefault="000765C3" w:rsidP="005226EB">
      <w:pPr>
        <w:spacing w:line="360" w:lineRule="auto"/>
        <w:jc w:val="both"/>
      </w:pPr>
      <w:r>
        <w:br/>
      </w:r>
      <w:r w:rsidR="00390E55">
        <w:t>In parallel</w:t>
      </w:r>
      <w:r w:rsidR="00F53E47">
        <w:t xml:space="preserve"> to </w:t>
      </w:r>
      <w:r w:rsidR="00390E55">
        <w:t>establishing a network of</w:t>
      </w:r>
      <w:r w:rsidR="00F53E47">
        <w:t xml:space="preserve"> sites </w:t>
      </w:r>
      <w:r w:rsidR="00390E55">
        <w:t xml:space="preserve">for </w:t>
      </w:r>
      <w:r w:rsidR="00F53E47">
        <w:t xml:space="preserve">indirect validation activities, efforts to make validation datasets open and accessible to the community have </w:t>
      </w:r>
      <w:r w:rsidR="00A85D5A">
        <w:t xml:space="preserve">also </w:t>
      </w:r>
      <w:r w:rsidR="00F53E47">
        <w:t>been made.</w:t>
      </w:r>
      <w:r w:rsidR="00500B18">
        <w:t xml:space="preserve"> </w:t>
      </w:r>
      <w:r w:rsidR="00F53E47">
        <w:t>The Online Interactive Validation Exercise (OLIVE) tool developed by the CEOS WGCV LPV sub-group is one example</w:t>
      </w:r>
      <w:r w:rsidR="003E0371">
        <w:t xml:space="preserve"> </w:t>
      </w:r>
      <w:r w:rsidR="003E0371">
        <w:fldChar w:fldCharType="begin" w:fldLock="1"/>
      </w:r>
      <w:r w:rsidR="00EF4B3C">
        <w:instrText>ADDIN CSL_CITATION {"citationItems":[{"id":"ITEM-1","itemData":{"DOI":"10.3390/rs6054190","ISBN":"2072-4292","ISSN":"2072-4292","abstract":"The OLIVE (On Line Interactive Validation Exercise) platform is dedicated to the validation of global biophysical products such as LAI (Leaf Area Index) and FAPAR (Fraction of Absorbed Photosynthetically Active Radiation). It was developed under the framework of the CEOS (Committee on Earth Observation Satellites) Land Product Validation (LPV) sub-group. OLIVE has three main objectives: (i) to provide a consistent and centralized information on the definition of the biophysical variables, as well as a description of the main available products and their performances (ii) to provide transparency and traceability by an online validation procedure compliant with the CEOS LPV and QA4EO (Quality Assurance for Earth Observation) recommendations (iii) and finally, to provide a tool to benchmark new products, update product validation results and host new ground measurement sites for accuracy assessment. The functionalities and algorithms of OLIVE are described to provide full transparency of its procedures to the community. The validation process and typical results are illustrated for three FAPAR products: GEOV1 (VEGETATION sensor), MGVIo (MERIS sensor) and MODIS collection 5 FPAR. OLIVE is available on the European Space Agency CAL/VAL portal), including full documentation, validation exercise results, and product extracts.","author":[{"dropping-particle":"","family":"Weiss","given":"Marie","non-dropping-particle":"","parse-names":false,"suffix":""},{"dropping-particle":"","family":"Baret","given":"Frédéric","non-dropping-particle":"","parse-names":false,"suffix":""},{"dropping-particle":"","family":"Block","given":"Tom","non-dropping-particle":"","parse-names":false,"suffix":""},{"dropping-particle":"","family":"Koetz","given":"Benjamin","non-dropping-particle":"","parse-names":false,"suffix":""},{"dropping-particle":"","family":"Burini","given":"Alessandro","non-dropping-particle":"","parse-names":false,"suffix":""},{"dropping-particle":"","family":"Scholze","given":"Bettina","non-dropping-particle":"","parse-names":false,"suffix":""},{"dropping-particle":"","family":"Lecharpentier","given":"Patrice","non-dropping-particle":"","parse-names":false,"suffix":""},{"dropping-particle":"","family":"Brockmann","given":"Carsten","non-dropping-particle":"","parse-names":false,"suffix":""},{"dropping-particle":"","family":"Fernandes","given":"Richard","non-dropping-particle":"","parse-names":false,"suffix":""},{"dropping-particle":"","family":"Plummer","given":"Stephen","non-dropping-particle":"","parse-names":false,"suffix":""},{"dropping-particle":"","family":"Myneni","given":"Ranga","non-dropping-particle":"","parse-names":false,"suffix":""},{"dropping-particle":"","family":"Gobron","given":"Nadine","non-dropping-particle":"","parse-names":false,"suffix":""},{"dropping-particle":"","family":"Nightingale","given":"Joanne","non-dropping-particle":"","parse-names":false,"suffix":""},{"dropping-particle":"","family":"Schaepman-Strub","given":"Gabriela","non-dropping-particle":"","parse-names":false,"suffix":""},{"dropping-particle":"","family":"Camacho","given":"Fernando","non-dropping-particle":"","parse-names":false,"suffix":""},{"dropping-particle":"","family":"Sanchez-Azofeifa","given":"Arturo","non-dropping-particle":"","parse-names":false,"suffix":""}],"container-title":"Remote Sensing","id":"ITEM-1","issue":"5","issued":{"date-parts":[["2014","5","5"]]},"page":"4190-4216","title":"On Line Validation Exercise (OLIVE): A Web Based Service for the Validation of Medium Resolution Land Products. Application to FAPAR Products","type":"article-journal","volume":"6"},"uris":["http://www.mendeley.com/documents/?uuid=05361408-570a-3ada-9ddc-4e8c1b329a11"]}],"mendeley":{"formattedCitation":"[30]","plainTextFormattedCitation":"[30]","previouslyFormattedCitation":"[5]"},"properties":{"noteIndex":0},"schema":"https://github.com/citation-style-language/schema/raw/master/csl-citation.json"}</w:instrText>
      </w:r>
      <w:r w:rsidR="003E0371">
        <w:fldChar w:fldCharType="separate"/>
      </w:r>
      <w:r w:rsidR="00EF4B3C" w:rsidRPr="00EF4B3C">
        <w:rPr>
          <w:noProof/>
        </w:rPr>
        <w:t>[30]</w:t>
      </w:r>
      <w:r w:rsidR="003E0371">
        <w:fldChar w:fldCharType="end"/>
      </w:r>
      <w:r w:rsidR="00F53E47">
        <w:t>.</w:t>
      </w:r>
      <w:r w:rsidR="00500B18">
        <w:t xml:space="preserve"> </w:t>
      </w:r>
      <w:r w:rsidR="00F53E47">
        <w:t>OLIVE is an online platform</w:t>
      </w:r>
      <w:r w:rsidR="00655282">
        <w:t xml:space="preserve"> designed for the validation of global leaf area index (LAI), fraction of absorbed photosynthetically active radiation (FAPAR), and fraction of vegetation cover (FCOVER) </w:t>
      </w:r>
      <w:r w:rsidR="00655282">
        <w:lastRenderedPageBreak/>
        <w:t>products.</w:t>
      </w:r>
      <w:r w:rsidR="00500B18">
        <w:t xml:space="preserve"> </w:t>
      </w:r>
      <w:r w:rsidR="00655282">
        <w:t>Containing data from five operational products over the BELMANIP2 sites, it enables users to generate online reports, facilitating:</w:t>
      </w:r>
    </w:p>
    <w:p w14:paraId="6539C611" w14:textId="7365AAD0" w:rsidR="00655282" w:rsidRDefault="00655282" w:rsidP="00F92F9B">
      <w:pPr>
        <w:pStyle w:val="ListParagraph"/>
        <w:numPr>
          <w:ilvl w:val="0"/>
          <w:numId w:val="3"/>
        </w:numPr>
        <w:spacing w:line="360" w:lineRule="auto"/>
        <w:jc w:val="both"/>
      </w:pPr>
      <w:r>
        <w:t xml:space="preserve">Evaluation of product continuity, temporal </w:t>
      </w:r>
      <w:proofErr w:type="gramStart"/>
      <w:r>
        <w:t>consistency</w:t>
      </w:r>
      <w:proofErr w:type="gramEnd"/>
      <w:r>
        <w:t xml:space="preserve"> and stability</w:t>
      </w:r>
    </w:p>
    <w:p w14:paraId="2D669F4D" w14:textId="23466555" w:rsidR="00655282" w:rsidRDefault="00655282" w:rsidP="00F92F9B">
      <w:pPr>
        <w:pStyle w:val="ListParagraph"/>
        <w:numPr>
          <w:ilvl w:val="0"/>
          <w:numId w:val="3"/>
        </w:numPr>
        <w:spacing w:line="360" w:lineRule="auto"/>
        <w:jc w:val="both"/>
      </w:pPr>
      <w:r>
        <w:t xml:space="preserve">Generation of temporal profiles for the </w:t>
      </w:r>
      <w:proofErr w:type="gramStart"/>
      <w:r>
        <w:t>time period</w:t>
      </w:r>
      <w:proofErr w:type="gramEnd"/>
      <w:r>
        <w:t xml:space="preserve"> of interest</w:t>
      </w:r>
    </w:p>
    <w:p w14:paraId="1AA67484" w14:textId="5A637DCB" w:rsidR="00655282" w:rsidRDefault="00655282" w:rsidP="00F92F9B">
      <w:pPr>
        <w:pStyle w:val="ListParagraph"/>
        <w:numPr>
          <w:ilvl w:val="0"/>
          <w:numId w:val="3"/>
        </w:numPr>
        <w:spacing w:line="360" w:lineRule="auto"/>
        <w:jc w:val="both"/>
      </w:pPr>
      <w:r>
        <w:t>Evaluation of product statistical distribution at the biome, continental and global scale</w:t>
      </w:r>
    </w:p>
    <w:p w14:paraId="3A4C10E8" w14:textId="28DFB38C" w:rsidR="00C73EC4" w:rsidRDefault="00655282" w:rsidP="00491F1D">
      <w:pPr>
        <w:pStyle w:val="ListParagraph"/>
        <w:numPr>
          <w:ilvl w:val="0"/>
          <w:numId w:val="3"/>
        </w:numPr>
        <w:spacing w:line="360" w:lineRule="auto"/>
        <w:jc w:val="both"/>
      </w:pPr>
      <w:r>
        <w:t>Comparison with similar products (scatterplots and statistics for pairs of products)</w:t>
      </w:r>
    </w:p>
    <w:p w14:paraId="28F7D5C8" w14:textId="77777777" w:rsidR="00491F1D" w:rsidRPr="007F2B4A" w:rsidRDefault="00491F1D" w:rsidP="00491F1D">
      <w:pPr>
        <w:pStyle w:val="ListParagraph"/>
        <w:spacing w:after="0" w:line="360" w:lineRule="auto"/>
        <w:ind w:left="360"/>
        <w:jc w:val="both"/>
      </w:pPr>
    </w:p>
    <w:p w14:paraId="1331704C" w14:textId="2B9645C0" w:rsidR="00C73EC4" w:rsidRPr="00F92F9B" w:rsidRDefault="005C6534" w:rsidP="0083359B">
      <w:pPr>
        <w:pStyle w:val="Heading2"/>
      </w:pPr>
      <w:bookmarkStart w:id="30" w:name="_Toc43388057"/>
      <w:r>
        <w:t xml:space="preserve">Review of </w:t>
      </w:r>
      <w:r w:rsidR="00491F1D">
        <w:t>C</w:t>
      </w:r>
      <w:r>
        <w:t xml:space="preserve">urrent </w:t>
      </w:r>
      <w:r w:rsidR="0083359B">
        <w:t xml:space="preserve">Direct Validation </w:t>
      </w:r>
      <w:r w:rsidR="00C73EC4" w:rsidRPr="0083359B">
        <w:t>Methodology</w:t>
      </w:r>
      <w:bookmarkEnd w:id="30"/>
    </w:p>
    <w:p w14:paraId="5ABE8A1C" w14:textId="77777777" w:rsidR="00CB57D1" w:rsidRPr="00CB57D1" w:rsidRDefault="00CB57D1" w:rsidP="00491F1D">
      <w:pPr>
        <w:spacing w:after="0"/>
      </w:pPr>
    </w:p>
    <w:p w14:paraId="60670EFF" w14:textId="4EF38992" w:rsidR="00A94E1D" w:rsidRDefault="0056739D" w:rsidP="001921F1">
      <w:pPr>
        <w:spacing w:line="360" w:lineRule="auto"/>
        <w:jc w:val="both"/>
      </w:pPr>
      <w:r>
        <w:t xml:space="preserve">To address the disparity in spatial scale between </w:t>
      </w:r>
      <w:r w:rsidR="00EF4B3C">
        <w:t>in situ</w:t>
      </w:r>
      <w:r>
        <w:t xml:space="preserve"> measurements and the satellite-derived vegetation products themselves, the ‘two stage’ or ‘bottom up’ approach was proposed by the CEOS WGCV LPV sub-group.</w:t>
      </w:r>
      <w:r w:rsidR="00500B18">
        <w:t xml:space="preserve"> </w:t>
      </w:r>
      <w:r>
        <w:t>The approach relies on</w:t>
      </w:r>
      <w:r w:rsidR="004E2761">
        <w:t xml:space="preserve"> the use of</w:t>
      </w:r>
      <w:r>
        <w:t xml:space="preserve"> </w:t>
      </w:r>
      <w:r w:rsidR="004E2761">
        <w:t xml:space="preserve">high spatial resolution imagery to upscale </w:t>
      </w:r>
      <w:r w:rsidR="00EF4B3C">
        <w:t>in situ</w:t>
      </w:r>
      <w:r w:rsidR="004E2761">
        <w:t xml:space="preserve"> measurements to the moderate spatial resolution of the satellite-derived product of interest.</w:t>
      </w:r>
      <w:r w:rsidR="00500B18">
        <w:t xml:space="preserve"> </w:t>
      </w:r>
      <w:r w:rsidR="004E2761">
        <w:t xml:space="preserve">It consists of performing </w:t>
      </w:r>
      <w:r w:rsidR="00EF4B3C">
        <w:t>in situ</w:t>
      </w:r>
      <w:r w:rsidR="004E2761">
        <w:t xml:space="preserve"> measurements within</w:t>
      </w:r>
      <w:r>
        <w:t xml:space="preserve"> ele</w:t>
      </w:r>
      <w:r w:rsidR="004E2761">
        <w:t xml:space="preserve">mentary sampling units (ESUs) that </w:t>
      </w:r>
      <w:r>
        <w:t>approximate the extent of a pixel of high spatial resolution imagery</w:t>
      </w:r>
      <w:r w:rsidR="00CA7CF0">
        <w:t xml:space="preserve">. Fine </w:t>
      </w:r>
      <w:r w:rsidR="004E2761">
        <w:t xml:space="preserve">scale variability </w:t>
      </w:r>
      <w:r w:rsidR="00CA7CF0">
        <w:t xml:space="preserve">is characterised by repeat measurements within the ESU, whereas the </w:t>
      </w:r>
      <w:r w:rsidR="004E2761">
        <w:t>high spatial resolution imagery is</w:t>
      </w:r>
      <w:r w:rsidR="00CA7CF0">
        <w:t xml:space="preserve"> </w:t>
      </w:r>
      <w:r w:rsidR="004E2761">
        <w:t>used</w:t>
      </w:r>
      <w:r>
        <w:t xml:space="preserve"> to characterise </w:t>
      </w:r>
      <w:r w:rsidR="004E2761">
        <w:t>broad-scale</w:t>
      </w:r>
      <w:r>
        <w:t xml:space="preserve"> variability over the site</w:t>
      </w:r>
      <w:r w:rsidR="00CA7CF0">
        <w:t>.</w:t>
      </w:r>
      <w:r w:rsidR="00500B18">
        <w:t xml:space="preserve"> </w:t>
      </w:r>
      <w:r w:rsidR="00CA7CF0">
        <w:t xml:space="preserve"> By combining the two sources of data, a high spatial resolution reference map can be derived, which can then be aggregated to the required moderate spatial resolution, enabling validation</w:t>
      </w:r>
      <w:r w:rsidR="00500B18">
        <w:t xml:space="preserve"> (Figure 1)</w:t>
      </w:r>
      <w:r w:rsidR="00CA7CF0">
        <w:t>.</w:t>
      </w:r>
    </w:p>
    <w:p w14:paraId="4A2E73C4" w14:textId="77777777" w:rsidR="00491F1D" w:rsidRDefault="00491F1D" w:rsidP="00491F1D">
      <w:pPr>
        <w:spacing w:after="0" w:line="360" w:lineRule="auto"/>
        <w:jc w:val="both"/>
      </w:pPr>
    </w:p>
    <w:p w14:paraId="74BE8287" w14:textId="77777777" w:rsidR="00EA408D" w:rsidRDefault="00C94C80" w:rsidP="00EA408D">
      <w:pPr>
        <w:keepNext/>
        <w:jc w:val="center"/>
      </w:pPr>
      <w:r>
        <w:rPr>
          <w:noProof/>
          <w:lang w:eastAsia="en-GB"/>
        </w:rPr>
        <w:drawing>
          <wp:inline distT="0" distB="0" distL="0" distR="0" wp14:anchorId="679A0FCB" wp14:editId="6E047858">
            <wp:extent cx="2848163" cy="19240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73106" cy="1940900"/>
                    </a:xfrm>
                    <a:prstGeom prst="rect">
                      <a:avLst/>
                    </a:prstGeom>
                    <a:noFill/>
                    <a:ln>
                      <a:noFill/>
                    </a:ln>
                  </pic:spPr>
                </pic:pic>
              </a:graphicData>
            </a:graphic>
          </wp:inline>
        </w:drawing>
      </w:r>
    </w:p>
    <w:p w14:paraId="71530C18" w14:textId="684FB9C2" w:rsidR="000E53AD" w:rsidRDefault="00EA408D" w:rsidP="001921F1">
      <w:pPr>
        <w:pStyle w:val="Caption"/>
        <w:jc w:val="center"/>
      </w:pPr>
      <w:bookmarkStart w:id="31" w:name="_Toc43388018"/>
      <w:r>
        <w:t xml:space="preserve">Figure </w:t>
      </w:r>
      <w:fldSimple w:instr=" SEQ Figure \* ARABIC ">
        <w:r w:rsidR="00D533BE">
          <w:rPr>
            <w:noProof/>
          </w:rPr>
          <w:t>1</w:t>
        </w:r>
      </w:fldSimple>
      <w:r>
        <w:t xml:space="preserve">: </w:t>
      </w:r>
      <w:r w:rsidRPr="00345241">
        <w:t>Diagram illustrating the ‘two stage’ or ‘bottom up’ approach to validation proposed by the CEOS WGCV LPV sub-group</w:t>
      </w:r>
      <w:r w:rsidR="00001273">
        <w:t xml:space="preserve">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i w:val="0"/>
          <w:noProof/>
        </w:rPr>
        <w:t>[34]</w:t>
      </w:r>
      <w:r w:rsidR="00001273">
        <w:fldChar w:fldCharType="end"/>
      </w:r>
      <w:r w:rsidR="00491F1D">
        <w:t>.</w:t>
      </w:r>
      <w:bookmarkEnd w:id="31"/>
    </w:p>
    <w:p w14:paraId="2E201144" w14:textId="77777777" w:rsidR="00491F1D" w:rsidRPr="00491F1D" w:rsidRDefault="00491F1D" w:rsidP="00491F1D">
      <w:pPr>
        <w:spacing w:after="0"/>
      </w:pPr>
    </w:p>
    <w:p w14:paraId="7C5B6C7E" w14:textId="569699F0" w:rsidR="007B3CD9" w:rsidRPr="00DB1978" w:rsidRDefault="000E53AD" w:rsidP="0083359B">
      <w:pPr>
        <w:pStyle w:val="Heading3"/>
        <w:numPr>
          <w:ilvl w:val="2"/>
          <w:numId w:val="49"/>
        </w:numPr>
      </w:pPr>
      <w:bookmarkStart w:id="32" w:name="_Toc43388058"/>
      <w:r w:rsidRPr="00DB1978">
        <w:t xml:space="preserve">Site </w:t>
      </w:r>
      <w:r w:rsidRPr="0083359B">
        <w:t>Characteristics</w:t>
      </w:r>
      <w:bookmarkEnd w:id="32"/>
    </w:p>
    <w:p w14:paraId="1BAF7004" w14:textId="06D70725" w:rsidR="008E5C95" w:rsidRDefault="008E5C95" w:rsidP="00491F1D">
      <w:pPr>
        <w:spacing w:after="0"/>
      </w:pPr>
    </w:p>
    <w:p w14:paraId="1115EF13" w14:textId="40A53BE9" w:rsidR="008E5C95" w:rsidRDefault="00A22023" w:rsidP="00491F1D">
      <w:pPr>
        <w:spacing w:line="360" w:lineRule="auto"/>
        <w:jc w:val="both"/>
      </w:pPr>
      <w:r>
        <w:t>To successfully apply the ‘two stage’ or ‘bottom up’ approach,</w:t>
      </w:r>
      <w:r w:rsidR="00001273">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471F28">
        <w:t xml:space="preserve"> </w:t>
      </w:r>
      <w:r>
        <w:t>su</w:t>
      </w:r>
      <w:r w:rsidR="00091966">
        <w:t>ggest that</w:t>
      </w:r>
      <w:r>
        <w:t xml:space="preserve"> validation site</w:t>
      </w:r>
      <w:r w:rsidR="00091966">
        <w:t>s</w:t>
      </w:r>
      <w:r>
        <w:t xml:space="preserve"> should be relatively homogeneous, cover</w:t>
      </w:r>
      <w:r w:rsidR="00091966">
        <w:t>ing</w:t>
      </w:r>
      <w:r>
        <w:t xml:space="preserve"> an area of at least 3 km x 3 km.</w:t>
      </w:r>
      <w:r w:rsidR="00500B18">
        <w:t xml:space="preserve"> </w:t>
      </w:r>
      <w:r w:rsidR="00091966">
        <w:t>This suggestion is reiterated by</w:t>
      </w:r>
      <w:r w:rsidR="00001273">
        <w:t xml:space="preserve"> </w:t>
      </w:r>
      <w:r w:rsidR="00001273">
        <w:lastRenderedPageBreak/>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rsidR="00091966">
        <w:t>, who suggest that whilst a site of 1 km x 1 km may be suitable in homogeneous areas, such an extent is likely too small given positional uncertainties and the instrument’s point spread function (PSF).</w:t>
      </w:r>
      <w:r w:rsidR="00500B18">
        <w:t xml:space="preserve"> </w:t>
      </w:r>
      <w:r w:rsidR="00091966">
        <w:t>It should be noted that the 3 km x 3 km extent</w:t>
      </w:r>
      <w:r>
        <w:t xml:space="preserve"> was </w:t>
      </w:r>
      <w:r w:rsidR="00D90CA6">
        <w:t>recommended</w:t>
      </w:r>
      <w:r>
        <w:t xml:space="preserve"> </w:t>
      </w:r>
      <w:r w:rsidR="00091966">
        <w:t xml:space="preserve">at a time when most considered </w:t>
      </w:r>
      <w:r w:rsidR="0063084E">
        <w:t>products</w:t>
      </w:r>
      <w:r w:rsidR="00091966">
        <w:t xml:space="preserve"> had a spatial resolution of approximately 1 km.</w:t>
      </w:r>
      <w:r w:rsidR="00500B18">
        <w:t xml:space="preserve"> </w:t>
      </w:r>
      <w:r w:rsidR="00091966">
        <w:t xml:space="preserve">Although modern instruments such as Sentinel-3’s </w:t>
      </w:r>
      <w:r w:rsidR="001E1279">
        <w:t>OLCI</w:t>
      </w:r>
      <w:r w:rsidR="00091966">
        <w:t xml:space="preserve"> have an improved spatial resolution (</w:t>
      </w:r>
      <w:r w:rsidR="0063084E">
        <w:t xml:space="preserve">e.g. </w:t>
      </w:r>
      <w:r w:rsidR="00091966">
        <w:t xml:space="preserve">300 m), </w:t>
      </w:r>
      <w:r>
        <w:t>the 3 km x 3 km criterion is still considered a</w:t>
      </w:r>
      <w:r w:rsidR="00091966">
        <w:t xml:space="preserve"> good rule of thumb</w:t>
      </w:r>
      <w:r w:rsidR="00A94E1D">
        <w:t xml:space="preserve"> to</w:t>
      </w:r>
      <w:r w:rsidR="00091966">
        <w:t xml:space="preserve"> ensure backwards compatibility </w:t>
      </w:r>
      <w:r w:rsidR="0063084E">
        <w:t xml:space="preserve">of validation data </w:t>
      </w:r>
      <w:r w:rsidR="00091966">
        <w:t>with</w:t>
      </w:r>
      <w:r w:rsidR="00D90CA6">
        <w:t xml:space="preserve"> those</w:t>
      </w:r>
      <w:r w:rsidR="00091966">
        <w:t xml:space="preserve"> older generation instruments still in operation.</w:t>
      </w:r>
      <w:r w:rsidR="00500B18">
        <w:t xml:space="preserve"> </w:t>
      </w:r>
      <w:r w:rsidR="00091966">
        <w:t xml:space="preserve">In addition to its size and homogeneity,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001273">
        <w:t xml:space="preserve"> </w:t>
      </w:r>
      <w:r w:rsidR="00091966">
        <w:t>also recommend sites that are relatively flat to avoid terrain effects.</w:t>
      </w:r>
      <w:r w:rsidR="00500B18">
        <w:t xml:space="preserve"> </w:t>
      </w:r>
      <w:r w:rsidR="00091966">
        <w:t>In terms of the distribution of sites, it is suggested that they should sample the variability of biomes and vegetation conditions encountered over the globe</w:t>
      </w:r>
      <w:r w:rsidR="00001273">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091966">
        <w:t>.</w:t>
      </w:r>
    </w:p>
    <w:p w14:paraId="0FF39CB9" w14:textId="77777777" w:rsidR="00491F1D" w:rsidRPr="00491F1D" w:rsidRDefault="00491F1D" w:rsidP="00491F1D">
      <w:pPr>
        <w:spacing w:after="0" w:line="360" w:lineRule="auto"/>
        <w:jc w:val="both"/>
      </w:pPr>
    </w:p>
    <w:p w14:paraId="6783A7DF" w14:textId="61A66EE7" w:rsidR="007B3CD9" w:rsidRPr="00DB1978" w:rsidRDefault="00212E59" w:rsidP="00476577">
      <w:pPr>
        <w:pStyle w:val="Heading3"/>
      </w:pPr>
      <w:bookmarkStart w:id="33" w:name="_Toc43388059"/>
      <w:r w:rsidRPr="00DB1978">
        <w:t xml:space="preserve">Site </w:t>
      </w:r>
      <w:r w:rsidR="007B3CD9" w:rsidRPr="00DB1978">
        <w:t>Sampling Strategy</w:t>
      </w:r>
      <w:bookmarkEnd w:id="33"/>
    </w:p>
    <w:p w14:paraId="5C5999AC" w14:textId="7D3B42FF" w:rsidR="000E53AD" w:rsidRDefault="000E53AD" w:rsidP="00491F1D">
      <w:pPr>
        <w:spacing w:after="0"/>
      </w:pPr>
    </w:p>
    <w:p w14:paraId="17A10E48" w14:textId="2FC22295" w:rsidR="00F3249A" w:rsidRDefault="00F3249A" w:rsidP="00F92F9B">
      <w:pPr>
        <w:spacing w:line="360" w:lineRule="auto"/>
        <w:jc w:val="both"/>
      </w:pPr>
      <w:r>
        <w:t>The number and distribution of ESUs required</w:t>
      </w:r>
      <w:r w:rsidR="0024513C">
        <w:t xml:space="preserve"> over a site</w:t>
      </w:r>
      <w:r>
        <w:t xml:space="preserve"> </w:t>
      </w:r>
      <w:r w:rsidR="0024513C">
        <w:t>are</w:t>
      </w:r>
      <w:r>
        <w:t xml:space="preserve"> a function</w:t>
      </w:r>
      <w:r w:rsidR="0024513C">
        <w:t xml:space="preserve"> of</w:t>
      </w:r>
      <w:r>
        <w:t xml:space="preserve"> </w:t>
      </w:r>
      <w:r w:rsidR="0024513C">
        <w:t>its</w:t>
      </w:r>
      <w:r>
        <w:t xml:space="preserve"> heterogeneity.</w:t>
      </w:r>
      <w:r w:rsidR="00500B18">
        <w:t xml:space="preserve"> </w:t>
      </w:r>
      <w:r>
        <w:t>According to</w:t>
      </w:r>
      <w:r w:rsidR="00001273">
        <w:t xml:space="preserve"> </w:t>
      </w:r>
      <w:r w:rsidR="00001273">
        <w:fldChar w:fldCharType="begin" w:fldLock="1"/>
      </w:r>
      <w:r w:rsidR="00EF4B3C">
        <w:instrText>ADDIN CSL_CITATION {"citationItems":[{"id":"ITEM-1","itemData":{"ISBN":"0099-1112","ISSN":"00991112","abstract":"The results of a computer-based automated sample selection were more comprehensive than the results of a manual sample selection in estimating the accuracy of the Tampa, Florida land-use and land-cover map.","author":[{"dropping-particle":"","family":"Fitzpatrick-Lins","given":"Katherine","non-dropping-particle":"","parse-names":false,"suffix":""}],"container-title":"Photogrammetric Engineering and Remote Sensing","id":"ITEM-1","issue":"3","issued":{"date-parts":[["1981"]]},"page":"343-351","title":"Comparison of sampling procedures and data analysis for a land-use and land-cover map","type":"article-journal","volume":"47"},"uris":["http://www.mendeley.com/documents/?uuid=13640add-d54b-434d-bf48-b3f55642d17f"]}],"mendeley":{"formattedCitation":"[35]","plainTextFormattedCitation":"[35]","previouslyFormattedCitation":"[11]"},"properties":{"noteIndex":0},"schema":"https://github.com/citation-style-language/schema/raw/master/csl-citation.json"}</w:instrText>
      </w:r>
      <w:r w:rsidR="00001273">
        <w:fldChar w:fldCharType="separate"/>
      </w:r>
      <w:r w:rsidR="00EF4B3C" w:rsidRPr="00EF4B3C">
        <w:rPr>
          <w:noProof/>
        </w:rPr>
        <w:t>[35]</w:t>
      </w:r>
      <w:r w:rsidR="00001273">
        <w:fldChar w:fldCharType="end"/>
      </w:r>
      <w:r>
        <w:t>, the number of ESUs required can be determined as</w:t>
      </w:r>
    </w:p>
    <w:p w14:paraId="52F7D845" w14:textId="67CE1E2C" w:rsidR="00F3249A" w:rsidRPr="0024513C" w:rsidRDefault="0024513C" w:rsidP="00F92F9B">
      <w:pPr>
        <w:spacing w:line="360" w:lineRule="auto"/>
        <w:jc w:val="both"/>
        <w:rPr>
          <w:rFonts w:eastAsiaTheme="minorEastAsia"/>
        </w:rPr>
      </w:pPr>
      <w:r>
        <w:rPr>
          <w:rFonts w:eastAsiaTheme="minorEastAsia"/>
        </w:rPr>
        <w:br/>
      </w:r>
      <m:oMathPara>
        <m:oMath>
          <m:r>
            <w:rPr>
              <w:rFonts w:ascii="Cambria Math" w:hAnsi="Cambria Math"/>
            </w:rPr>
            <m:t>N=</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p q / </m:t>
          </m:r>
          <m:sSup>
            <m:sSupPr>
              <m:ctrlPr>
                <w:rPr>
                  <w:rFonts w:ascii="Cambria Math" w:hAnsi="Cambria Math"/>
                  <w:i/>
                </w:rPr>
              </m:ctrlPr>
            </m:sSupPr>
            <m:e>
              <m:r>
                <w:rPr>
                  <w:rFonts w:ascii="Cambria Math" w:hAnsi="Cambria Math"/>
                </w:rPr>
                <m:t>E</m:t>
              </m:r>
            </m:e>
            <m:sup>
              <m:r>
                <w:rPr>
                  <w:rFonts w:ascii="Cambria Math" w:hAnsi="Cambria Math"/>
                </w:rPr>
                <m:t>2</m:t>
              </m:r>
            </m:sup>
          </m:sSup>
        </m:oMath>
      </m:oMathPara>
    </w:p>
    <w:p w14:paraId="312A53B8" w14:textId="35E1F146" w:rsidR="0038637C" w:rsidRDefault="0024513C" w:rsidP="00F92F9B">
      <w:pPr>
        <w:spacing w:line="360" w:lineRule="auto"/>
        <w:jc w:val="both"/>
      </w:pPr>
      <w:r>
        <w:rPr>
          <w:rFonts w:eastAsiaTheme="minorEastAsia"/>
        </w:rPr>
        <w:br/>
        <w:t xml:space="preserve">where </w:t>
      </w:r>
      <m:oMath>
        <m:r>
          <w:rPr>
            <w:rFonts w:ascii="Cambria Math" w:hAnsi="Cambria Math"/>
          </w:rPr>
          <m:t>Z</m:t>
        </m:r>
      </m:oMath>
      <w:r>
        <w:rPr>
          <w:rFonts w:eastAsiaTheme="minorEastAsia"/>
        </w:rPr>
        <w:t xml:space="preserve"> is equal to 2 in the case of the 95% confidence level, </w:t>
      </w:r>
      <m:oMath>
        <m:r>
          <w:rPr>
            <w:rFonts w:ascii="Cambria Math" w:hAnsi="Cambria Math"/>
          </w:rPr>
          <m:t>p</m:t>
        </m:r>
      </m:oMath>
      <w:r>
        <w:rPr>
          <w:rFonts w:eastAsiaTheme="minorEastAsia"/>
        </w:rPr>
        <w:t xml:space="preserve"> is the expected accuracy, </w:t>
      </w:r>
      <m:oMath>
        <m:r>
          <w:rPr>
            <w:rFonts w:ascii="Cambria Math" w:hAnsi="Cambria Math"/>
          </w:rPr>
          <m:t>q</m:t>
        </m:r>
      </m:oMath>
      <w:r>
        <w:rPr>
          <w:rFonts w:eastAsiaTheme="minorEastAsia"/>
        </w:rPr>
        <w:t xml:space="preserve"> is equal to </w:t>
      </w:r>
      <m:oMath>
        <m:r>
          <w:rPr>
            <w:rFonts w:ascii="Cambria Math" w:eastAsiaTheme="minorEastAsia" w:hAnsi="Cambria Math"/>
          </w:rPr>
          <m:t>100-</m:t>
        </m:r>
        <m:r>
          <w:rPr>
            <w:rFonts w:ascii="Cambria Math" w:hAnsi="Cambria Math"/>
          </w:rPr>
          <m:t>p</m:t>
        </m:r>
      </m:oMath>
      <w:r>
        <w:rPr>
          <w:rFonts w:eastAsiaTheme="minorEastAsia"/>
        </w:rPr>
        <w:t xml:space="preserve">, and </w:t>
      </w:r>
      <m:oMath>
        <m:r>
          <w:rPr>
            <w:rFonts w:ascii="Cambria Math" w:hAnsi="Cambria Math"/>
          </w:rPr>
          <m:t>E</m:t>
        </m:r>
      </m:oMath>
      <w:r>
        <w:rPr>
          <w:rFonts w:eastAsiaTheme="minorEastAsia"/>
        </w:rPr>
        <w:t xml:space="preserve"> is the allowable error.</w:t>
      </w:r>
      <w:r w:rsidR="00500B18">
        <w:rPr>
          <w:rFonts w:eastAsiaTheme="minorEastAsia"/>
        </w:rPr>
        <w:t xml:space="preserve"> </w:t>
      </w:r>
      <w:r>
        <w:rPr>
          <w:rFonts w:eastAsiaTheme="minorEastAsia"/>
        </w:rPr>
        <w:t>Thus, with an expected accuracy of 85% and an allowable error of 5%, the number of samples required to reach the 95% confidence level would be 204.</w:t>
      </w:r>
      <w:r w:rsidR="00500B18">
        <w:rPr>
          <w:rFonts w:eastAsiaTheme="minorEastAsia"/>
        </w:rPr>
        <w:t xml:space="preserve"> </w:t>
      </w:r>
      <w:proofErr w:type="gramStart"/>
      <w:r w:rsidR="00F3249A">
        <w:t>In reality this</w:t>
      </w:r>
      <w:proofErr w:type="gramEnd"/>
      <w:r w:rsidR="00F3249A">
        <w:t xml:space="preserve"> number is unlikely to be attain</w:t>
      </w:r>
      <w:r>
        <w:t>able in a single field campaign due to logistical constraints.</w:t>
      </w:r>
      <w:r w:rsidR="00500B18">
        <w:t xml:space="preserve"> </w:t>
      </w:r>
      <w:r>
        <w:t>As such, the typical minimum number of ESUs recommended ranges from twenty to thirty</w:t>
      </w:r>
      <w:r w:rsidR="00E92A5B">
        <w:t xml:space="preserve">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id":"ITEM-2","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-2","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 [34]","plainTextFormattedCitation":"[10], [34]","previouslyFormattedCitation":"[9], [10]"},"properties":{"noteIndex":0},"schema":"https://github.com/citation-style-language/schema/raw/master/csl-citation.json"}</w:instrText>
      </w:r>
      <w:r w:rsidR="00001273">
        <w:fldChar w:fldCharType="separate"/>
      </w:r>
      <w:r w:rsidR="00EF4B3C" w:rsidRPr="00EF4B3C">
        <w:rPr>
          <w:noProof/>
        </w:rPr>
        <w:t>[10], [34]</w:t>
      </w:r>
      <w:r w:rsidR="00001273">
        <w:fldChar w:fldCharType="end"/>
      </w:r>
      <w:r w:rsidR="00001273">
        <w:t>.</w:t>
      </w:r>
    </w:p>
    <w:p w14:paraId="13E5F741" w14:textId="1F1428CB" w:rsidR="00491F1D" w:rsidRDefault="0024513C" w:rsidP="00491F1D">
      <w:pPr>
        <w:spacing w:line="360" w:lineRule="auto"/>
        <w:jc w:val="both"/>
      </w:pPr>
      <w:r>
        <w:t>To achieve a good spatial distribution</w:t>
      </w:r>
      <w:r w:rsidR="0038637C">
        <w:t>,</w:t>
      </w:r>
      <w:r>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E92A5B">
        <w:t xml:space="preserve"> </w:t>
      </w:r>
      <w:r>
        <w:t xml:space="preserve">recommend that the 3 km x 3 km site should be split into 1 km x 1 km cells, and that three to five ESUs should be </w:t>
      </w:r>
      <w:r w:rsidR="002E2ADE">
        <w:t>established</w:t>
      </w:r>
      <w:r w:rsidR="0038637C">
        <w:t xml:space="preserve"> in each</w:t>
      </w:r>
      <w:r w:rsidR="00500B18">
        <w:t xml:space="preserve"> (Figure 2)</w:t>
      </w:r>
      <w:r w:rsidR="0038637C">
        <w:t>.</w:t>
      </w:r>
      <w:r w:rsidR="00500B18">
        <w:t xml:space="preserve"> </w:t>
      </w:r>
      <w:r w:rsidR="00001273">
        <w:t xml:space="preserve">Both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rsidR="00001273">
        <w:t xml:space="preserve"> and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38637C">
        <w:t xml:space="preserve"> recommend that ESUs should be selected based on the land cover of the site to achieve proportional representation o</w:t>
      </w:r>
      <w:r w:rsidR="0034550D">
        <w:t xml:space="preserve">f all dominant land cover types, and </w:t>
      </w:r>
      <w:r w:rsidR="00001273">
        <w:fldChar w:fldCharType="begin" w:fldLock="1"/>
      </w:r>
      <w:r w:rsidR="00EF4B3C">
        <w:instrText>ADDIN CSL_CITATION {"citationItems":[{"id":"ITEM-1","itemData":{"author":[{"dropping-particle":"","family":"Camacho","given":"F","non-dropping-particle":"","parse-names":false,"suffix":""},{"dropping-particle":"","family":"Baret","given":"F","non-dropping-particle":"","parse-names":false,"suffix":""},{"dropping-particle":"","family":"Lacaze","given":"R","non-dropping-particle":"","parse-names":false,"suffix":""}],"edition":"1.10","id":"ITEM-1","issued":{"date-parts":[["0"]]},"publisher":"EOLAB","publisher-place":"Valencia, Spain","title":"Guidelines for a Field Campaign","type":"book"},"uris":["http://www.mendeley.com/documents/?uuid=07e2cf62-f1bd-42c9-895d-28d2a8f73598"]}],"mendeley":{"formattedCitation":"[36]","plainTextFormattedCitation":"[36]","previouslyFormattedCitation":"[12]"},"properties":{"noteIndex":0},"schema":"https://github.com/citation-style-language/schema/raw/master/csl-citation.json"}</w:instrText>
      </w:r>
      <w:r w:rsidR="00001273">
        <w:fldChar w:fldCharType="separate"/>
      </w:r>
      <w:r w:rsidR="00EF4B3C" w:rsidRPr="00EF4B3C">
        <w:rPr>
          <w:noProof/>
        </w:rPr>
        <w:t>[36]</w:t>
      </w:r>
      <w:r w:rsidR="00001273">
        <w:fldChar w:fldCharType="end"/>
      </w:r>
      <w:r w:rsidR="0034550D">
        <w:t xml:space="preserve"> suggest that at least three ESUs should be established per land cover type (including bare areas), covering, low, medium and high values of the parameter of interest.</w:t>
      </w:r>
      <w:r w:rsidR="00500B18">
        <w:t xml:space="preserve"> </w:t>
      </w:r>
      <w:r w:rsidR="0038637C">
        <w:t>Additional criteria to be considered in the placement of ESUs are related to logistical constraints, including accessibility.</w:t>
      </w:r>
      <w:r w:rsidR="00500B18">
        <w:t xml:space="preserve"> </w:t>
      </w:r>
      <w:r w:rsidR="0038637C">
        <w:t xml:space="preserve">They should be located </w:t>
      </w:r>
      <w:r w:rsidR="0038637C" w:rsidRPr="0038637C">
        <w:t xml:space="preserve">close enough together to maintain efficient </w:t>
      </w:r>
      <w:r w:rsidR="00EF4B3C">
        <w:t>in situ</w:t>
      </w:r>
      <w:r w:rsidR="0038637C" w:rsidRPr="0038637C">
        <w:t xml:space="preserve"> sampling, but far enough apart to </w:t>
      </w:r>
      <w:r w:rsidR="0038637C">
        <w:t>minimise spatial autocorrelation</w:t>
      </w:r>
      <w:r w:rsidR="00001273">
        <w:t xml:space="preserve">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rsidR="0038637C">
        <w:t>.</w:t>
      </w:r>
      <w:r w:rsidR="00500B18">
        <w:t xml:space="preserve"> </w:t>
      </w:r>
      <w:r w:rsidR="0038637C">
        <w:t xml:space="preserve">Similarly, they should be located at a reasonable distance from borders to avoid adjacency effects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id":"ITEM-2","itemData":{"author":[{"dropping-particle":"","family":"Camacho","given":"F","non-dropping-particle":"","parse-names":false,"suffix":""},{"dropping-particle":"","family":"Baret","given":"F","non-dropping-particle":"","parse-names":false,"suffix":""},{"dropping-particle":"","family":"Lacaze","given":"R","non-dropping-particle":"","parse-names":false,"suffix":""}],"edition":"1.10","id":"ITEM-2","issued":{"date-parts":[["0"]]},"publisher":"EOLAB","publisher-place":"Valencia, Spain","title":"Guidelines for a Field Campaign","type":"book"},"uris":["http://www.mendeley.com/documents/?uuid=07e2cf62-f1bd-42c9-895d-28d2a8f73598"]}],"mendeley":{"formattedCitation":"[10], [36]","plainTextFormattedCitation":"[10], [36]","previouslyFormattedCitation":"[10], [12]"},"properties":{"noteIndex":0},"schema":"https://github.com/citation-style-language/schema/raw/master/csl-citation.json"}</w:instrText>
      </w:r>
      <w:r w:rsidR="00001273">
        <w:fldChar w:fldCharType="separate"/>
      </w:r>
      <w:r w:rsidR="00EF4B3C" w:rsidRPr="00EF4B3C">
        <w:rPr>
          <w:noProof/>
        </w:rPr>
        <w:t>[10], [36]</w:t>
      </w:r>
      <w:r w:rsidR="00001273">
        <w:fldChar w:fldCharType="end"/>
      </w:r>
      <w:r w:rsidR="0029510D">
        <w:t>.</w:t>
      </w:r>
    </w:p>
    <w:p w14:paraId="6392CC9D" w14:textId="44154962" w:rsidR="00212E59" w:rsidRPr="00DB1978" w:rsidRDefault="00212E59" w:rsidP="00476577">
      <w:pPr>
        <w:pStyle w:val="Heading3"/>
      </w:pPr>
      <w:bookmarkStart w:id="34" w:name="_Ref2101292"/>
      <w:bookmarkStart w:id="35" w:name="_Toc43388060"/>
      <w:r w:rsidRPr="00DB1978">
        <w:lastRenderedPageBreak/>
        <w:t>ESU Sampling Strategy</w:t>
      </w:r>
      <w:bookmarkEnd w:id="34"/>
      <w:bookmarkEnd w:id="35"/>
    </w:p>
    <w:p w14:paraId="2216D5E3" w14:textId="77777777" w:rsidR="00212E59" w:rsidRDefault="00212E59" w:rsidP="00491F1D">
      <w:pPr>
        <w:spacing w:after="0" w:line="360" w:lineRule="auto"/>
        <w:jc w:val="both"/>
      </w:pPr>
    </w:p>
    <w:p w14:paraId="696D72C8" w14:textId="009E086B" w:rsidR="0029510D" w:rsidRDefault="00F3249A" w:rsidP="00F92F9B">
      <w:pPr>
        <w:spacing w:line="360" w:lineRule="auto"/>
        <w:jc w:val="both"/>
      </w:pPr>
      <w:r>
        <w:t>ESU extent is primarily driven by the high spatial resolution imagery used for upscaling.</w:t>
      </w:r>
      <w:r w:rsidR="00500B18">
        <w:t xml:space="preserve"> </w:t>
      </w:r>
      <w:r>
        <w:t>For example</w:t>
      </w:r>
      <w:r w:rsidR="00A579A8">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29510D">
        <w:t xml:space="preserve"> </w:t>
      </w:r>
      <w:r w:rsidR="00D90CA6">
        <w:t>refer to ESUs of</w:t>
      </w:r>
      <w:r w:rsidR="00A579A8">
        <w:t xml:space="preserve"> 20 m x 20 m</w:t>
      </w:r>
      <w:r>
        <w:t xml:space="preserve">, </w:t>
      </w:r>
      <w:r w:rsidR="00D90CA6">
        <w:t xml:space="preserve">corresponding to the spatial resolution of </w:t>
      </w:r>
      <w:r w:rsidR="00D90CA6" w:rsidRPr="00D90CA6">
        <w:t xml:space="preserve">Satellite Pour </w:t>
      </w:r>
      <w:proofErr w:type="spellStart"/>
      <w:r w:rsidR="00D90CA6" w:rsidRPr="00D90CA6">
        <w:t>l’Observation</w:t>
      </w:r>
      <w:proofErr w:type="spellEnd"/>
      <w:r w:rsidR="00D90CA6" w:rsidRPr="00D90CA6">
        <w:t xml:space="preserve"> de la Terre</w:t>
      </w:r>
      <w:r w:rsidR="00D90CA6">
        <w:t xml:space="preserve"> (SPOT) High Resolution Visible (HRV) data.</w:t>
      </w:r>
      <w:r w:rsidR="00500B18">
        <w:t xml:space="preserve"> </w:t>
      </w:r>
      <w:r w:rsidR="00D90CA6">
        <w:t xml:space="preserve">Similarly,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rsidR="0029510D">
        <w:t xml:space="preserve"> </w:t>
      </w:r>
      <w:r w:rsidR="00D90CA6">
        <w:t>refer to ESUs of approximately 30 m x 30 m</w:t>
      </w:r>
      <w:r>
        <w:t>, r</w:t>
      </w:r>
      <w:r w:rsidR="00D90CA6">
        <w:t xml:space="preserve">eflecting the spatial resolution of Landsat Thematic Mapper (TM) and ETM+ data, but note that the actual extent will depend on the field-of-view (FOV) of the </w:t>
      </w:r>
      <w:r w:rsidR="00EF4B3C">
        <w:t>in situ</w:t>
      </w:r>
      <w:r w:rsidR="00D90CA6">
        <w:t xml:space="preserve"> measurements, and may reflect a small cluster of pixels in reality.</w:t>
      </w:r>
      <w:r w:rsidR="00500B18">
        <w:t xml:space="preserve"> </w:t>
      </w:r>
      <w:r w:rsidR="00D90CA6">
        <w:t>When planning a campaign, t</w:t>
      </w:r>
      <w:r w:rsidR="00A579A8">
        <w:t xml:space="preserve">he </w:t>
      </w:r>
      <w:r>
        <w:t>ESU extent</w:t>
      </w:r>
      <w:r w:rsidR="00A579A8">
        <w:t xml:space="preserve"> may be selected to account for positional uncertainties in the high spatial resolution imagery.</w:t>
      </w:r>
      <w:r w:rsidR="00500B18">
        <w:t xml:space="preserve"> </w:t>
      </w:r>
      <w:r w:rsidR="00A579A8">
        <w:t xml:space="preserve">When the positional uncertainty is known, the </w:t>
      </w:r>
      <w:r>
        <w:t xml:space="preserve">minimum </w:t>
      </w:r>
      <w:r w:rsidR="00A579A8">
        <w:t xml:space="preserve">required extent can be calculated according to </w:t>
      </w:r>
      <w:r w:rsidR="00001273">
        <w:fldChar w:fldCharType="begin" w:fldLock="1"/>
      </w:r>
      <w:r w:rsidR="00EF4B3C">
        <w:instrText>ADDIN CSL_CITATION {"citationItems":[{"id":"ITEM-1","itemData":{"author":[{"dropping-particle":"","family":"Justice","given":"C.O.","non-dropping-particle":"","parse-names":false,"suffix":""},{"dropping-particle":"","family":"Townshend","given":"J.R.G.","non-dropping-particle":"","parse-names":false,"suffix":""}],"container-title":"Terrain Analysis and Remote Sensing","editor":[{"dropping-particle":"","family":"Townshend","given":"J.R.G.","non-dropping-particle":"","parse-names":false,"suffix":""}],"id":"ITEM-1","issued":{"date-parts":[["1981"]]},"page":"35-58","publisher":"Allen and Unwin","publisher-place":"London, United Kingdom","title":"Integrating ground data with remote sensing","type":"chapter"},"uris":["http://www.mendeley.com/documents/?uuid=a39574ff-2977-48cb-9110-4ec483955647"]}],"mendeley":{"formattedCitation":"[37]","plainTextFormattedCitation":"[37]","previouslyFormattedCitation":"[13]"},"properties":{"noteIndex":0},"schema":"https://github.com/citation-style-language/schema/raw/master/csl-citation.json"}</w:instrText>
      </w:r>
      <w:r w:rsidR="00001273">
        <w:fldChar w:fldCharType="separate"/>
      </w:r>
      <w:r w:rsidR="00EF4B3C" w:rsidRPr="00EF4B3C">
        <w:rPr>
          <w:noProof/>
        </w:rPr>
        <w:t>[37]</w:t>
      </w:r>
      <w:r w:rsidR="00001273">
        <w:fldChar w:fldCharType="end"/>
      </w:r>
      <w:r w:rsidR="0029510D">
        <w:t xml:space="preserve"> as:</w:t>
      </w:r>
    </w:p>
    <w:p w14:paraId="19E199C2" w14:textId="77777777" w:rsidR="005226EB" w:rsidRDefault="005226EB" w:rsidP="005226EB">
      <w:pPr>
        <w:spacing w:after="0" w:line="360" w:lineRule="auto"/>
        <w:jc w:val="both"/>
      </w:pPr>
    </w:p>
    <w:p w14:paraId="5B786F86" w14:textId="15794C36" w:rsidR="00A579A8" w:rsidRPr="00EF76DF" w:rsidRDefault="002E2ADE" w:rsidP="005226EB">
      <w:pPr>
        <w:spacing w:after="0" w:line="360" w:lineRule="auto"/>
        <w:jc w:val="both"/>
      </w:pPr>
      <m:oMathPara>
        <m:oMath>
          <m:r>
            <w:rPr>
              <w:rFonts w:ascii="Cambria Math" w:hAnsi="Cambria Math"/>
            </w:rPr>
            <m:t>A=P(1+2L)</m:t>
          </m:r>
        </m:oMath>
      </m:oMathPara>
    </w:p>
    <w:p w14:paraId="45D95AEF" w14:textId="5E4DC652" w:rsidR="0038637C" w:rsidRDefault="002E2ADE" w:rsidP="005226EB">
      <w:pPr>
        <w:spacing w:after="0" w:line="360" w:lineRule="auto"/>
        <w:jc w:val="both"/>
        <w:rPr>
          <w:rFonts w:eastAsiaTheme="minorEastAsia"/>
        </w:rPr>
      </w:pPr>
      <w:r>
        <w:rPr>
          <w:rFonts w:eastAsiaTheme="minorEastAsia"/>
        </w:rPr>
        <w:br/>
      </w:r>
      <w:r w:rsidR="00A579A8">
        <w:rPr>
          <w:rFonts w:eastAsiaTheme="minorEastAsia"/>
        </w:rPr>
        <w:t>where</w:t>
      </w:r>
      <m:oMath>
        <m:r>
          <w:rPr>
            <w:rFonts w:ascii="Cambria Math" w:hAnsi="Cambria Math"/>
          </w:rPr>
          <m:t xml:space="preserve"> A</m:t>
        </m:r>
      </m:oMath>
      <w:r w:rsidR="00A579A8">
        <w:rPr>
          <w:rFonts w:eastAsiaTheme="minorEastAsia"/>
        </w:rPr>
        <w:t xml:space="preserve"> is the required extent, </w:t>
      </w:r>
      <m:oMath>
        <m:r>
          <w:rPr>
            <w:rFonts w:ascii="Cambria Math" w:hAnsi="Cambria Math"/>
          </w:rPr>
          <m:t>P</m:t>
        </m:r>
      </m:oMath>
      <w:r w:rsidR="00A579A8">
        <w:rPr>
          <w:rFonts w:eastAsiaTheme="minorEastAsia"/>
        </w:rPr>
        <w:t xml:space="preserve"> is the spatial resolution, and </w:t>
      </w:r>
      <m:oMath>
        <m:r>
          <w:rPr>
            <w:rFonts w:ascii="Cambria Math" w:hAnsi="Cambria Math"/>
          </w:rPr>
          <m:t>L</m:t>
        </m:r>
      </m:oMath>
      <w:r w:rsidR="00A579A8">
        <w:rPr>
          <w:rFonts w:eastAsiaTheme="minorEastAsia"/>
        </w:rPr>
        <w:t xml:space="preserve"> is the positional uncertainty (in pixels</w:t>
      </w:r>
      <w:proofErr w:type="gramStart"/>
      <w:r w:rsidR="00A579A8">
        <w:rPr>
          <w:rFonts w:eastAsiaTheme="minorEastAsia"/>
        </w:rPr>
        <w:t>).</w:t>
      </w:r>
      <w:proofErr w:type="gramEnd"/>
      <w:r w:rsidR="00500B18">
        <w:rPr>
          <w:rFonts w:eastAsiaTheme="minorEastAsia"/>
        </w:rPr>
        <w:t xml:space="preserve"> </w:t>
      </w:r>
      <w:r w:rsidR="00A579A8">
        <w:rPr>
          <w:rFonts w:eastAsiaTheme="minorEastAsia"/>
        </w:rPr>
        <w:t xml:space="preserve">For example, if Sentinel-2 </w:t>
      </w:r>
      <w:r w:rsidR="001E1279">
        <w:rPr>
          <w:rFonts w:eastAsiaTheme="minorEastAsia"/>
        </w:rPr>
        <w:t>MSI</w:t>
      </w:r>
      <w:r w:rsidR="00A579A8">
        <w:rPr>
          <w:rFonts w:eastAsiaTheme="minorEastAsia"/>
        </w:rPr>
        <w:t xml:space="preserve"> data with a spatial resolution of </w:t>
      </w:r>
      <w:r w:rsidR="00F3249A">
        <w:rPr>
          <w:rFonts w:eastAsiaTheme="minorEastAsia"/>
        </w:rPr>
        <w:t>1</w:t>
      </w:r>
      <w:r w:rsidR="00A579A8">
        <w:rPr>
          <w:rFonts w:eastAsiaTheme="minorEastAsia"/>
        </w:rPr>
        <w:t xml:space="preserve">0 m and a positional uncertainty of approximately 0.5 pixels are to be used in upscaling, the </w:t>
      </w:r>
      <w:r w:rsidR="00D90CA6">
        <w:rPr>
          <w:rFonts w:eastAsiaTheme="minorEastAsia"/>
        </w:rPr>
        <w:t xml:space="preserve">minimum </w:t>
      </w:r>
      <w:r w:rsidR="00A579A8">
        <w:rPr>
          <w:rFonts w:eastAsiaTheme="minorEastAsia"/>
        </w:rPr>
        <w:t xml:space="preserve">extent of the ESUs should be </w:t>
      </w:r>
      <w:r w:rsidR="00F3249A">
        <w:rPr>
          <w:rFonts w:eastAsiaTheme="minorEastAsia"/>
        </w:rPr>
        <w:t>20 m x 20 m.</w:t>
      </w:r>
    </w:p>
    <w:p w14:paraId="387CE819" w14:textId="77777777" w:rsidR="00476577" w:rsidRDefault="00476577" w:rsidP="005226EB">
      <w:pPr>
        <w:spacing w:after="0" w:line="360" w:lineRule="auto"/>
        <w:jc w:val="both"/>
        <w:rPr>
          <w:rFonts w:eastAsiaTheme="minorEastAsia"/>
        </w:rPr>
      </w:pPr>
    </w:p>
    <w:p w14:paraId="152BA41B" w14:textId="77777777" w:rsidR="00EA408D" w:rsidRDefault="0038637C" w:rsidP="00EA408D">
      <w:pPr>
        <w:keepNext/>
        <w:jc w:val="center"/>
      </w:pPr>
      <w:r>
        <w:rPr>
          <w:rFonts w:eastAsiaTheme="minorEastAsia"/>
          <w:noProof/>
          <w:lang w:eastAsia="en-GB"/>
        </w:rPr>
        <w:drawing>
          <wp:inline distT="0" distB="0" distL="0" distR="0" wp14:anchorId="1039D8E0" wp14:editId="476E93F0">
            <wp:extent cx="1917700" cy="2945155"/>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27865" cy="2960766"/>
                    </a:xfrm>
                    <a:prstGeom prst="rect">
                      <a:avLst/>
                    </a:prstGeom>
                    <a:noFill/>
                    <a:ln>
                      <a:noFill/>
                    </a:ln>
                  </pic:spPr>
                </pic:pic>
              </a:graphicData>
            </a:graphic>
          </wp:inline>
        </w:drawing>
      </w:r>
    </w:p>
    <w:p w14:paraId="2EFBA08C" w14:textId="76D7813C" w:rsidR="0038637C" w:rsidRDefault="00EA408D" w:rsidP="00EA408D">
      <w:pPr>
        <w:pStyle w:val="Caption"/>
        <w:jc w:val="center"/>
      </w:pPr>
      <w:bookmarkStart w:id="36" w:name="_Toc43388019"/>
      <w:r>
        <w:t xml:space="preserve">Figure </w:t>
      </w:r>
      <w:fldSimple w:instr=" SEQ Figure \* ARABIC ">
        <w:r w:rsidR="00D533BE">
          <w:rPr>
            <w:noProof/>
          </w:rPr>
          <w:t>2</w:t>
        </w:r>
      </w:fldSimple>
      <w:r>
        <w:t xml:space="preserve">: </w:t>
      </w:r>
      <w:r w:rsidRPr="002E28DE">
        <w:t>Distribution of ESUs over the site, as suggested by</w:t>
      </w:r>
      <w:r w:rsidR="00491F1D">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001273">
        <w:t>.</w:t>
      </w:r>
      <w:bookmarkEnd w:id="36"/>
    </w:p>
    <w:p w14:paraId="0573AB2E" w14:textId="77777777" w:rsidR="00476577" w:rsidRPr="00476577" w:rsidRDefault="00476577" w:rsidP="00476577">
      <w:pPr>
        <w:spacing w:after="0"/>
      </w:pPr>
    </w:p>
    <w:p w14:paraId="6801B0CD" w14:textId="578E8617" w:rsidR="00A94E1D" w:rsidRDefault="00A7093A" w:rsidP="00F92F9B">
      <w:pPr>
        <w:spacing w:line="360" w:lineRule="auto"/>
        <w:jc w:val="both"/>
      </w:pPr>
      <w:r>
        <w:t xml:space="preserve">Depending on the type and density of vegetation, </w:t>
      </w:r>
      <w:proofErr w:type="gramStart"/>
      <w:r>
        <w:t>a</w:t>
      </w:r>
      <w:r w:rsidR="00A94E1D">
        <w:t xml:space="preserve"> number of</w:t>
      </w:r>
      <w:proofErr w:type="gramEnd"/>
      <w:r w:rsidR="00A94E1D">
        <w:t xml:space="preserve"> potential sa</w:t>
      </w:r>
      <w:r>
        <w:t>mpling schemes</w:t>
      </w:r>
      <w:r w:rsidR="00353AB1">
        <w:t xml:space="preserve"> may be adopted within an ESU, including random, systematic, and transect based approaches.</w:t>
      </w:r>
      <w:r w:rsidR="00500B18">
        <w:t xml:space="preserve"> </w:t>
      </w:r>
      <w:r w:rsidR="00353AB1">
        <w:t xml:space="preserve">Both the </w:t>
      </w:r>
      <w:r w:rsidR="00353AB1">
        <w:lastRenderedPageBreak/>
        <w:t>square and cross sampling schemes (</w:t>
      </w:r>
      <w:r w:rsidR="00094F18">
        <w:t xml:space="preserve">Figure </w:t>
      </w:r>
      <w:r w:rsidR="00500B18">
        <w:t>3</w:t>
      </w:r>
      <w:r w:rsidR="00353AB1">
        <w:t xml:space="preserve">) proposed by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353AB1">
        <w:t xml:space="preserve"> were shown to provide similar performances.</w:t>
      </w:r>
      <w:r w:rsidR="00500B18">
        <w:t xml:space="preserve"> </w:t>
      </w:r>
      <w:r w:rsidR="00353AB1">
        <w:t xml:space="preserve">Transect based approaches are most appropriate in sparse canopies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353AB1">
        <w:t>.</w:t>
      </w:r>
      <w:r w:rsidR="00500B18">
        <w:t xml:space="preserve"> </w:t>
      </w:r>
      <w:r w:rsidR="00353AB1">
        <w:t>In the case of row structured crops, small transects should be arranged between rows to characterise the row effect</w:t>
      </w:r>
      <w:r w:rsidR="00191EFD">
        <w:t xml:space="preserve"> </w:t>
      </w:r>
      <w:r w:rsidR="00001273">
        <w:fldChar w:fldCharType="begin" w:fldLock="1"/>
      </w:r>
      <w:r w:rsidR="00EF4B3C">
        <w:instrText>ADDIN CSL_CITATION {"citationItems":[{"id":"ITEM-1","itemData":{"author":[{"dropping-particle":"","family":"LI-COR","given":"","non-dropping-particle":"","parse-names":false,"suffix":""}],"id":"ITEM-1","issued":{"date-parts":[["2013"]]},"publisher":"LI-COR","publisher-place":"Lincoln, Nebraska, United States","title":"LAI-2200C Plant Canopy Analyser Instruction Manual","type":"book"},"uris":["http://www.mendeley.com/documents/?uuid=67a9ca21-c653-481e-b777-d74e42f528de"]},{"id":"ITEM-2","itemData":{"author":[{"dropping-particle":"","family":"Camacho","given":"F","non-dropping-particle":"","parse-names":false,"suffix":""},{"dropping-particle":"","family":"Baret","given":"F","non-dropping-particle":"","parse-names":false,"suffix":""},{"dropping-particle":"","family":"Lacaze","given":"R","non-dropping-particle":"","parse-names":false,"suffix":""}],"edition":"1.10","id":"ITEM-2","issued":{"date-parts":[["0"]]},"publisher":"EOLAB","publisher-place":"Valencia, Spain","title":"Guidelines for a Field Campaign","type":"book"},"uris":["http://www.mendeley.com/documents/?uuid=07e2cf62-f1bd-42c9-895d-28d2a8f73598"]}],"mendeley":{"formattedCitation":"[36], [38]","plainTextFormattedCitation":"[36], [38]","previouslyFormattedCitation":"[12], [14]"},"properties":{"noteIndex":0},"schema":"https://github.com/citation-style-language/schema/raw/master/csl-citation.json"}</w:instrText>
      </w:r>
      <w:r w:rsidR="00001273">
        <w:fldChar w:fldCharType="separate"/>
      </w:r>
      <w:r w:rsidR="00EF4B3C" w:rsidRPr="00EF4B3C">
        <w:rPr>
          <w:noProof/>
        </w:rPr>
        <w:t>[36], [38]</w:t>
      </w:r>
      <w:r w:rsidR="00001273">
        <w:fldChar w:fldCharType="end"/>
      </w:r>
      <w:r w:rsidR="00952BAB">
        <w:t>.</w:t>
      </w:r>
      <w:r w:rsidR="005226EB">
        <w:t xml:space="preserve"> </w:t>
      </w:r>
      <w:r w:rsidR="009F496B">
        <w:t>The optimal</w:t>
      </w:r>
      <w:r w:rsidR="00592591">
        <w:t xml:space="preserve"> number of </w:t>
      </w:r>
      <w:proofErr w:type="gramStart"/>
      <w:r w:rsidR="00592591">
        <w:t>individual</w:t>
      </w:r>
      <w:proofErr w:type="gramEnd"/>
      <w:r w:rsidR="00592591">
        <w:t xml:space="preserve"> </w:t>
      </w:r>
      <w:r w:rsidR="00EF4B3C">
        <w:t>in situ</w:t>
      </w:r>
      <w:r w:rsidR="00592591">
        <w:t xml:space="preserve"> measurements</w:t>
      </w:r>
      <w:r w:rsidR="009F496B">
        <w:t xml:space="preserve"> is driven by the heterogeneity of the ESU and the measurement footprint of the instrument.</w:t>
      </w:r>
      <w:r w:rsidR="00500B18">
        <w:t xml:space="preserve"> </w:t>
      </w:r>
      <w:r w:rsidR="009F496B">
        <w:t>W</w:t>
      </w:r>
      <w:r w:rsidR="00592591">
        <w:t xml:space="preserve">ork by </w:t>
      </w:r>
      <w:r w:rsidR="00001273">
        <w:fldChar w:fldCharType="begin" w:fldLock="1"/>
      </w:r>
      <w:r w:rsidR="00EF4B3C">
        <w:instrText>ADDIN CSL_CITATION {"citationItems":[{"id":"ITEM-1","itemData":{"DOI":"10.1016/j.agrformet.2011.10.002","ISBN":"0168-1923","ISSN":"01681923","abstract":"Field measurements of leaf area index (LAI) are needed for many ecological and remote sensing applications, but they are laborious and time-consuming. The sampling designs of optical LAI measurements have been mainly driven by the field-of-view of the sensor as well as the upscaling process and spatial resolution of satellite imagery. An optimized sampling design would improve the accuracy of the LAI measurements and reduce the time needed for field work. However, a systematic comparison of sampling designs for LAI measurements in boreal forests has not been done. The aim of this study was to analyze the effect of sampling designs on the accuracy of LAI estimates obtained with the LAI-2000 Plant Canopy Analyzer in a boreal forest. Field data was collected from six study sites in Hyytiälä, central Finland. Two sites were dominated by Pinus sylvestris, two sites by Picea abies, and two sites by Betula pendula. Each site had a regular 9 × 9 -grid of LAI measurement points. All sites were studied using regular and systematic sampling techniques. Statistical analysis was used to examine the site-specific number of measurement points needed in random sampling to achieve a given precision, and as a starting point for regular and systematic sampling. Results indicated that twelve randomly located measurement points are enough to characterize site-specific LAI with standard error less than 0.15. LAI units. If the twelve sampling points are organized systematically, the average standard error is reduced to 0.06 units and the coefficient of variation to less than 0.03. © 2011 Elsevier B.V.","author":[{"dropping-particle":"","family":"Majasalmi","given":"Titta","non-dropping-particle":"","parse-names":false,"suffix":""},{"dropping-particle":"","family":"Rautiainen","given":"Miina","non-dropping-particle":"","parse-names":false,"suffix":""},{"dropping-particle":"","family":"Stenberg","given":"Pauline","non-dropping-particle":"","parse-names":false,"suffix":""},{"dropping-particle":"","family":"Rita","given":"Hannu","non-dropping-particle":"","parse-names":false,"suffix":""}],"container-title":"Agricultural and Forest Meteorology","id":"ITEM-1","issued":{"date-parts":[["2012","3"]]},"page":"38-43","publisher":"Elsevier B.V.","title":"Optimizing the sampling scheme for LAI-2000 measurements in a boreal forest","type":"article-journal","volume":"154-155"},"uris":["http://www.mendeley.com/documents/?uuid=c1ee4bf3-b7e0-4799-a1aa-2c56b0a72728"]}],"mendeley":{"formattedCitation":"[39]","plainTextFormattedCitation":"[39]","previouslyFormattedCitation":"[15]"},"properties":{"noteIndex":0},"schema":"https://github.com/citation-style-language/schema/raw/master/csl-citation.json"}</w:instrText>
      </w:r>
      <w:r w:rsidR="00001273">
        <w:fldChar w:fldCharType="separate"/>
      </w:r>
      <w:r w:rsidR="00EF4B3C" w:rsidRPr="00EF4B3C">
        <w:rPr>
          <w:noProof/>
        </w:rPr>
        <w:t>[39]</w:t>
      </w:r>
      <w:r w:rsidR="00001273">
        <w:fldChar w:fldCharType="end"/>
      </w:r>
      <w:r w:rsidR="00001273">
        <w:t xml:space="preserve"> and </w:t>
      </w:r>
      <w:r w:rsidR="00001273">
        <w:fldChar w:fldCharType="begin" w:fldLock="1"/>
      </w:r>
      <w:r w:rsidR="00EF4B3C">
        <w:instrText>ADDIN CSL_CITATION {"citationItems":[{"id":"ITEM-1","itemData":{"DOI":"10.1016/j.agrformet.2003.08.001","ISBN":"0168-1923","ISSN":"01681923","PMID":"15","abstract":"The theoretical background of modeling the gap fraction and the leaf inclination distribution is presented and the different techniques used to derive leaf area index (LAI) and leaf inclination angle from gap fraction measurements are reviewed. Their associated assumptions and limitations are discussed, i.e., the clumping effect and the distinction between green and non-green elements within the canopy. Based on LAI measurements in various canopies (various crops and forests), sampling strategy is also discussed. ?? 2003 Elsevier B.V. All rights reserved.","author":[{"dropping-particle":"","family":"Weiss","given":"M","non-dropping-particle":"","parse-names":false,"suffix":""},{"dropping-particle":"","family":"Baret","given":"F","non-dropping-particle":"","parse-names":false,"suffix":""},{"dropping-particle":"","family":"Smith","given":"G.J.","non-dropping-particle":"","parse-names":false,"suffix":""},{"dropping-particle":"","family":"Jonckheere","given":"I","non-dropping-particle":"","parse-names":false,"suffix":""},{"dropping-particle":"","family":"Coppin","given":"P","non-dropping-particle":"","parse-names":false,"suffix":""}],"container-title":"Agricultural and Forest Meteorology","id":"ITEM-1","issue":"1-2","issued":{"date-parts":[["2004","1"]]},"page":"37-53","title":"Review of methods for in situ leaf area index (LAI) determination Part II: Estimation of LAI, errors and sampling","type":"article-journal","volume":"121"},"uris":["http://www.mendeley.com/documents/?uuid=9cd2c067-d1fa-3a33-91b0-ad2b8e00c404"]}],"mendeley":{"formattedCitation":"[40]","plainTextFormattedCitation":"[40]","previouslyFormattedCitation":"[16]"},"properties":{"noteIndex":0},"schema":"https://github.com/citation-style-language/schema/raw/master/csl-citation.json"}</w:instrText>
      </w:r>
      <w:r w:rsidR="00001273">
        <w:fldChar w:fldCharType="separate"/>
      </w:r>
      <w:r w:rsidR="00EF4B3C" w:rsidRPr="00EF4B3C">
        <w:rPr>
          <w:noProof/>
        </w:rPr>
        <w:t>[40]</w:t>
      </w:r>
      <w:r w:rsidR="00001273">
        <w:fldChar w:fldCharType="end"/>
      </w:r>
      <w:r w:rsidR="00952BAB">
        <w:t xml:space="preserve"> </w:t>
      </w:r>
      <w:r w:rsidR="00592591">
        <w:t>suggests that between 10 to 15 are adequate in the case of DHP an</w:t>
      </w:r>
      <w:r w:rsidR="00F66EFF">
        <w:t>d the LAI-2200C.</w:t>
      </w:r>
      <w:r w:rsidR="00500B18">
        <w:t xml:space="preserve"> </w:t>
      </w:r>
      <w:r w:rsidR="007425A1">
        <w:t xml:space="preserve">This is </w:t>
      </w:r>
      <w:r w:rsidR="00F95B8E">
        <w:t>supported</w:t>
      </w:r>
      <w:r w:rsidR="007425A1">
        <w:t xml:space="preserve"> by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001273">
        <w:t xml:space="preserve"> and </w:t>
      </w:r>
      <w:r w:rsidR="00001273">
        <w:fldChar w:fldCharType="begin" w:fldLock="1"/>
      </w:r>
      <w:r w:rsidR="00EF4B3C">
        <w:instrText>ADDIN CSL_CITATION {"citationItems":[{"id":"ITEM-1","itemData":{"author":[{"dropping-particle":"","family":"Camacho","given":"F","non-dropping-particle":"","parse-names":false,"suffix":""},{"dropping-particle":"","family":"Baret","given":"F","non-dropping-particle":"","parse-names":false,"suffix":""},{"dropping-particle":"","family":"Lacaze","given":"R","non-dropping-particle":"","parse-names":false,"suffix":""}],"edition":"1.10","id":"ITEM-1","issued":{"date-parts":[["0"]]},"publisher":"EOLAB","publisher-place":"Valencia, Spain","title":"Guidelines for a Field Campaign","type":"book"},"uris":["http://www.mendeley.com/documents/?uuid=07e2cf62-f1bd-42c9-895d-28d2a8f73598"]}],"mendeley":{"formattedCitation":"[36]","plainTextFormattedCitation":"[36]","previouslyFormattedCitation":"[12]"},"properties":{"noteIndex":0},"schema":"https://github.com/citation-style-language/schema/raw/master/csl-citation.json"}</w:instrText>
      </w:r>
      <w:r w:rsidR="00001273">
        <w:fldChar w:fldCharType="separate"/>
      </w:r>
      <w:r w:rsidR="00EF4B3C" w:rsidRPr="00EF4B3C">
        <w:rPr>
          <w:noProof/>
        </w:rPr>
        <w:t>[36]</w:t>
      </w:r>
      <w:r w:rsidR="00001273">
        <w:fldChar w:fldCharType="end"/>
      </w:r>
      <w:r w:rsidR="007425A1">
        <w:t xml:space="preserve">, who recommend </w:t>
      </w:r>
      <w:r w:rsidR="0034550D">
        <w:t xml:space="preserve">at least </w:t>
      </w:r>
      <w:r w:rsidR="007425A1">
        <w:t>12 samples</w:t>
      </w:r>
      <w:r w:rsidR="00F95B8E">
        <w:t>, and reiterated by</w:t>
      </w:r>
      <w:r w:rsidR="00952BAB">
        <w:t xml:space="preserve">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[41]","plainTextFormattedCitation":"[41]","previouslyFormattedCitation":"[17]"},"properties":{"noteIndex":0},"schema":"https://github.com/citation-style-language/schema/raw/master/csl-citation.json"}</w:instrText>
      </w:r>
      <w:r w:rsidR="00001273">
        <w:fldChar w:fldCharType="separate"/>
      </w:r>
      <w:r w:rsidR="00EF4B3C" w:rsidRPr="00EF4B3C">
        <w:rPr>
          <w:noProof/>
        </w:rPr>
        <w:t>[41]</w:t>
      </w:r>
      <w:r w:rsidR="00001273">
        <w:fldChar w:fldCharType="end"/>
      </w:r>
      <w:r w:rsidR="007425A1">
        <w:t>.</w:t>
      </w:r>
      <w:r w:rsidR="00500B18">
        <w:t xml:space="preserve"> </w:t>
      </w:r>
      <w:r w:rsidR="00F66EFF">
        <w:t xml:space="preserve">In terms of </w:t>
      </w:r>
      <w:r w:rsidR="000A36FB">
        <w:t>optical chlorophyll meter measurements</w:t>
      </w:r>
      <w:r w:rsidR="00F66EFF">
        <w:t xml:space="preserve">, existing validation protocols typically recommend selecting several leaves per plant, enabling variations at different levels of the canopy to be accounted for </w:t>
      </w:r>
      <w:r w:rsidR="00001273">
        <w:fldChar w:fldCharType="begin" w:fldLock="1"/>
      </w:r>
      <w:r w:rsidR="00EF4B3C">
        <w:instrText>ADDIN CSL_CITATION {"citationItems":[{"id":"ITEM-1","itemData":{"DOI":"10.2312/enmap.2015.010","author":[{"dropping-particle":"","family":"Süß","given":"Andreas","non-dropping-particle":"","parse-names":false,"suffix":""},{"dropping-particle":"","family":"Danner","given":"Martin","non-dropping-particle":"","parse-names":false,"suffix":""},{"dropping-particle":"","family":"Obster","given":"Christina","non-dropping-particle":"","parse-names":false,"suffix":""},{"dropping-particle":"","family":"Locherer","given":"Matthias","non-dropping-particle":"","parse-names":false,"suffix":""},{"dropping-particle":"","family":"Hank","given":"Tobias","non-dropping-particle":"","parse-names":false,"suffix":""},{"dropping-particle":"","family":"Richter","given":"Katja","non-dropping-particle":"","parse-names":false,"suffix":""}],"id":"ITEM-1","issued":{"date-parts":[["2015"]]},"publisher":"GeoForschungsZentrum Data Services","publisher-place":"Potsdam, Germany","title":"EnMAP Field Guides: Technical Report: Measuring Leaf Chlorophyll Content with the Konica Minolta SPAD-502 Plus","type":"book"},"uris":["http://www.mendeley.com/documents/?uuid=7b715c93-2097-407a-be02-19153278c996"]},{"id":"ITEM-2","itemData":{"DOI":"10.1109/JSTARS.2019.2899998","ISSN":"1939-1404","author":[{"dropping-particle":"","family":"Brown","given":"Luke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Sensing","id":"ITEM-2","issue":"7","issued":{"date-parts":[["2019","7"]]},"page":"2244-2251","title":"Synergetic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Environment","type":"article-journal","volume":"12"},"uris":["http://www.mendeley.com/documents/?uuid=f87ad322-c46e-4331-9642-591cf2b3acfa"]}],"mendeley":{"formattedCitation":"[42], [43]","plainTextFormattedCitation":"[42], [43]","previouslyFormattedCitation":"[18], [19]"},"properties":{"noteIndex":0},"schema":"https://github.com/citation-style-language/schema/raw/master/csl-citation.json"}</w:instrText>
      </w:r>
      <w:r w:rsidR="00001273">
        <w:fldChar w:fldCharType="separate"/>
      </w:r>
      <w:r w:rsidR="00EF4B3C" w:rsidRPr="00EF4B3C">
        <w:rPr>
          <w:noProof/>
        </w:rPr>
        <w:t>[42], [43]</w:t>
      </w:r>
      <w:r w:rsidR="00001273">
        <w:fldChar w:fldCharType="end"/>
      </w:r>
      <w:r w:rsidR="00952BAB">
        <w:t>.</w:t>
      </w:r>
      <w:r w:rsidR="00001273">
        <w:t xml:space="preserve"> </w:t>
      </w:r>
      <w:r w:rsidR="00F66EFF">
        <w:t xml:space="preserve">They also recommend a minimum of four to seven measurements per leaf, in order to account for variations across </w:t>
      </w:r>
      <w:r w:rsidR="004978C5">
        <w:t>the leaf</w:t>
      </w:r>
      <w:r w:rsidR="000A36FB">
        <w:t xml:space="preserve"> surface</w:t>
      </w:r>
      <w:r w:rsidR="00F66EFF">
        <w:t xml:space="preserve"> </w:t>
      </w:r>
      <w:r w:rsidR="00001273">
        <w:fldChar w:fldCharType="begin" w:fldLock="1"/>
      </w:r>
      <w:r w:rsidR="00EF4B3C">
        <w:instrText>ADDIN CSL_CITATION {"citationItems":[{"id":"ITEM-1","itemData":{"DOI":"10.1080/01431160903376340","ISBN":"0143-1161\\n1366-5901","ISSN":"0143-1161","abstract":"The Medium Resolution Imaging Spectrometer (MERIS) Terrestrial Chlorophyll Index (MTCI), a standard level 2 European Space Agency (ESA) product, provides information on the chlorophyll content of vegetation (amount of chlorophyll per unit area of ground). This is a combination of information on Leaf Area Index (LAI, area of leaves per unit area of ground) and the chlorophyll concentration of those leaves. The MTCI correlates strongly with chlorophyll content when using model, laboratory and field spectrometry data. However, MTCI calculated with MERIS data has only been correlated with surrogate chlorophyll content data. This is because of the logistical difficulties of determining the chlorophyll content of the area covered by a MERIS pixel (9 × 10 m). This paper reports the first attempt to determine the relationship between MTCI and chlorophyll content using actual MERIS data and actual chlorophyll content data. During the summer of 2006 LAI and chlorophyll concentration data were collected for eight large (&amp;gt; 25 ha) fields around Dorchester in southern England. The fields contained six crops (beans, linseed, wheat, grass, oats and maize) at different stages of maturity and with different canopy structures, LAIs and chlorophyll concentrations. A stratified sampling method was used in which each field contained sampling units in proportion to the spatial variability of the crop. Within each unit 25 random points were sampled. This approach captured the variability of the field and reduced the potential bias introduced by the planting pattern or later agricultural treatments (e.g. pesticides or herbicides). At each random point LAI was estimated using an LAI-2000 plant canopy analyser and chlorophyll concentration was estimated using a Minolta-SPAD chlorophyll meter. In addition, for each field a calibration set of 30 contiguous SPAD measurements and associated leaf samples were collected. The relationship between MTCI and chlorophyll content was positive. The coefficient of determination (R2) was 0.62, root mean square error (RMSE) was 244 g per MERIS pixel and accuracy of estimation (in relation to the mean) was 65%. However, one field included a high proportion of seed heads, which artificially increased the measured LAI and thus chlorophyll content. Removal of this field from the dataset resulted in a stronger relationship between MTCI and chlorophyll content with an R2 of 0.8, an RMSE of 192 g per MERIS pixel and accuracy of estimation (in relati…","author":[{"dropping-particle":"","family":"Dash","given":"J","non-dropping-particle":"","parse-names":false,"suffix":""},{"dropping-particle":"","family":"Curran","given":"P J","non-dropping-particle":"","parse-names":false,"suffix":""},{"dropping-particle":"","family":"Tallis","given":"M J","non-dropping-particle":"","parse-names":false,"suffix":""},{"dropping-particle":"","family":"Llewellyn","given":"G M","non-dropping-particle":"","parse-names":false,"suffix":""},{"dropping-particle":"","family":"Taylor","given":"G","non-dropping-particle":"","parse-names":false,"suffix":""},{"dropping-particle":"","family":"Snoeij","given":"P.","non-dropping-particle":"","parse-names":false,"suffix":""}],"container-title":"International Journal of Remote Sensing","id":"ITEM-1","issue":"20","issued":{"date-parts":[["2010","10","20"]]},"page":"5513-5532","title":"Validating the MERIS Terrestrial Chlorophyll Index (MTCI) with ground chlorophyll content data at MERIS spatial resolution","type":"article-journal","volume":"31"},"uris":["http://www.mendeley.com/documents/?uuid=7cbe0d1a-900d-3ba9-a705-a3d7189f0ce1"]},{"id":"ITEM-2","itemData":{"DOI":"10.2312/enmap.2015.010","author":[{"dropping-particle":"","family":"Süß","given":"Andreas","non-dropping-particle":"","parse-names":false,"suffix":""},{"dropping-particle":"","family":"Danner","given":"Martin","non-dropping-particle":"","parse-names":false,"suffix":""},{"dropping-particle":"","family":"Obster","given":"Christina","non-dropping-particle":"","parse-names":false,"suffix":""},{"dropping-particle":"","family":"Locherer","given":"Matthias","non-dropping-particle":"","parse-names":false,"suffix":""},{"dropping-particle":"","family":"Hank","given":"Tobias","non-dropping-particle":"","parse-names":false,"suffix":""},{"dropping-particle":"","family":"Richter","given":"Katja","non-dropping-particle":"","parse-names":false,"suffix":""}],"id":"ITEM-2","issued":{"date-parts":[["2015"]]},"publisher":"GeoForschungsZentrum Data Services","publisher-place":"Potsdam, Germany","title":"EnMAP Field Guides: Technical Report: Measuring Leaf Chlorophyll Content with the Konica Minolta SPAD-502 Plus","type":"book"},"uris":["http://www.mendeley.com/documents/?uuid=7b715c93-2097-407a-be02-19153278c996"]},{"id":"ITEM-3","itemData":{"author":[{"dropping-particle":"","family":"Watmough","given":"Gary","non-dropping-particle":"","parse-names":false,"suffix":""},{"dropping-particle":"","family":"Dash","given":"Jadu","non-dropping-particle":"","parse-names":false,"suffix":""},{"dropping-particle":"","family":"Vuolo","given":"Francesco","non-dropping-particle":"","parse-names":false,"suffix":""},{"dropping-particle":"","family":"Frampton","given":"Will","non-dropping-particle":"","parse-names":false,"suffix":""}],"edition":"1","id":"ITEM-3","issued":{"date-parts":[["2011"]]},"publisher":"University of Southampton","publisher-place":"Southampton, United Kingdom","title":"Technical Note 2 - Validation Protocols","type":"book"},"uris":["http://www.mendeley.com/documents/?uuid=c12b3d7f-391c-4428-9644-0b1b2ad5699b"]}],"mendeley":{"formattedCitation":"[42], [44], [45]","plainTextFormattedCitation":"[42], [44], [45]","previouslyFormattedCitation":"[18], [20], [21]"},"properties":{"noteIndex":0},"schema":"https://github.com/citation-style-language/schema/raw/master/csl-citation.json"}</w:instrText>
      </w:r>
      <w:r w:rsidR="00001273">
        <w:fldChar w:fldCharType="separate"/>
      </w:r>
      <w:r w:rsidR="00EF4B3C" w:rsidRPr="00EF4B3C">
        <w:rPr>
          <w:noProof/>
        </w:rPr>
        <w:t>[42], [44], [45]</w:t>
      </w:r>
      <w:r w:rsidR="00001273">
        <w:fldChar w:fldCharType="end"/>
      </w:r>
      <w:r w:rsidR="00952BAB">
        <w:t>.</w:t>
      </w:r>
    </w:p>
    <w:p w14:paraId="444056B6" w14:textId="77777777" w:rsidR="00353AB1" w:rsidRDefault="00353AB1" w:rsidP="00592591">
      <w:pPr>
        <w:jc w:val="both"/>
      </w:pPr>
    </w:p>
    <w:p w14:paraId="6D704A81" w14:textId="77777777" w:rsidR="00EA408D" w:rsidRDefault="00A94E1D" w:rsidP="00EA408D">
      <w:pPr>
        <w:keepNext/>
        <w:jc w:val="center"/>
      </w:pPr>
      <w:r>
        <w:rPr>
          <w:noProof/>
          <w:lang w:eastAsia="en-GB"/>
        </w:rPr>
        <w:drawing>
          <wp:inline distT="0" distB="0" distL="0" distR="0" wp14:anchorId="131092FC" wp14:editId="77B73469">
            <wp:extent cx="3297363" cy="1136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clrChange>
                        <a:clrFrom>
                          <a:srgbClr val="EAEAEA"/>
                        </a:clrFrom>
                        <a:clrTo>
                          <a:srgbClr val="EAEAEA">
                            <a:alpha val="0"/>
                          </a:srgbClr>
                        </a:clrTo>
                      </a:clrChange>
                      <a:extLst>
                        <a:ext uri="{28A0092B-C50C-407E-A947-70E740481C1C}">
                          <a14:useLocalDpi xmlns:a14="http://schemas.microsoft.com/office/drawing/2010/main" val="0"/>
                        </a:ext>
                      </a:extLst>
                    </a:blip>
                    <a:srcRect/>
                    <a:stretch>
                      <a:fillRect/>
                    </a:stretch>
                  </pic:blipFill>
                  <pic:spPr bwMode="auto">
                    <a:xfrm>
                      <a:off x="0" y="0"/>
                      <a:ext cx="3307116" cy="1139530"/>
                    </a:xfrm>
                    <a:prstGeom prst="rect">
                      <a:avLst/>
                    </a:prstGeom>
                    <a:noFill/>
                    <a:ln>
                      <a:noFill/>
                    </a:ln>
                  </pic:spPr>
                </pic:pic>
              </a:graphicData>
            </a:graphic>
          </wp:inline>
        </w:drawing>
      </w:r>
    </w:p>
    <w:p w14:paraId="49E0A006" w14:textId="537DA38B" w:rsidR="0056739D" w:rsidRDefault="00EA408D" w:rsidP="001921F1">
      <w:pPr>
        <w:pStyle w:val="Caption"/>
        <w:jc w:val="center"/>
      </w:pPr>
      <w:bookmarkStart w:id="37" w:name="_Toc43388020"/>
      <w:r>
        <w:t xml:space="preserve">Figure </w:t>
      </w:r>
      <w:fldSimple w:instr=" SEQ Figure \* ARABIC ">
        <w:r w:rsidR="00D533BE">
          <w:rPr>
            <w:noProof/>
          </w:rPr>
          <w:t>3</w:t>
        </w:r>
      </w:fldSimple>
      <w:r>
        <w:t xml:space="preserve">: </w:t>
      </w:r>
      <w:r w:rsidRPr="006D36FB">
        <w:t xml:space="preserve">Within ESU sampling schemes, as suggested by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00001273">
        <w:t>.</w:t>
      </w:r>
      <w:bookmarkEnd w:id="37"/>
    </w:p>
    <w:p w14:paraId="6433220A" w14:textId="77777777" w:rsidR="00491F1D" w:rsidRPr="00491F1D" w:rsidRDefault="00491F1D" w:rsidP="00491F1D">
      <w:pPr>
        <w:spacing w:after="0"/>
      </w:pPr>
    </w:p>
    <w:p w14:paraId="5539B1E8" w14:textId="216EB66F" w:rsidR="007B3CD9" w:rsidRPr="005B5E09" w:rsidRDefault="007B3CD9" w:rsidP="00476577">
      <w:pPr>
        <w:pStyle w:val="Heading3"/>
      </w:pPr>
      <w:bookmarkStart w:id="38" w:name="_Ref2100397"/>
      <w:bookmarkStart w:id="39" w:name="_Toc43388061"/>
      <w:r w:rsidRPr="005B5E09">
        <w:t>Upscaling</w:t>
      </w:r>
      <w:r w:rsidR="000E53AD" w:rsidRPr="005B5E09">
        <w:t xml:space="preserve"> Method</w:t>
      </w:r>
      <w:bookmarkEnd w:id="38"/>
      <w:bookmarkEnd w:id="39"/>
    </w:p>
    <w:p w14:paraId="6325F62A" w14:textId="21716813" w:rsidR="000E53AD" w:rsidRDefault="000E53AD" w:rsidP="00491F1D">
      <w:pPr>
        <w:spacing w:after="0"/>
      </w:pPr>
    </w:p>
    <w:p w14:paraId="370F5A02" w14:textId="362803B9" w:rsidR="00E214D5" w:rsidRPr="00F92F9B" w:rsidRDefault="003558E1" w:rsidP="00F92F9B">
      <w:pPr>
        <w:spacing w:line="360" w:lineRule="auto"/>
        <w:jc w:val="both"/>
      </w:pPr>
      <w:r w:rsidRPr="00F92F9B">
        <w:t xml:space="preserve">Once </w:t>
      </w:r>
      <w:r w:rsidR="00EF4B3C">
        <w:t>in situ</w:t>
      </w:r>
      <w:r w:rsidRPr="00F92F9B">
        <w:t xml:space="preserve"> measurements and near-coincident high spatial resolution imagery are acquired, several upscaling approaches are available to derive a high spatial resolution reference map.</w:t>
      </w:r>
      <w:r w:rsidR="00500B18">
        <w:t xml:space="preserve"> </w:t>
      </w:r>
      <w:r w:rsidRPr="00F92F9B">
        <w:t xml:space="preserve">The most widely used involves establishing an empirical transfer function relating the </w:t>
      </w:r>
      <w:proofErr w:type="gramStart"/>
      <w:r w:rsidR="00EF4B3C">
        <w:t>in situ</w:t>
      </w:r>
      <w:proofErr w:type="gramEnd"/>
      <w:r w:rsidRPr="00F92F9B">
        <w:t xml:space="preserve"> measurements to the high spatial resolution imagery.</w:t>
      </w:r>
      <w:r w:rsidR="00500B18">
        <w:t xml:space="preserve"> </w:t>
      </w:r>
      <w:r w:rsidRPr="00F92F9B">
        <w:t>This may be achieved, for example, by multiple regression incorporating radiance/reflectance values in several spectral bands.</w:t>
      </w:r>
      <w:r w:rsidR="00500B18">
        <w:t xml:space="preserve"> </w:t>
      </w:r>
      <w:r w:rsidRPr="00F92F9B">
        <w:t>Alternatively, the transfer function may be based on a vegetation index</w:t>
      </w:r>
      <w:r w:rsidR="00E214D5" w:rsidRPr="00F92F9B">
        <w:t xml:space="preserve">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id":"ITEM-2","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-2","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id":"ITEM-3","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-3","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Practices","type":"chapter"},"uris":["http://www.mendeley.com/documents/?uuid=b8e0c10b-958a-3670-afd7-2891518db765"]}],"mendeley":{"formattedCitation":"[10], [34], [41]","plainTextFormattedCitation":"[10], [34], [41]","previouslyFormattedCitation":"[9], [10], [17]"},"properties":{"noteIndex":0},"schema":"https://github.com/citation-style-language/schema/raw/master/csl-citation.json"}</w:instrText>
      </w:r>
      <w:r w:rsidR="00001273">
        <w:fldChar w:fldCharType="separate"/>
      </w:r>
      <w:r w:rsidR="00EF4B3C" w:rsidRPr="00EF4B3C">
        <w:rPr>
          <w:noProof/>
        </w:rPr>
        <w:t>[10], [34], [41]</w:t>
      </w:r>
      <w:r w:rsidR="00001273">
        <w:fldChar w:fldCharType="end"/>
      </w:r>
      <w:r w:rsidR="0002739D">
        <w:t xml:space="preserve">. </w:t>
      </w:r>
      <w:r w:rsidR="00EE1C2F" w:rsidRPr="00F92F9B">
        <w:t>In addition to ordinary least squares (OLS), several studies make use of robust regression techniques</w:t>
      </w:r>
      <w:r w:rsidR="00EC088E" w:rsidRPr="00F92F9B">
        <w:t xml:space="preserve"> to establish a transfer function,</w:t>
      </w:r>
      <w:r w:rsidR="00EE1C2F" w:rsidRPr="00F92F9B">
        <w:t xml:space="preserve"> including the Theil-Sen estimator</w:t>
      </w:r>
      <w:r w:rsidR="0002739D">
        <w:t xml:space="preserve"> </w:t>
      </w:r>
      <w:r w:rsidR="00001273">
        <w:fldChar w:fldCharType="begin" w:fldLock="1"/>
      </w:r>
      <w:r w:rsidR="00EF4B3C">
        <w:instrText>ADDIN CSL_CITATION {"citationItems":[{"id":"ITEM-1","itemData":{"DOI":"10.1016/j.rse.2005.01.005","ISBN":"0034-4257","ISSN":"00344257","abstract":"Remote sensing often involves the estimation of in situ quantities from remote measurements. Linear regression, where there are no non-linear combinations of regressors, is a common approach to this prediction problem in the remote sensing community. A review of recent remote sensing articles using univariate linear regression indicates that in the majority of cases, ordinary least squares (OLS) linear regression has been applied, with approximately half the articles using the in situ observations as regressors and the other half using the inverse regression with remote measurements as regressors. OLS implicitly assume an underlying normal structural data model to arrive at unbiased estimates of the response. OLS regression can be a biased predictor in the presence of measurement errors when the regression problem is based on a functional rather than structural data model. Parametric (Modified Least Squares) and non-parametric (Theil-Sen) consistent predictors are given for linear regression in the presence of measurement errors together with analytical approximations of their prediction confidence intervals. Three case studies involving estimation of leaf area index from nadir reflectance estimates are used to compare these unbiased estimators with OLS linear regression. A comparison to Geometric Mean regression, a standardized version of Reduced Major Axis regression, is also performed. The Theil-Sen approach is suggested as a potential replacement of OLS for linear regression in remote sensing applications. It offers simplicity in computation, analytical estimates of confidence intervals, robustness to outliers, testable assumptions regarding residuals and requires limited a priori information regarding measurement errors. Crown Copyright ?? 2005 Published by Elsevier Inc. All rights reserved.","author":[{"dropping-particle":"","family":"Fernandes","given":"Richard","non-dropping-particle":"","parse-names":false,"suffix":""},{"dropping-particle":"","family":"Leblanc","given":"Sylvain","non-dropping-particle":"","parse-names":false,"suffix":""}],"container-title":"Remote Sensing of Environment","id":"ITEM-1","issue":"3","issued":{"date-parts":[["2005","4"]]},"page":"303-316","title":"Parametric (modified least squares) and non-parametric (Theil–Sen) linear regressions for predicting biophysical parameters in the presence of measurement errors","type":"article-journal","volume":"95"},"uris":["http://www.mendeley.com/documents/?uuid=eaef73aa-df5d-4db3-882e-b253cab9c124"]},{"id":"ITEM-2","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-2","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Practices","type":"chapter"},"uris":["http://www.mendeley.com/documents/?uuid=b8e0c10b-958a-3670-afd7-2891518db765"]}],"mendeley":{"formattedCitation":"[41], [46]","plainTextFormattedCitation":"[41], [46]","previouslyFormattedCitation":"[17], [22]"},"properties":{"noteIndex":0},"schema":"https://github.com/citation-style-language/schema/raw/master/csl-citation.json"}</w:instrText>
      </w:r>
      <w:r w:rsidR="00001273">
        <w:fldChar w:fldCharType="separate"/>
      </w:r>
      <w:r w:rsidR="00EF4B3C" w:rsidRPr="00EF4B3C">
        <w:rPr>
          <w:noProof/>
        </w:rPr>
        <w:t>[41], [46]</w:t>
      </w:r>
      <w:r w:rsidR="00001273">
        <w:fldChar w:fldCharType="end"/>
      </w:r>
      <w:r w:rsidR="00EE1C2F" w:rsidRPr="00F92F9B">
        <w:t xml:space="preserve"> and iteratively reweighted least squares (IRLS)</w:t>
      </w:r>
      <w:r w:rsidR="0002739D">
        <w:t xml:space="preserve"> </w:t>
      </w:r>
      <w:r w:rsidR="00001273">
        <w:fldChar w:fldCharType="begin" w:fldLock="1"/>
      </w:r>
      <w:r w:rsidR="00EF4B3C">
        <w:instrText>ADDIN CSL_CITATION {"citationItems":[{"id":"ITEM-1","itemData":{"DOI":"10.1016/j.agrformet.2008.07.014","ISBN":"0168-1923","ISSN":"01681923","abstract":"The validation of coarse satellite-derived products from field measurements generally relies on up-scaling the field data to the corresponding satellite products. This question is commonly addressed through the generation of a reference high-resolution map of an area covering several moderate resolution pixels. This paper describes a method by which reference leaf area index (LAI) maps can be generated from ground-truth LAI measurements. The method is based on a multivariate ordinary least squares (OLS) algorithm which uses an iteratively re-weighted least squares (IRLS) algorithm. It provides an empirical relationship (i.e. a transfer function) between in situ measurements and concomitant radiance values from high-resolution HRVIR2/SPOT4 imagery. The band combination composed of green (G), red (R) and near infrared (NIR) proved to be appropriate for LAI prediction, with a cross-validation error lower than 0.7. The convex hull technique has been proposed to assess the extrapolation error of the up-scaling model. Although the model showed to be sensitive to pixels outside the convex hull, the error associated with extrapolated pixels was moderate (i.e. root mean square error (RMSE) ≈ 0.3). A close agreement was found between LAI maps derived from different field based datasets despite the notable differences in the sampling constraints imposed by the use of different instruments. It confirms the validity of a stratified random sampling strategy and suggests the suitability of using around 50 elementary sampling units (ESUs) to characterize the study area. A sensitivity analysis has confirmed that this method is suited to capture the variability across the site extent and, at the same time, minimize field efforts. Knowledge gained from this work provides guidance for an efficient sampling strategy of LAI in a cropland area. © 2008 Elsevier B.V. All rights reserved.","author":[{"dropping-particle":"","family":"Martínez","given":"B.","non-dropping-particle":"","parse-names":false,"suffix":""},{"dropping-particle":"","family":"García-Haro","given":"F.J.","non-dropping-particle":"","parse-names":false,"suffix":""},{"dropping-particle":"","family":"Camacho-de Coca","given":"F.","non-dropping-particle":"","parse-names":false,"suffix":""}],"container-title":"Agricultural and Forest Meteorology","id":"ITEM-1","issue":"1","issued":{"date-parts":[["2009","1"]]},"page":"130-145","title":"Derivation of high-resolution leaf area index maps in support of validation activities: Application to the cropland Barrax site","type":"article-journal","volume":"149"},"uris":["http://www.mendeley.com/documents/?uuid=f2cc5de2-5e89-45a4-b006-a0b0f0ceff56"]}],"mendeley":{"formattedCitation":"[47]","plainTextFormattedCitation":"[47]","previouslyFormattedCitation":"[23]"},"properties":{"noteIndex":0},"schema":"https://github.com/citation-style-language/schema/raw/master/csl-citation.json"}</w:instrText>
      </w:r>
      <w:r w:rsidR="00001273">
        <w:fldChar w:fldCharType="separate"/>
      </w:r>
      <w:r w:rsidR="00EF4B3C" w:rsidRPr="00EF4B3C">
        <w:rPr>
          <w:noProof/>
        </w:rPr>
        <w:t>[47]</w:t>
      </w:r>
      <w:r w:rsidR="00001273">
        <w:fldChar w:fldCharType="end"/>
      </w:r>
      <w:r w:rsidR="00001273">
        <w:t>.</w:t>
      </w:r>
      <w:r w:rsidR="00500B18">
        <w:t xml:space="preserve"> </w:t>
      </w:r>
      <w:r w:rsidR="00EE1C2F" w:rsidRPr="00F92F9B">
        <w:t>These techniques are advantageous as they are less sensitive to outliers.</w:t>
      </w:r>
      <w:r w:rsidR="00500B18">
        <w:t xml:space="preserve"> </w:t>
      </w:r>
      <w:r w:rsidRPr="00F92F9B">
        <w:t>Because of the empirical nature of the transfer function, atmospheric correction is not considered mandatory if atmospheric characteristics can be considered constant over the site</w:t>
      </w:r>
      <w:r w:rsidR="005656FC">
        <w:t xml:space="preserve">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rsidRPr="00F92F9B">
        <w:t>.</w:t>
      </w:r>
      <w:r w:rsidR="00500B18">
        <w:t xml:space="preserve"> </w:t>
      </w:r>
      <w:r w:rsidRPr="00F92F9B">
        <w:t xml:space="preserve">Other approaches include </w:t>
      </w:r>
      <w:r w:rsidR="000F081B">
        <w:t xml:space="preserve">RTM </w:t>
      </w:r>
      <w:r w:rsidRPr="00F92F9B">
        <w:t>inversion, machine learning/hybrid technique</w:t>
      </w:r>
      <w:r w:rsidR="00EE1C2F" w:rsidRPr="00F92F9B">
        <w:t>s, and geostatistical methods.</w:t>
      </w:r>
    </w:p>
    <w:p w14:paraId="7FE56E76" w14:textId="26658D35" w:rsidR="003558E1" w:rsidRPr="00F92F9B" w:rsidRDefault="003558E1" w:rsidP="00F92F9B">
      <w:pPr>
        <w:spacing w:line="360" w:lineRule="auto"/>
        <w:jc w:val="both"/>
      </w:pPr>
      <w:r w:rsidRPr="00F92F9B">
        <w:lastRenderedPageBreak/>
        <w:t xml:space="preserve">In the RTM inversion approach, the </w:t>
      </w:r>
      <w:r w:rsidR="00EF4B3C">
        <w:t>in situ</w:t>
      </w:r>
      <w:r w:rsidRPr="00F92F9B">
        <w:t xml:space="preserve"> data are used both to parameterise RTM simulations and validate the retrievals</w:t>
      </w:r>
      <w:r w:rsidR="0002739D">
        <w:t xml:space="preserve">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Practices","type":"chapter"},"uris":["http://www.mendeley.com/documents/?uuid=b8e0c10b-958a-3670-afd7-2891518db765"]},{"id":"ITEM-2","itemData":{"DOI":"10.1016/j.rse.2010.09.012","ISBN":"0034-4257","ISSN":"00344257","abstract":"Neural networks trained over radiative transfer simulations constitute the basis of several operational algorithms to estimate canopy biophysical variables from satellite reflectance measurements. However, only little attention was paid to the training process which has a major impact on retrieval performances. This study focused on the several modalities of the training process within neural network estimation of LAI, FCOVER and FAPAR biophysical variables. Performances were evaluated over both actual experimental observations and model simulations. The SAIL and PROSPECT radiative transfer models were used here to simulate the training and the synthetic test datasets. Measurements of LAI, FCOVER and FAPAR were achieved over the Barrax (Spain) agricultural site for a range of crop types concurrently to CHRIS/PROBA satellite image acquisition. Results showed that the spectral band selection was specific to LAI, FCOVER and FAPAR variables. The optimal band set provided significantly improved performances for LAI, while only small differences were observed for the other variables. Gaussian distributions of the radiative transfer model input variables performed better than uniform distributions for which no prior information was exploited. Including moderate uncertainties in the reflectance simulations used in the training process improved the flexibility of the neural network in cases where simulations departed slightly from observations. Simple neural network architecture with a single hidden layer of five tangent sigmoid transfer functions was performing as good as more complex architectures if the training dataset was larger than ten times the number of coefficients to tune. Small sensitivity of performances was observed depending on the way the solution was selected when several networks were trained in parallel. Finally, comparison with a NDVI based approach showed the generally better retrieval accuracy of neural networks. ?? 2010 Elsevier Inc.","author":[{"dropping-particle":"","family":"Verger","given":"Aleixandre","non-dropping-particle":"","parse-names":false,"suffix":""},{"dropping-particle":"","family":"Baret","given":"Frédéric","non-dropping-particle":"","parse-names":false,"suffix":""},{"dropping-particle":"","family":"Camacho","given":"Fernando","non-dropping-particle":"","parse-names":false,"suffix":""}],"container-title":"Remote Sensing of Environment","id":"ITEM-2","issue":"2","issued":{"date-parts":[["2011","2","15"]]},"page":"415-426","title":"Optimal modalities for radiative transfer-neural network estimation of canopy biophysical characteristics: Evaluation over an agricultural area with CHRIS/PROBA observations","type":"article-journal","volume":"115"},"uris":["http://www.mendeley.com/documents/?uuid=85427ab2-ca28-49c1-a7fb-bbfa27e00233"]},{"id":"ITEM-3","itemData":{"DOI":"10.1016/j.jag.2011.03.005","ISSN":"03032434","author":[{"dropping-particle":"","family":"Heiskanen","given":"Janne","non-dropping-particle":"","parse-names":false,"suffix":""},{"dropping-particle":"","family":"Rautiainen","given":"Miina","non-dropping-particle":"","parse-names":false,"suffix":""},{"dropping-particle":"","family":"Korhonen","given":"Lauri","non-dropping-particle":"","parse-names":false,"suffix":""},{"dropping-particle":"","family":"Mõttus","given":"Matti","non-dropping-particle":"","parse-names":false,"suffix":""},{"dropping-particle":"","family":"Stenberg","given":"Pauline","non-dropping-particle":"","parse-names":false,"suffix":""}],"container-title":"International Journal of Applied Earth Observation and Geoinformation","id":"ITEM-3","issue":"4","issued":{"date-parts":[["2011","8"]]},"page":"595-606","publisher":"Elsevier B.V.","title":"Retrieval of boreal forest LAI using a forest reflectance model and empirical regressions","type":"article-journal","volume":"13"},"uris":["http://www.mendeley.com/documents/?uuid=b6526ca2-6767-4c91-aecd-ef43d2f5d4d5"]},{"id":"ITEM-4","itemData":{"DOI":"10.1016/j.rse.2013.07.027","ISBN":"0034-4257","ISSN":"00344257","abstract":"This study aims at validating Leaf Area Index (LAI) and Fraction of Absorbed Photosynthetically Active Radiation (FAPAR) products derived from MODIS surface reflectance (MOD09CMG) at coarse resolution (0.05°) over crops. These Essential Climate Variables (ECVs) are estimated by using the inversion of the PROSAIL radiative transfer (BV-NNET tool) applied on MODIS BRDF (Bidirectional Reflectance Distribution Function) corrected surface reflectances and non-corrected. ECV estimates and the corresponding MCD15A3 Collection 5 and GEOLAND-2 (GEOv1) products are compared with ECV reference maps derived from BV-NNET applied on 105 high spatial resolution images (Formosat-2, 8. m) which were acquired from 2006 to 2010 in Southwest France. These latter are compared with local scale in situ measurements. The validation shows an uncertainty of 0.35 and 0.07 for LAI and FAPAR, respectively.The comparison shows that the ECV estimates from the three products properly capture the crops phenology in agreement with reference maps. Results indicate that MCD15A3 uncertainties (0.23 and 0.07 for LAI and FAPAR, respectively) are similar to previous intercomparison studies. GEOv1 shows a systemic positive bias for both LAI and FAPAR. The best agreement with the reference maps is found for MODIS BV-NNET products with r2 higher than 0.9 and relative uncertainties lower than 17%. The use of BRDF-corrected surface reflectances as input of BV-NNET tool improves the uncertainty of LAI estimates (0.11, compared to 0.17 when directional surface reflectances are used as input) but not the uncertainty of FAPAR estimates. The deviation between FAPAR products which mostly affects low winter FAPAR, is related to the discrepancy of the soil directional assumption in PROSAIL model and BRDF correction method. The temporal stability of the daily MODIS BV-NNET products is better than the 4-day composite MCD15A3 products. Finally, BV-NNET tool applied at finer resolutions demonstrates that the increase of the resolution results in a decrease of the LAI and FAPAR uncertainties and a conservation of the biases. © 2013 Elsevier Inc.","author":[{"dropping-particle":"","family":"Claverie","given":"Martin","non-dropping-particle":"","parse-names":false,"suffix":""},{"dropping-particle":"","family":"Vermote","given":"Eric F.","non-dropping-particle":"","parse-names":false,"suffix":""},{"dropping-particle":"","family":"Weiss","given":"Marie","non-dropping-particle":"","parse-names":false,"suffix":""},{"dropping-particle":"","family":"Baret","given":"Frédéric","non-dropping-particle":"","parse-names":false,"suffix":""},{"dropping-particle":"","family":"Hagolle","given":"Olivier","non-dropping-particle":"","parse-names":false,"suffix":""},{"dropping-particle":"","family":"Demarez","given":"Valérie","non-dropping-particle":"","parse-names":false,"suffix":""}],"container-title":"Remote Sensing of Environment","id":"ITEM-4","issued":{"date-parts":[["2013","12"]]},"page":"216-230","title":"Validation of coarse spatial resolution LAI and FAPAR time series over cropland in southwest France","type":"article-journal","volume":"139"},"uris":["http://www.mendeley.com/documents/?uuid=b4d95846-34af-4923-8184-f89a4a074a67"]},{"id":"ITEM-5","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-5","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 [41], [48]–[50]","plainTextFormattedCitation":"[10], [41], [48]–[50]","previouslyFormattedCitation":"[10], [17], [24]–[26]"},"properties":{"noteIndex":0},"schema":"https://github.com/citation-style-language/schema/raw/master/csl-citation.json"}</w:instrText>
      </w:r>
      <w:r w:rsidR="00001273">
        <w:fldChar w:fldCharType="separate"/>
      </w:r>
      <w:r w:rsidR="00EF4B3C" w:rsidRPr="00EF4B3C">
        <w:rPr>
          <w:noProof/>
        </w:rPr>
        <w:t>[10], [41], [48]–[50]</w:t>
      </w:r>
      <w:r w:rsidR="00001273">
        <w:fldChar w:fldCharType="end"/>
      </w:r>
      <w:r w:rsidR="0002739D">
        <w:t>.</w:t>
      </w:r>
      <w:r w:rsidR="005226EB">
        <w:t xml:space="preserve"> </w:t>
      </w:r>
      <w:r w:rsidRPr="00F92F9B">
        <w:t>In some cases, they may also be used to correct for biases in the retrieval results</w:t>
      </w:r>
      <w:r w:rsidR="00247572" w:rsidRPr="00F92F9B">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plainTextFormattedCitation":"[10]","previouslyFormattedCitation":"[10]"},"properties":{"noteIndex":0},"schema":"https://github.com/citation-style-language/schema/raw/master/csl-citation.json"}</w:instrText>
      </w:r>
      <w:r w:rsidR="00001273">
        <w:fldChar w:fldCharType="separate"/>
      </w:r>
      <w:r w:rsidR="00001273">
        <w:rPr>
          <w:noProof/>
        </w:rPr>
        <w:t>[10]</w:t>
      </w:r>
      <w:r w:rsidR="00001273">
        <w:fldChar w:fldCharType="end"/>
      </w:r>
      <w:r w:rsidRPr="00F92F9B">
        <w:t>.</w:t>
      </w:r>
      <w:r w:rsidR="00500B18">
        <w:t xml:space="preserve"> </w:t>
      </w:r>
      <w:r w:rsidRPr="00F92F9B">
        <w:t>The machine learning approach incorporates an array of non-parametric regression methods, including, for example, artificial neural networks (ANNs)</w:t>
      </w:r>
      <w:r w:rsidR="00247572" w:rsidRPr="00F92F9B">
        <w:t xml:space="preserve">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id":"ITEM-2","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-2","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products","type":"book"},"uris":["http://www.mendeley.com/documents/?uuid=fc06abf7-039c-34bc-bbaa-0665f539fcbf"]}],"mendeley":{"formattedCitation":"[10], [41]","plainTextFormattedCitation":"[10], [41]","previouslyFormattedCitation":"[10], [17]"},"properties":{"noteIndex":0},"schema":"https://github.com/citation-style-language/schema/raw/master/csl-citation.json"}</w:instrText>
      </w:r>
      <w:r w:rsidR="00001273">
        <w:fldChar w:fldCharType="separate"/>
      </w:r>
      <w:r w:rsidR="00EF4B3C" w:rsidRPr="00EF4B3C">
        <w:rPr>
          <w:noProof/>
        </w:rPr>
        <w:t>[10], [41]</w:t>
      </w:r>
      <w:r w:rsidR="00001273">
        <w:fldChar w:fldCharType="end"/>
      </w:r>
      <w:r w:rsidRPr="00F92F9B">
        <w:t>.</w:t>
      </w:r>
      <w:r w:rsidR="00500B18">
        <w:t xml:space="preserve"> </w:t>
      </w:r>
      <w:r w:rsidRPr="00F92F9B">
        <w:t xml:space="preserve">It is suggested by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[41]","plainTextFormattedCitation":"[41]","previouslyFormattedCitation":"[17]"},"properties":{"noteIndex":0},"schema":"https://github.com/citation-style-language/schema/raw/master/csl-citation.json"}</w:instrText>
      </w:r>
      <w:r w:rsidR="00001273">
        <w:fldChar w:fldCharType="separate"/>
      </w:r>
      <w:r w:rsidR="00EF4B3C" w:rsidRPr="00EF4B3C">
        <w:rPr>
          <w:noProof/>
        </w:rPr>
        <w:t>[41]</w:t>
      </w:r>
      <w:r w:rsidR="00001273">
        <w:fldChar w:fldCharType="end"/>
      </w:r>
      <w:r w:rsidR="00001273">
        <w:t xml:space="preserve"> </w:t>
      </w:r>
      <w:r w:rsidRPr="00F92F9B">
        <w:t>that such methods require a greatly increased number of samples for model training, reducing their utility in field campaigns with smaller numbers of ESUs.</w:t>
      </w:r>
      <w:r w:rsidR="00500B18">
        <w:t xml:space="preserve"> </w:t>
      </w:r>
      <w:r w:rsidRPr="00F92F9B">
        <w:t>This limitation is somewhat overcome in hybrid approaches, which make use of RTM simulations to train</w:t>
      </w:r>
      <w:r w:rsidR="007B4945" w:rsidRPr="00F92F9B">
        <w:t xml:space="preserve"> a</w:t>
      </w:r>
      <w:r w:rsidRPr="00F92F9B">
        <w:t xml:space="preserve"> machine learning algorithm</w:t>
      </w:r>
      <w:r w:rsidR="007B4945" w:rsidRPr="00F92F9B">
        <w:t xml:space="preserve"> </w:t>
      </w:r>
      <w:r w:rsidR="00001273">
        <w:fldChar w:fldCharType="begin" w:fldLock="1"/>
      </w:r>
      <w:r w:rsidR="00EF4B3C">
        <w:instrText>ADDIN CSL_CITATION {"citationItems":[{"id":"ITEM-1","itemData":{"DOI":"10.1109/JSTARS.2019.2899998","ISSN":"1939-1404","author":[{"dropping-particle":"","family":"Brown","given":"Luke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Sensing","id":"ITEM-1","issue":"7","issued":{"date-parts":[["2019","7"]]},"page":"2244-2251","title":"Synergetic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mendeley":{"formattedCitation":"[43]","plainTextFormattedCitation":"[43]","previouslyFormattedCitation":"[19]"},"properties":{"noteIndex":0},"schema":"https://github.com/citation-style-language/schema/raw/master/csl-citation.json"}</w:instrText>
      </w:r>
      <w:r w:rsidR="00001273">
        <w:fldChar w:fldCharType="separate"/>
      </w:r>
      <w:r w:rsidR="00EF4B3C" w:rsidRPr="00EF4B3C">
        <w:rPr>
          <w:noProof/>
        </w:rPr>
        <w:t>[43]</w:t>
      </w:r>
      <w:r w:rsidR="00001273">
        <w:fldChar w:fldCharType="end"/>
      </w:r>
      <w:r w:rsidRPr="00F92F9B">
        <w:t>.</w:t>
      </w:r>
      <w:r w:rsidR="00500B18">
        <w:t xml:space="preserve"> </w:t>
      </w:r>
      <w:r w:rsidRPr="00F92F9B">
        <w:t xml:space="preserve">As with RTM inversion, the </w:t>
      </w:r>
      <w:proofErr w:type="gramStart"/>
      <w:r w:rsidR="00EF4B3C">
        <w:t>in situ</w:t>
      </w:r>
      <w:proofErr w:type="gramEnd"/>
      <w:r w:rsidRPr="00F92F9B">
        <w:t xml:space="preserve"> measurements may be used to parameterise the RTM simulations, validate the retrievals, and correct for biases in the results.</w:t>
      </w:r>
      <w:r w:rsidR="00500B18">
        <w:t xml:space="preserve"> </w:t>
      </w:r>
      <w:r w:rsidRPr="00F92F9B">
        <w:t xml:space="preserve">Finally, geostatistical methods involve the use of interpolation techniques such as kriging to upscale </w:t>
      </w:r>
      <w:r w:rsidR="00EF4B3C">
        <w:t>in situ</w:t>
      </w:r>
      <w:r w:rsidRPr="00F92F9B">
        <w:t xml:space="preserve"> measurements</w:t>
      </w:r>
      <w:r w:rsidR="00EC088E" w:rsidRPr="00F92F9B">
        <w:t>, making use of models of spatial autocorrelation</w:t>
      </w:r>
      <w:r w:rsidRPr="00F92F9B">
        <w:t xml:space="preserve"> </w:t>
      </w:r>
      <w:r w:rsidR="00001273">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id":"ITEM-2","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-2","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Practices","type":"chapter"},"uris":["http://www.mendeley.com/documents/?uuid=b8e0c10b-958a-3670-afd7-2891518db765"]}],"mendeley":{"formattedCitation":"[10], [41]","plainTextFormattedCitation":"[10], [41]","previouslyFormattedCitation":"[10], [17]"},"properties":{"noteIndex":0},"schema":"https://github.com/citation-style-language/schema/raw/master/csl-citation.json"}</w:instrText>
      </w:r>
      <w:r w:rsidR="00001273">
        <w:fldChar w:fldCharType="separate"/>
      </w:r>
      <w:r w:rsidR="00EF4B3C" w:rsidRPr="00EF4B3C">
        <w:rPr>
          <w:noProof/>
        </w:rPr>
        <w:t>[10], [41]</w:t>
      </w:r>
      <w:r w:rsidR="00001273">
        <w:fldChar w:fldCharType="end"/>
      </w:r>
      <w:r w:rsidRPr="00F92F9B">
        <w:t>.</w:t>
      </w:r>
      <w:r w:rsidR="00500B18">
        <w:t xml:space="preserve"> </w:t>
      </w:r>
      <w:r w:rsidRPr="00F92F9B">
        <w:t xml:space="preserve">It is suggested by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[41]","plainTextFormattedCitation":"[41]","previouslyFormattedCitation":"[17]"},"properties":{"noteIndex":0},"schema":"https://github.com/citation-style-language/schema/raw/master/csl-citation.json"}</w:instrText>
      </w:r>
      <w:r w:rsidR="00001273">
        <w:fldChar w:fldCharType="separate"/>
      </w:r>
      <w:r w:rsidR="00EF4B3C" w:rsidRPr="00EF4B3C">
        <w:rPr>
          <w:noProof/>
        </w:rPr>
        <w:t>[41]</w:t>
      </w:r>
      <w:r w:rsidR="00001273">
        <w:fldChar w:fldCharType="end"/>
      </w:r>
      <w:r w:rsidRPr="00F92F9B">
        <w:t xml:space="preserve"> that the additional gain in performance offered by such methods is small, demonstrated by the fact that a spatial covariate (i.e. the high spatial resolution imagery) is typically required to achieve adequate results.</w:t>
      </w:r>
    </w:p>
    <w:p w14:paraId="392872BB" w14:textId="22A654F9" w:rsidR="00A57333" w:rsidRPr="00F92F9B" w:rsidRDefault="00A57333" w:rsidP="00F92F9B">
      <w:pPr>
        <w:spacing w:line="360" w:lineRule="auto"/>
        <w:jc w:val="both"/>
        <w:rPr>
          <w:noProof/>
        </w:rPr>
      </w:pPr>
      <w:r w:rsidRPr="00F92F9B">
        <w:t>High spatial resolution imager</w:t>
      </w:r>
      <w:r w:rsidR="0063084E" w:rsidRPr="00F92F9B">
        <w:t>y</w:t>
      </w:r>
      <w:r w:rsidRPr="00F92F9B">
        <w:t xml:space="preserve"> from various multispectral instruments has been adopted for upscaling</w:t>
      </w:r>
      <w:r w:rsidR="0063084E" w:rsidRPr="00F92F9B">
        <w:t>, i</w:t>
      </w:r>
      <w:r w:rsidRPr="00F92F9B">
        <w:t>ncluding data from Landsat programme’s TM, ETM+ and</w:t>
      </w:r>
      <w:r w:rsidR="001E1279">
        <w:t xml:space="preserve"> OLI</w:t>
      </w:r>
      <w:r w:rsidRPr="00F92F9B">
        <w:t xml:space="preserve"> instruments, in addition to the SPOT HRV instruments.</w:t>
      </w:r>
      <w:r w:rsidR="00500B18">
        <w:t xml:space="preserve"> </w:t>
      </w:r>
      <w:r w:rsidRPr="00F92F9B">
        <w:t xml:space="preserve">The spectral characteristics of these instruments are well suited to upscaling </w:t>
      </w:r>
      <w:r w:rsidR="00EF4B3C">
        <w:t>in situ</w:t>
      </w:r>
      <w:r w:rsidRPr="00F92F9B">
        <w:t xml:space="preserve"> measurements of LAI, FAPAR and FCOVER.</w:t>
      </w:r>
      <w:r w:rsidR="00500B18">
        <w:t xml:space="preserve"> </w:t>
      </w:r>
      <w:r w:rsidRPr="00F92F9B">
        <w:t>However, their lack of red-e</w:t>
      </w:r>
      <w:r w:rsidR="000306CA">
        <w:t>dg</w:t>
      </w:r>
      <w:r w:rsidRPr="00F92F9B">
        <w:t xml:space="preserve">e bands has limited their utility for upscaling </w:t>
      </w:r>
      <w:r w:rsidR="00EF4B3C">
        <w:t>in situ</w:t>
      </w:r>
      <w:r w:rsidRPr="00F92F9B">
        <w:t xml:space="preserve"> measurements of </w:t>
      </w:r>
      <w:r w:rsidR="001E1279">
        <w:t>CCC.</w:t>
      </w:r>
      <w:r w:rsidR="00500B18">
        <w:t xml:space="preserve"> </w:t>
      </w:r>
      <w:r w:rsidRPr="00F92F9B">
        <w:t>Because no freely available source of high spatial resolution imagery was available, validation efforts previously required</w:t>
      </w:r>
      <w:r w:rsidR="00B51805" w:rsidRPr="00F92F9B">
        <w:t xml:space="preserve"> costly</w:t>
      </w:r>
      <w:r w:rsidRPr="00F92F9B">
        <w:t xml:space="preserve"> airborne hyperspectral data acquisition.</w:t>
      </w:r>
      <w:r w:rsidR="00500B18">
        <w:t xml:space="preserve"> </w:t>
      </w:r>
      <w:r w:rsidRPr="00F92F9B">
        <w:t>The recent launch of the Sentinel-2 missions represents a solution to this challenge.</w:t>
      </w:r>
      <w:r w:rsidR="00500B18">
        <w:t xml:space="preserve"> </w:t>
      </w:r>
      <w:r w:rsidRPr="00F92F9B">
        <w:t>The utility of the Sentinel-2 MSI’s red-ed</w:t>
      </w:r>
      <w:r w:rsidR="000306CA">
        <w:t>g</w:t>
      </w:r>
      <w:r w:rsidRPr="00F92F9B">
        <w:t xml:space="preserve">e bands for upscaling </w:t>
      </w:r>
      <w:r w:rsidR="00EF4B3C">
        <w:t>in situ</w:t>
      </w:r>
      <w:r w:rsidRPr="00F92F9B">
        <w:t xml:space="preserve"> measurements of CCC </w:t>
      </w:r>
      <w:r w:rsidR="0063084E" w:rsidRPr="00F92F9B">
        <w:t xml:space="preserve">was recently </w:t>
      </w:r>
      <w:r w:rsidRPr="00F92F9B">
        <w:t>demonstrated by</w:t>
      </w:r>
      <w:r w:rsidR="00597872">
        <w:t xml:space="preserve"> </w:t>
      </w:r>
      <w:r w:rsidR="00001273">
        <w:fldChar w:fldCharType="begin" w:fldLock="1"/>
      </w:r>
      <w:r w:rsidR="00EF4B3C">
        <w:instrText>ADDIN CSL_CITATION {"citationItems":[{"id":"ITEM-1","itemData":{"DOI":"10.1109/JSTARS.2019.2899998","ISSN":"1939-1404","author":[{"dropping-particle":"","family":"Brown","given":"Luke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Sensing","id":"ITEM-1","issue":"7","issued":{"date-parts":[["2019","7"]]},"page":"2244-2251","title":"Synergetic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mendeley":{"formattedCitation":"[43]","plainTextFormattedCitation":"[43]","previouslyFormattedCitation":"[19]"},"properties":{"noteIndex":0},"schema":"https://github.com/citation-style-language/schema/raw/master/csl-citation.json"}</w:instrText>
      </w:r>
      <w:r w:rsidR="00001273">
        <w:fldChar w:fldCharType="separate"/>
      </w:r>
      <w:r w:rsidR="00EF4B3C" w:rsidRPr="00EF4B3C">
        <w:rPr>
          <w:noProof/>
        </w:rPr>
        <w:t>[43]</w:t>
      </w:r>
      <w:r w:rsidR="00001273">
        <w:fldChar w:fldCharType="end"/>
      </w:r>
      <w:r w:rsidR="00597872">
        <w:t>.</w:t>
      </w:r>
    </w:p>
    <w:p w14:paraId="15C1AECA" w14:textId="77777777" w:rsidR="00E214D5" w:rsidRDefault="00E214D5" w:rsidP="00491F1D">
      <w:pPr>
        <w:spacing w:after="0"/>
        <w:jc w:val="both"/>
      </w:pPr>
    </w:p>
    <w:p w14:paraId="077A41DA" w14:textId="58A28A8F" w:rsidR="00E214D5" w:rsidRPr="005B5E09" w:rsidRDefault="0040674B" w:rsidP="00476577">
      <w:pPr>
        <w:pStyle w:val="Heading3"/>
      </w:pPr>
      <w:bookmarkStart w:id="40" w:name="_Ref2100566"/>
      <w:bookmarkStart w:id="41" w:name="_Toc43388062"/>
      <w:r w:rsidRPr="005B5E09">
        <w:t>Convex Hull</w:t>
      </w:r>
      <w:bookmarkEnd w:id="40"/>
      <w:r w:rsidR="00491F1D">
        <w:t>s</w:t>
      </w:r>
      <w:bookmarkEnd w:id="41"/>
    </w:p>
    <w:p w14:paraId="661642FA" w14:textId="4046AE2B" w:rsidR="00E214D5" w:rsidRDefault="00E214D5" w:rsidP="00491F1D">
      <w:pPr>
        <w:spacing w:after="0"/>
      </w:pPr>
    </w:p>
    <w:p w14:paraId="72947924" w14:textId="3F25CB6B" w:rsidR="00E214D5" w:rsidRDefault="00EC088E" w:rsidP="00F92F9B">
      <w:pPr>
        <w:spacing w:line="360" w:lineRule="auto"/>
        <w:jc w:val="both"/>
      </w:pPr>
      <w:r>
        <w:t xml:space="preserve">Because upscaling methods may have limited extrapolation capabilities, </w:t>
      </w:r>
      <w:r w:rsidR="00E52B0F">
        <w:t xml:space="preserve">analysis is often restricted </w:t>
      </w:r>
      <w:r w:rsidR="0040674B">
        <w:t>to the convex hull of the training data.</w:t>
      </w:r>
      <w:r w:rsidR="00500B18">
        <w:t xml:space="preserve"> </w:t>
      </w:r>
      <w:r w:rsidR="0040674B">
        <w:t xml:space="preserve">According to </w:t>
      </w:r>
      <w:r w:rsidR="00001273">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b8e0c10b-958a-3670-afd7-2891518db765"]}],"mendeley":{"formattedCitation":"[41]","plainTextFormattedCitation":"[41]","previouslyFormattedCitation":"[17]"},"properties":{"noteIndex":0},"schema":"https://github.com/citation-style-language/schema/raw/master/csl-citation.json"}</w:instrText>
      </w:r>
      <w:r w:rsidR="00001273">
        <w:fldChar w:fldCharType="separate"/>
      </w:r>
      <w:r w:rsidR="00EF4B3C" w:rsidRPr="00EF4B3C">
        <w:rPr>
          <w:noProof/>
        </w:rPr>
        <w:t>[41]</w:t>
      </w:r>
      <w:r w:rsidR="00001273">
        <w:fldChar w:fldCharType="end"/>
      </w:r>
      <w:r w:rsidR="0040674B">
        <w:t>, three types of convex hull can be considered:</w:t>
      </w:r>
    </w:p>
    <w:p w14:paraId="526E41DA" w14:textId="1778CA32" w:rsidR="0040674B" w:rsidRDefault="0040674B" w:rsidP="00F92F9B">
      <w:pPr>
        <w:pStyle w:val="ListParagraph"/>
        <w:numPr>
          <w:ilvl w:val="0"/>
          <w:numId w:val="10"/>
        </w:numPr>
        <w:spacing w:line="360" w:lineRule="auto"/>
        <w:jc w:val="both"/>
      </w:pPr>
      <w:r>
        <w:t>The spatial c</w:t>
      </w:r>
      <w:r w:rsidR="00E52B0F">
        <w:t xml:space="preserve">onvex hull, which </w:t>
      </w:r>
      <w:r>
        <w:t>restricts analysis areas characterised by similar conditions</w:t>
      </w:r>
      <w:r w:rsidR="00692735">
        <w:t xml:space="preserve"> as the sampled ESUs</w:t>
      </w:r>
    </w:p>
    <w:p w14:paraId="1BB8FE18" w14:textId="48B4F74D" w:rsidR="0040674B" w:rsidRDefault="0040674B" w:rsidP="00F92F9B">
      <w:pPr>
        <w:pStyle w:val="ListParagraph"/>
        <w:numPr>
          <w:ilvl w:val="0"/>
          <w:numId w:val="10"/>
        </w:numPr>
        <w:spacing w:line="360" w:lineRule="auto"/>
        <w:jc w:val="both"/>
      </w:pPr>
      <w:r>
        <w:t xml:space="preserve">The temporal </w:t>
      </w:r>
      <w:r w:rsidR="00E52B0F">
        <w:t xml:space="preserve">convex hull, which </w:t>
      </w:r>
      <w:r>
        <w:t>restricts analysis to similar time periods</w:t>
      </w:r>
      <w:r w:rsidR="00692735">
        <w:t xml:space="preserve"> as the sampled ESUs</w:t>
      </w:r>
    </w:p>
    <w:p w14:paraId="03312E3C" w14:textId="3D84A9DE" w:rsidR="0040674B" w:rsidRDefault="0040674B" w:rsidP="00F92F9B">
      <w:pPr>
        <w:pStyle w:val="ListParagraph"/>
        <w:numPr>
          <w:ilvl w:val="0"/>
          <w:numId w:val="10"/>
        </w:numPr>
        <w:spacing w:line="360" w:lineRule="auto"/>
        <w:jc w:val="both"/>
      </w:pPr>
      <w:r>
        <w:t xml:space="preserve">The </w:t>
      </w:r>
      <w:r w:rsidR="00E52B0F">
        <w:t xml:space="preserve">thematic convex hull, which </w:t>
      </w:r>
      <w:r>
        <w:t xml:space="preserve">restricts analysis </w:t>
      </w:r>
      <w:proofErr w:type="gramStart"/>
      <w:r>
        <w:t>o</w:t>
      </w:r>
      <w:r w:rsidR="00E52B0F">
        <w:t>n the basis of</w:t>
      </w:r>
      <w:proofErr w:type="gramEnd"/>
      <w:r>
        <w:t xml:space="preserve"> the joint distribution of auxiliary variables (e.g. the multispectral convex hull if multispectral data is used in upscaling)</w:t>
      </w:r>
    </w:p>
    <w:p w14:paraId="797405FF" w14:textId="73D21E94" w:rsidR="00E214D5" w:rsidRDefault="00E52B0F" w:rsidP="00F92F9B">
      <w:pPr>
        <w:spacing w:line="360" w:lineRule="auto"/>
        <w:jc w:val="both"/>
      </w:pPr>
      <w:r>
        <w:lastRenderedPageBreak/>
        <w:t xml:space="preserve">In terms of the multispectral convex hull, </w:t>
      </w:r>
      <w:r w:rsidR="00001273">
        <w:fldChar w:fldCharType="begin" w:fldLock="1"/>
      </w:r>
      <w:r w:rsidR="00EF4B3C">
        <w:instrText>ADDIN CSL_CITATION {"citationItems":[{"id":"ITEM-1","itemData":{"DOI":"10.1016/j.agrformet.2008.07.014","ISBN":"0168-1923","ISSN":"01681923","abstract":"The validation of coarse satellite-derived products from field measurements generally relies on up-scaling the field data to the corresponding satellite products. This question is commonly addressed through the generation of a reference high-resolution map of an area covering several moderate resolution pixels. This paper describes a method by which reference leaf area index (LAI) maps can be generated from ground-truth LAI measurements. The method is based on a multivariate ordinary least squares (OLS) algorithm which uses an iteratively re-weighted least squares (IRLS) algorithm. It provides an empirical relationship (i.e. a transfer function) between in situ measurements and concomitant radiance values from high-resolution HRVIR2/SPOT4 imagery. The band combination composed of green (G), red (R) and near infrared (NIR) proved to be appropriate for LAI prediction, with a cross-validation error lower than 0.7. The convex hull technique has been proposed to assess the extrapolation error of the up-scaling model. Although the model showed to be sensitive to pixels outside the convex hull, the error associated with extrapolated pixels was moderate (i.e. root mean square error (RMSE) ≈ 0.3). A close agreement was found between LAI maps derived from different field based datasets despite the notable differences in the sampling constraints imposed by the use of different instruments. It confirms the validity of a stratified random sampling strategy and suggests the suitability of using around 50 elementary sampling units (ESUs) to characterize the study area. A sensitivity analysis has confirmed that this method is suited to capture the variability across the site extent and, at the same time, minimize field efforts. Knowledge gained from this work provides guidance for an efficient sampling strategy of LAI in a cropland area. © 2008 Elsevier B.V. All rights reserved.","author":[{"dropping-particle":"","family":"Martínez","given":"B.","non-dropping-particle":"","parse-names":false,"suffix":""},{"dropping-particle":"","family":"García-Haro","given":"F.J.","non-dropping-particle":"","parse-names":false,"suffix":""},{"dropping-particle":"","family":"Camacho-de Coca","given":"F.","non-dropping-particle":"","parse-names":false,"suffix":""}],"container-title":"Agricultural and Forest Meteorology","id":"ITEM-1","issue":"1","issued":{"date-parts":[["2009","1"]]},"page":"130-145","title":"Derivation of high-resolution leaf area index maps in support of validation activities: Application to the cropland Barrax site","type":"article-journal","volume":"149"},"uris":["http://www.mendeley.com/documents/?uuid=f2cc5de2-5e89-45a4-b006-a0b0f0ceff56"]}],"mendeley":{"formattedCitation":"[47]","plainTextFormattedCitation":"[47]","previouslyFormattedCitation":"[23]"},"properties":{"noteIndex":0},"schema":"https://github.com/citation-style-language/schema/raw/master/csl-citation.json"}</w:instrText>
      </w:r>
      <w:r w:rsidR="00001273">
        <w:fldChar w:fldCharType="separate"/>
      </w:r>
      <w:r w:rsidR="00EF4B3C" w:rsidRPr="00EF4B3C">
        <w:rPr>
          <w:noProof/>
        </w:rPr>
        <w:t>[47]</w:t>
      </w:r>
      <w:r w:rsidR="00001273">
        <w:fldChar w:fldCharType="end"/>
      </w:r>
      <w:r w:rsidR="00B22C78">
        <w:t xml:space="preserve"> </w:t>
      </w:r>
      <w:r>
        <w:t>defines both a ‘strict’ and ‘large’ convex hull.</w:t>
      </w:r>
      <w:r w:rsidR="00500B18">
        <w:t xml:space="preserve"> </w:t>
      </w:r>
      <w:r w:rsidR="0040674B">
        <w:t>Areas outside of the ‘strict’ convex hull but within the ‘large’ convex hull are derived by assuming 5% noise in the high spatial resolution imagery.</w:t>
      </w:r>
      <w:r w:rsidR="00500B18">
        <w:t xml:space="preserve"> </w:t>
      </w:r>
      <w:r>
        <w:t>It is suggested that although these</w:t>
      </w:r>
      <w:r w:rsidR="0063084E">
        <w:t xml:space="preserve"> technically</w:t>
      </w:r>
      <w:r>
        <w:t xml:space="preserve"> areas</w:t>
      </w:r>
      <w:r w:rsidR="0040674B">
        <w:t xml:space="preserve"> represent extrapolation, they may nevertheless provide good prediction capabilities</w:t>
      </w:r>
      <w:r w:rsidR="009B5060">
        <w:t>.</w:t>
      </w:r>
    </w:p>
    <w:p w14:paraId="70E0D01C" w14:textId="77777777" w:rsidR="0056739D" w:rsidRPr="000E53AD" w:rsidRDefault="0056739D" w:rsidP="00491F1D">
      <w:pPr>
        <w:spacing w:after="0"/>
      </w:pPr>
    </w:p>
    <w:p w14:paraId="23A2294B" w14:textId="3E36C7AF" w:rsidR="007B3CD9" w:rsidRPr="005B5E09" w:rsidRDefault="007B3CD9" w:rsidP="00476577">
      <w:pPr>
        <w:pStyle w:val="Heading3"/>
      </w:pPr>
      <w:bookmarkStart w:id="42" w:name="_Toc43388063"/>
      <w:r w:rsidRPr="005B5E09">
        <w:t>Aggregation</w:t>
      </w:r>
      <w:r w:rsidR="000E53AD" w:rsidRPr="005B5E09">
        <w:t xml:space="preserve"> Method</w:t>
      </w:r>
      <w:bookmarkEnd w:id="42"/>
    </w:p>
    <w:p w14:paraId="5D00C159" w14:textId="75C356D2" w:rsidR="007B3CD9" w:rsidRDefault="007B3CD9" w:rsidP="00491F1D">
      <w:pPr>
        <w:spacing w:after="0"/>
      </w:pPr>
    </w:p>
    <w:p w14:paraId="61E6A5C8" w14:textId="2531AF39" w:rsidR="007B3CD9" w:rsidRDefault="008C0CB2" w:rsidP="00F92F9B">
      <w:pPr>
        <w:spacing w:line="360" w:lineRule="auto"/>
        <w:jc w:val="both"/>
      </w:pPr>
      <w:r>
        <w:t xml:space="preserve">Although </w:t>
      </w:r>
      <w:r w:rsidR="00001273">
        <w:fldChar w:fldCharType="begin" w:fldLock="1"/>
      </w:r>
      <w:r w:rsidR="00EF4B3C">
        <w:instrText>ADDIN CSL_CITATION {"citationItems":[{"id":"ITEM-1","itemData":{"DOI":"10.1109/TGRS.2006.872529","ISBN":"0196-2892","ISSN":"0196-2892","PMID":"10","abstract":"Abstract—Initiated in 1984, the Committee Earth Observing Satellites’ Working Group on Calibration and Validation (CEOS WGCV) pursues activities to coordinate, standardize and advance calibration and validation of civilian satellites and their data. One subgroup of CEOS WGCV, Land Product Validation (LPV), was established in 2000 to define standard validation guidelines and protocols and to foster data and information exchange relevant to the validation of land products. Since then, a number of leaf area index (LAI) products have become available to the science community at both global and regional extents. Having multiple global\\nLAI products and multiple, disparate validation activities related to these products presents the opportunity to realize efficiency through international collaboration. So the LPV subgroup established an international LAI intercomparison validation activity. This paper describes the main components of this international validation effort. The paper documents the current participants, their ground LAI measurements and scaling techniques, and the metadata and infrastructure established to share data. The paper concludes by describing plans for sharing both field data and high-resolution LAI products from each site. Many considerations of this global LAI intercomparison can apply to other products, and this paper presents a framework for such collaboration.","author":[{"dropping-particle":"","family":"Morisette","given":"J.T.","non-dropping-particle":"","parse-names":false,"suffix":""},{"dropping-particle":"","family":"Baret","given":"Frédéric","non-dropping-particle":"","parse-names":false,"suffix":""},{"dropping-particle":"","family":"Privette","given":"J.L.","non-dropping-particle":"","parse-names":false,"suffix":""},{"dropping-particle":"","family":"Myneni","given":"R.B.","non-dropping-particle":"","parse-names":false,"suffix":""},{"dropping-particle":"","family":"Nickeson","given":"J.E.","non-dropping-particle":"","parse-names":false,"suffix":""},{"dropping-particle":"","family":"Garrigues","given":"Sébastien","non-dropping-particle":"","parse-names":false,"suffix":""},{"dropping-particle":"","family":"Shabanov","given":"N.V.","non-dropping-particle":"","parse-names":false,"suffix":""},{"dropping-particle":"","family":"Weiss","given":"Marie","non-dropping-particle":"","parse-names":false,"suffix":""},{"dropping-particle":"","family":"Fernandes","given":"R.A.","non-dropping-particle":"","parse-names":false,"suffix":""},{"dropping-particle":"","family":"Leblanc","given":"S.G.","non-dropping-particle":"","parse-names":false,"suffix":""},{"dropping-particle":"","family":"Kalacska","given":"Margaret","non-dropping-particle":"","parse-names":false,"suffix":""},{"dropping-particle":"","family":"Sanchez-Azofeifa","given":"G.A.","non-dropping-particle":"","parse-names":false,"suffix":""},{"dropping-particle":"","family":"Chubey","given":"Michael","non-dropping-particle":"","parse-names":false,"suffix":""},{"dropping-particle":"","family":"Rivard","given":"Benoit","non-dropping-particle":"","parse-names":false,"suffix":""},{"dropping-particle":"","family":"Stenberg","given":"Pauline","non-dropping-particle":"","parse-names":false,"suffix":""},{"dropping-particle":"","family":"Rautiainen","given":"Miina","non-dropping-particle":"","parse-names":false,"suffix":""},{"dropping-particle":"","family":"Voipio","given":"Pekka","non-dropping-particle":"","parse-names":false,"suffix":""},{"dropping-particle":"","family":"Manninen","given":"Terhikki","non-dropping-particle":"","parse-names":false,"suffix":""},{"dropping-particle":"","family":"Pilant","given":"A.N.","non-dropping-particle":"","parse-names":false,"suffix":""},{"dropping-particle":"","family":"Lewis","given":"T.E.","non-dropping-particle":"","parse-names":false,"suffix":""},{"dropping-particle":"","family":"Iiames","given":"J.S.","non-dropping-particle":"","parse-names":false,"suffix":""},{"dropping-particle":"","family":"Colombo","given":"Roberto","non-dropping-particle":"","parse-names":false,"suffix":""},{"dropping-particle":"","family":"Meroni","given":"Michele","non-dropping-particle":"","parse-names":false,"suffix":""},{"dropping-particle":"","family":"Busetto","given":"Lorenzo","non-dropping-particle":"","parse-names":false,"suffix":""},{"dropping-particle":"","family":"Cohen","given":"W.B.","non-dropping-particle":"","parse-names":false,"suffix":""},{"dropping-particle":"","family":"Turner","given":"D.P.","non-dropping-particle":"","parse-names":false,"suffix":""},{"dropping-particle":"","family":"Warner","given":"E.D.","non-dropping-particle":"","parse-names":false,"suffix":""},{"dropping-particle":"","family":"Petersen","given":"G.W.","non-dropping-particle":"","parse-names":false,"suffix":""},{"dropping-particle":"","family":"Seufert","given":"Guenter","non-dropping-particle":"","parse-names":false,"suffix":""},{"dropping-particle":"","family":"Cook","given":"Robert","non-dropping-particle":"","parse-names":false,"suffix":""}],"container-title":"IEEE Transactions on Geoscience and Remote Sensing","id":"ITEM-1","issue":"7","issued":{"date-parts":[["2006","7"]]},"page":"1804-1817","title":"Validation of global moderate-resolution LAI products: a framework proposed within the CEOS land product validation subgroup","type":"article-journal","volume":"44"},"uris":["http://www.mendeley.com/documents/?uuid=f118f83a-ec05-3d84-b65e-0e51fea1b84e"]}],"mendeley":{"formattedCitation":"[34]","plainTextFormattedCitation":"[34]","previouslyFormattedCitation":"[9]"},"properties":{"noteIndex":0},"schema":"https://github.com/citation-style-language/schema/raw/master/csl-citation.json"}</w:instrText>
      </w:r>
      <w:r w:rsidR="00001273">
        <w:fldChar w:fldCharType="separate"/>
      </w:r>
      <w:r w:rsidR="00EF4B3C" w:rsidRPr="00EF4B3C">
        <w:rPr>
          <w:noProof/>
        </w:rPr>
        <w:t>[34]</w:t>
      </w:r>
      <w:r w:rsidR="00001273">
        <w:fldChar w:fldCharType="end"/>
      </w:r>
      <w:r>
        <w:t xml:space="preserve"> argue that the aggregation method adopted in validation studies should account for the apparent point spread function (PSF) of the satellite-derived product under validation, they also suggest that this step is</w:t>
      </w:r>
      <w:r w:rsidR="00353AB1">
        <w:t>, at present,</w:t>
      </w:r>
      <w:r>
        <w:t xml:space="preserve"> poorly addressed.</w:t>
      </w:r>
      <w:r w:rsidR="00500B18">
        <w:t xml:space="preserve"> </w:t>
      </w:r>
      <w:r>
        <w:t xml:space="preserve">Because detailed knowledge on the instrument’s geometric characteristics would be required, accounting for the PSF in aggregation is not </w:t>
      </w:r>
      <w:r w:rsidR="00353AB1">
        <w:t xml:space="preserve">a </w:t>
      </w:r>
      <w:r>
        <w:t>straightforward</w:t>
      </w:r>
      <w:r w:rsidR="00353AB1">
        <w:t xml:space="preserve"> process</w:t>
      </w:r>
      <w:r>
        <w:t>.</w:t>
      </w:r>
      <w:r w:rsidR="00500B18">
        <w:t xml:space="preserve"> </w:t>
      </w:r>
      <w:r w:rsidR="00A22023">
        <w:t>The apparent PSF is influenced by instrument observational characteristics such as viewing geometry, particularly in the case of wide-swath instruments.</w:t>
      </w:r>
      <w:r w:rsidR="00500B18">
        <w:t xml:space="preserve"> </w:t>
      </w:r>
      <w:r>
        <w:t>Indeed,</w:t>
      </w:r>
      <w:r w:rsidR="009B796B">
        <w:t xml:space="preserve"> </w:t>
      </w:r>
      <w:r w:rsidR="00001273">
        <w:fldChar w:fldCharType="begin" w:fldLock="1"/>
      </w:r>
      <w:r w:rsidR="00EF4B3C">
        <w:instrText>ADDIN CSL_CITATION {"citationItems":[{"id":"ITEM-1","itemData":{"DOI":"10.1109/JSTARS.2019.2899998","ISSN":"1939-1404","author":[{"dropping-particle":"","family":"Brown","given":"Luke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Sensing","id":"ITEM-1","issue":"7","issued":{"date-parts":[["2019","7"]]},"page":"2244-2251","title":"Synergetic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mendeley":{"formattedCitation":"[43]","plainTextFormattedCitation":"[43]","previouslyFormattedCitation":"[19]"},"properties":{"noteIndex":0},"schema":"https://github.com/citation-style-language/schema/raw/master/csl-citation.json"}</w:instrText>
      </w:r>
      <w:r w:rsidR="00001273">
        <w:fldChar w:fldCharType="separate"/>
      </w:r>
      <w:r w:rsidR="00EF4B3C" w:rsidRPr="00EF4B3C">
        <w:rPr>
          <w:noProof/>
        </w:rPr>
        <w:t>[43]</w:t>
      </w:r>
      <w:r w:rsidR="00001273">
        <w:fldChar w:fldCharType="end"/>
      </w:r>
      <w:r w:rsidR="00001273">
        <w:t xml:space="preserve"> </w:t>
      </w:r>
      <w:r w:rsidRPr="008C0CB2">
        <w:t xml:space="preserve">implemented weighted mean </w:t>
      </w:r>
      <w:proofErr w:type="spellStart"/>
      <w:r w:rsidRPr="008C0CB2">
        <w:t>downsampling</w:t>
      </w:r>
      <w:proofErr w:type="spellEnd"/>
      <w:r w:rsidRPr="008C0CB2">
        <w:t xml:space="preserve"> aggregation, making use of a </w:t>
      </w:r>
      <w:r w:rsidR="009B796B">
        <w:t>simple Gaussian</w:t>
      </w:r>
      <w:r w:rsidRPr="008C0CB2">
        <w:t xml:space="preserve"> PSF</w:t>
      </w:r>
      <w:r w:rsidR="009B796B">
        <w:t xml:space="preserve"> model</w:t>
      </w:r>
      <w:r w:rsidRPr="008C0CB2">
        <w:t xml:space="preserve">, and found the method </w:t>
      </w:r>
      <w:r w:rsidR="009B796B">
        <w:t>to perform poorly when compared to</w:t>
      </w:r>
      <w:r w:rsidRPr="008C0CB2">
        <w:t xml:space="preserve"> </w:t>
      </w:r>
      <w:r w:rsidR="0038637C">
        <w:t xml:space="preserve">the standard </w:t>
      </w:r>
      <w:r w:rsidRPr="008C0CB2">
        <w:t xml:space="preserve">mean value </w:t>
      </w:r>
      <w:proofErr w:type="spellStart"/>
      <w:r w:rsidRPr="008C0CB2">
        <w:t>downsampling</w:t>
      </w:r>
      <w:proofErr w:type="spellEnd"/>
      <w:r w:rsidR="0038637C">
        <w:t xml:space="preserve"> aggregation method</w:t>
      </w:r>
      <w:r w:rsidRPr="008C0CB2">
        <w:t>.</w:t>
      </w:r>
      <w:r w:rsidR="00500B18">
        <w:t xml:space="preserve"> </w:t>
      </w:r>
      <w:r w:rsidR="009B796B">
        <w:t>Because of these difficulties, few</w:t>
      </w:r>
      <w:r>
        <w:t xml:space="preserve"> studies have explicitly considered the PSF</w:t>
      </w:r>
      <w:r w:rsidR="009B796B">
        <w:t>.</w:t>
      </w:r>
      <w:r w:rsidR="00500B18">
        <w:t xml:space="preserve"> </w:t>
      </w:r>
      <w:r w:rsidR="009B796B">
        <w:t>Instead, validation studies have typically performed comparison over</w:t>
      </w:r>
      <w:r>
        <w:t xml:space="preserve"> multiple product pixels (i.e. 3 x 3)</w:t>
      </w:r>
      <w:r w:rsidR="009B796B">
        <w:t xml:space="preserve">, </w:t>
      </w:r>
      <w:r>
        <w:t xml:space="preserve">in the hope of minimising </w:t>
      </w:r>
      <w:r w:rsidR="009B796B">
        <w:t>PSF effects.</w:t>
      </w:r>
    </w:p>
    <w:p w14:paraId="51D6EB09" w14:textId="77777777" w:rsidR="00424968" w:rsidRDefault="00424968" w:rsidP="00424968">
      <w:pPr>
        <w:spacing w:after="0" w:line="360" w:lineRule="auto"/>
        <w:jc w:val="both"/>
      </w:pPr>
    </w:p>
    <w:p w14:paraId="1B2ACDC7" w14:textId="732A1203" w:rsidR="00424968" w:rsidRPr="005B5E09" w:rsidRDefault="00424968" w:rsidP="00476577">
      <w:pPr>
        <w:pStyle w:val="Heading3"/>
      </w:pPr>
      <w:bookmarkStart w:id="43" w:name="_Toc43388064"/>
      <w:r>
        <w:t>Validation Metrics</w:t>
      </w:r>
      <w:bookmarkEnd w:id="43"/>
    </w:p>
    <w:p w14:paraId="1BDCA49E" w14:textId="6DA2F643" w:rsidR="001921F1" w:rsidRDefault="001921F1" w:rsidP="00424968">
      <w:pPr>
        <w:spacing w:after="0" w:line="360" w:lineRule="auto"/>
        <w:jc w:val="both"/>
      </w:pPr>
    </w:p>
    <w:p w14:paraId="4AD5A21B" w14:textId="271ADEDE" w:rsidR="00424968" w:rsidRDefault="00424968" w:rsidP="00424968">
      <w:pPr>
        <w:spacing w:line="360" w:lineRule="auto"/>
        <w:jc w:val="both"/>
      </w:pPr>
      <w:r>
        <w:t>A range of metrics are commonly used to quantify the accuracy and uncertainty of satellite-derived vegetation products, however, there is a general a lack of agreement on which metrics should be reported.</w:t>
      </w:r>
      <w:r w:rsidR="00500B18">
        <w:t xml:space="preserve"> </w:t>
      </w:r>
      <w:r>
        <w:t xml:space="preserve">According to </w:t>
      </w:r>
      <w:r w:rsidR="00001273">
        <w:fldChar w:fldCharType="begin" w:fldLock="1"/>
      </w:r>
      <w:r w:rsidR="00EF4B3C">
        <w:instrText>ADDIN CSL_CITATION {"citationItems":[{"id":"ITEM-1","itemData":{"DOI":"10.1117/1.JRS.6.063557","ISSN":"1931-3195","abstract":"Abstract. Evaluation is an essential step of model development. However, there is a missing definition of appropriate validation strategies, needed to guarantee reproducibility and generalizability of modeling results. Also, there is a lack of a generally agreed set of ‘optimal’ statistical measure(s) to assess model accuracy. The objective of the present study is to provide for remote sensing practitioners (i.e., non-statisticians) guidance for model validation strategies and to propose an optimal set of statistical measures for the quantitative assessment of model performance in the context of vegetation biophysical variable retrieval from Earth observation (EO) data. For these purposes, main terms and concepts were reviewed. Then, validation strategies were tested on a polynomial regression model and discussed. Moreover, a literature review was carried out, summarizing the statistical measures used to evaluate model performances. Supported by some exemplary datasets, these measures were calculated and their meanings discussed in view of several model validation criteria. From the results, we recommend to further exploit cross-validation and bootstrapping strategies to guarantee the development/validation of reliable models. An ‘optimal’ statistic set is suggested, including root mean square error (RMSE), coefficient of determination (R2), slope and intercept of Theil-Sen regression, relative RMSE, and Nash–Sutcliffe efficiency index. A wide acceptance and use of these statistics should enable a better intercomparison of scientific results, urgently needed in times of increasing model development activities that are carried out with respect to upcoming EO missions.","author":[{"dropping-particle":"","family":"Richter","given":"Katja","non-dropping-particle":"","parse-names":false,"suffix":""},{"dropping-particle":"","family":"Atzberger","given":"Clement","non-dropping-particle":"","parse-names":false,"suffix":""},{"dropping-particle":"","family":"Hank","given":"Tobias B.","non-dropping-particle":"","parse-names":false,"suffix":""},{"dropping-particle":"","family":"Mauser","given":"Wolfram","non-dropping-particle":"","parse-names":false,"suffix":""}],"container-title":"Journal of Applied Remote Sensing","id":"ITEM-1","issue":"1","issued":{"date-parts":[["2012","9","4"]]},"page":"063557-1","title":"Derivation of biophysical variables from Earth observation data: validation and statistical measures","type":"article-journal","volume":"6"},"uris":["http://www.mendeley.com/documents/?uuid=6f654c31-a078-4224-9941-c806bb37dd22"]}],"mendeley":{"formattedCitation":"[51]","plainTextFormattedCitation":"[51]","previouslyFormattedCitation":"[31]"},"properties":{"noteIndex":0},"schema":"https://github.com/citation-style-language/schema/raw/master/csl-citation.json"}</w:instrText>
      </w:r>
      <w:r w:rsidR="00001273">
        <w:fldChar w:fldCharType="separate"/>
      </w:r>
      <w:r w:rsidR="00EF4B3C" w:rsidRPr="00EF4B3C">
        <w:rPr>
          <w:noProof/>
        </w:rPr>
        <w:t>[51]</w:t>
      </w:r>
      <w:r w:rsidR="00001273">
        <w:fldChar w:fldCharType="end"/>
      </w:r>
      <w:r>
        <w:t>, validation metrics can be grouped into four categories: error indices, correlation based measures, dimensionless indices, and pattern indices (</w:t>
      </w:r>
      <w:r>
        <w:fldChar w:fldCharType="begin"/>
      </w:r>
      <w:r>
        <w:instrText xml:space="preserve"> REF _Ref2017409 \h  \* MERGEFORMAT </w:instrText>
      </w:r>
      <w:r>
        <w:fldChar w:fldCharType="separate"/>
      </w:r>
      <w:r w:rsidR="00D533BE">
        <w:t xml:space="preserve">Table </w:t>
      </w:r>
      <w:r w:rsidR="00D533BE">
        <w:rPr>
          <w:noProof/>
        </w:rPr>
        <w:t>4</w:t>
      </w:r>
      <w:r>
        <w:fldChar w:fldCharType="end"/>
      </w:r>
      <w:r>
        <w:t>).</w:t>
      </w:r>
      <w:r w:rsidR="00500B18">
        <w:t xml:space="preserve"> </w:t>
      </w:r>
      <w:r>
        <w:t>It is suggested that as overall measures of accuracy, the root mean square error (RMSE) and coefficient of determination (</w:t>
      </w:r>
      <w:r w:rsidRPr="003B3EA3">
        <w:rPr>
          <w:i/>
        </w:rPr>
        <w:t>r</w:t>
      </w:r>
      <w:r>
        <w:rPr>
          <w:vertAlign w:val="superscript"/>
        </w:rPr>
        <w:t>2</w:t>
      </w:r>
      <w:r>
        <w:t>) are useful as they are widely used and ease comparison with previous analyses, whilst the slope and intercept are useful as indicators of bias.</w:t>
      </w:r>
      <w:r w:rsidR="00500B18">
        <w:t xml:space="preserve"> </w:t>
      </w:r>
      <w:r>
        <w:t>To enable comparisons between variables with different units, the relative RMSE (RRMSE) is also recommended.</w:t>
      </w:r>
      <w:r w:rsidR="00500B18">
        <w:t xml:space="preserve"> </w:t>
      </w:r>
      <w:r>
        <w:t>In addition to these metrics, a range of plots should be produced to facilitate visual assessment of agreement (e.g. scatter plots, box plots of residuals), incorporating error bars where appropriate.</w:t>
      </w:r>
    </w:p>
    <w:p w14:paraId="26BFD3F0" w14:textId="653418E1" w:rsidR="00424968" w:rsidRDefault="00424968" w:rsidP="00424968">
      <w:pPr>
        <w:spacing w:line="360" w:lineRule="auto"/>
        <w:jc w:val="both"/>
      </w:pPr>
    </w:p>
    <w:p w14:paraId="1AAB5A97" w14:textId="77777777" w:rsidR="00E025D0" w:rsidRDefault="00E025D0" w:rsidP="00424968">
      <w:pPr>
        <w:spacing w:line="360" w:lineRule="auto"/>
        <w:jc w:val="both"/>
      </w:pPr>
    </w:p>
    <w:p w14:paraId="00B8B77C" w14:textId="203B7F61" w:rsidR="00424968" w:rsidRDefault="00424968" w:rsidP="00424968">
      <w:pPr>
        <w:pStyle w:val="Caption"/>
        <w:keepNext/>
        <w:jc w:val="center"/>
      </w:pPr>
      <w:bookmarkStart w:id="44" w:name="_Ref2017409"/>
      <w:bookmarkStart w:id="45" w:name="_Toc35442730"/>
      <w:bookmarkStart w:id="46" w:name="_Toc43388028"/>
      <w:r>
        <w:lastRenderedPageBreak/>
        <w:t xml:space="preserve">Table </w:t>
      </w:r>
      <w:r>
        <w:rPr>
          <w:noProof/>
        </w:rPr>
        <w:fldChar w:fldCharType="begin"/>
      </w:r>
      <w:r>
        <w:rPr>
          <w:noProof/>
        </w:rPr>
        <w:instrText xml:space="preserve"> SEQ Table \* ARABIC </w:instrText>
      </w:r>
      <w:r>
        <w:rPr>
          <w:noProof/>
        </w:rPr>
        <w:fldChar w:fldCharType="separate"/>
      </w:r>
      <w:r w:rsidR="00D533BE">
        <w:rPr>
          <w:noProof/>
        </w:rPr>
        <w:t>4</w:t>
      </w:r>
      <w:r>
        <w:rPr>
          <w:noProof/>
        </w:rPr>
        <w:fldChar w:fldCharType="end"/>
      </w:r>
      <w:bookmarkEnd w:id="44"/>
      <w:r>
        <w:t>: Categories of validation metrics, after</w:t>
      </w:r>
      <w:r w:rsidR="00001273">
        <w:t xml:space="preserve"> </w:t>
      </w:r>
      <w:r w:rsidR="00001273">
        <w:fldChar w:fldCharType="begin" w:fldLock="1"/>
      </w:r>
      <w:r w:rsidR="00EF4B3C">
        <w:instrText>ADDIN CSL_CITATION {"citationItems":[{"id":"ITEM-1","itemData":{"DOI":"10.1117/1.JRS.6.063557","ISSN":"1931-3195","abstract":"Abstract. Evaluation is an essential step of model development. However, there is a missing definition of appropriate validation strategies, needed to guarantee reproducibility and generalizability of modeling results. Also, there is a lack of a generally agreed set of ‘optimal’ statistical measure(s) to assess model accuracy. The objective of the present study is to provide for remote sensing practitioners (i.e., non-statisticians) guidance for model validation strategies and to propose an optimal set of statistical measures for the quantitative assessment of model performance in the context of vegetation biophysical variable retrieval from Earth observation (EO) data. For these purposes, main terms and concepts were reviewed. Then, validation strategies were tested on a polynomial regression model and discussed. Moreover, a literature review was carried out, summarizing the statistical measures used to evaluate model performances. Supported by some exemplary datasets, these measures were calculated and their meanings discussed in view of several model validation criteria. From the results, we recommend to further exploit cross-validation and bootstrapping strategies to guarantee the development/validation of reliable models. An ‘optimal’ statistic set is suggested, including root mean square error (RMSE), coefficient of determination (R2), slope and intercept of Theil-Sen regression, relative RMSE, and Nash–Sutcliffe efficiency index. A wide acceptance and use of these statistics should enable a better intercomparison of scientific results, urgently needed in times of increasing model development activities that are carried out with respect to upcoming EO missions.","author":[{"dropping-particle":"","family":"Richter","given":"Katja","non-dropping-particle":"","parse-names":false,"suffix":""},{"dropping-particle":"","family":"Atzberger","given":"Clement","non-dropping-particle":"","parse-names":false,"suffix":""},{"dropping-particle":"","family":"Hank","given":"Tobias B.","non-dropping-particle":"","parse-names":false,"suffix":""},{"dropping-particle":"","family":"Mauser","given":"Wolfram","non-dropping-particle":"","parse-names":false,"suffix":""}],"container-title":"Journal of Applied Remote Sensing","id":"ITEM-1","issue":"1","issued":{"date-parts":[["2012","9","4"]]},"page":"063557-1","title":"Derivation of biophysical variables from Earth observation data: validation and statistical measures","type":"article-journal","volume":"6"},"uris":["http://www.mendeley.com/documents/?uuid=6f654c31-a078-4224-9941-c806bb37dd22"]}],"mendeley":{"formattedCitation":"[51]","plainTextFormattedCitation":"[51]","previouslyFormattedCitation":"[31]"},"properties":{"noteIndex":0},"schema":"https://github.com/citation-style-language/schema/raw/master/csl-citation.json"}</w:instrText>
      </w:r>
      <w:r w:rsidR="00001273">
        <w:fldChar w:fldCharType="separate"/>
      </w:r>
      <w:r w:rsidR="00EF4B3C" w:rsidRPr="00EF4B3C">
        <w:rPr>
          <w:i w:val="0"/>
          <w:noProof/>
        </w:rPr>
        <w:t>[51]</w:t>
      </w:r>
      <w:r w:rsidR="00001273">
        <w:fldChar w:fldCharType="end"/>
      </w:r>
      <w:r>
        <w:t>.</w:t>
      </w:r>
      <w:bookmarkEnd w:id="45"/>
      <w:bookmarkEnd w:id="46"/>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850"/>
        <w:gridCol w:w="1300"/>
        <w:gridCol w:w="2185"/>
      </w:tblGrid>
      <w:tr w:rsidR="00424968" w:rsidRPr="008C0580" w14:paraId="32821628" w14:textId="77777777" w:rsidTr="00476577">
        <w:trPr>
          <w:jc w:val="center"/>
        </w:trPr>
        <w:tc>
          <w:tcPr>
            <w:tcW w:w="0" w:type="auto"/>
            <w:tcBorders>
              <w:top w:val="single" w:sz="4" w:space="0" w:color="auto"/>
              <w:bottom w:val="single" w:sz="4" w:space="0" w:color="auto"/>
            </w:tcBorders>
          </w:tcPr>
          <w:p w14:paraId="4963C313" w14:textId="77777777" w:rsidR="00424968" w:rsidRPr="00500B18" w:rsidRDefault="00424968" w:rsidP="00476577">
            <w:pPr>
              <w:rPr>
                <w:b/>
                <w:bCs/>
                <w:sz w:val="20"/>
                <w:szCs w:val="20"/>
              </w:rPr>
            </w:pPr>
            <w:r w:rsidRPr="00500B18">
              <w:rPr>
                <w:b/>
                <w:bCs/>
                <w:sz w:val="20"/>
                <w:szCs w:val="20"/>
              </w:rPr>
              <w:t>Category</w:t>
            </w:r>
          </w:p>
        </w:tc>
        <w:tc>
          <w:tcPr>
            <w:tcW w:w="0" w:type="auto"/>
            <w:tcBorders>
              <w:top w:val="single" w:sz="4" w:space="0" w:color="auto"/>
              <w:bottom w:val="single" w:sz="4" w:space="0" w:color="auto"/>
            </w:tcBorders>
          </w:tcPr>
          <w:p w14:paraId="133F7E22" w14:textId="77777777" w:rsidR="00424968" w:rsidRPr="00500B18" w:rsidRDefault="00424968" w:rsidP="00476577">
            <w:pPr>
              <w:jc w:val="center"/>
              <w:rPr>
                <w:b/>
                <w:bCs/>
                <w:sz w:val="20"/>
                <w:szCs w:val="20"/>
              </w:rPr>
            </w:pPr>
            <w:r w:rsidRPr="00500B18">
              <w:rPr>
                <w:b/>
                <w:bCs/>
                <w:sz w:val="20"/>
                <w:szCs w:val="20"/>
              </w:rPr>
              <w:t>Statistical metric</w:t>
            </w:r>
          </w:p>
        </w:tc>
        <w:tc>
          <w:tcPr>
            <w:tcW w:w="0" w:type="auto"/>
            <w:tcBorders>
              <w:top w:val="single" w:sz="4" w:space="0" w:color="auto"/>
              <w:bottom w:val="single" w:sz="4" w:space="0" w:color="auto"/>
            </w:tcBorders>
          </w:tcPr>
          <w:p w14:paraId="05D68F35" w14:textId="77777777" w:rsidR="00424968" w:rsidRPr="00500B18" w:rsidRDefault="00424968" w:rsidP="00476577">
            <w:pPr>
              <w:jc w:val="center"/>
              <w:rPr>
                <w:b/>
                <w:bCs/>
                <w:sz w:val="20"/>
                <w:szCs w:val="20"/>
              </w:rPr>
            </w:pPr>
            <w:r w:rsidRPr="00500B18">
              <w:rPr>
                <w:b/>
                <w:bCs/>
                <w:sz w:val="20"/>
                <w:szCs w:val="20"/>
              </w:rPr>
              <w:t>Abbreviation</w:t>
            </w:r>
          </w:p>
        </w:tc>
        <w:tc>
          <w:tcPr>
            <w:tcW w:w="0" w:type="auto"/>
            <w:tcBorders>
              <w:top w:val="single" w:sz="4" w:space="0" w:color="auto"/>
              <w:bottom w:val="single" w:sz="4" w:space="0" w:color="auto"/>
            </w:tcBorders>
          </w:tcPr>
          <w:p w14:paraId="1340A838" w14:textId="77777777" w:rsidR="00424968" w:rsidRPr="00500B18" w:rsidRDefault="00424968" w:rsidP="00476577">
            <w:pPr>
              <w:jc w:val="center"/>
              <w:rPr>
                <w:b/>
                <w:bCs/>
                <w:sz w:val="20"/>
                <w:szCs w:val="20"/>
              </w:rPr>
            </w:pPr>
            <w:r w:rsidRPr="00500B18">
              <w:rPr>
                <w:b/>
                <w:bCs/>
                <w:sz w:val="20"/>
                <w:szCs w:val="20"/>
              </w:rPr>
              <w:t>Range</w:t>
            </w:r>
          </w:p>
        </w:tc>
      </w:tr>
      <w:tr w:rsidR="00424968" w:rsidRPr="008C0580" w14:paraId="2665EB7D" w14:textId="77777777" w:rsidTr="00476577">
        <w:trPr>
          <w:jc w:val="center"/>
        </w:trPr>
        <w:tc>
          <w:tcPr>
            <w:tcW w:w="0" w:type="auto"/>
            <w:tcBorders>
              <w:top w:val="single" w:sz="4" w:space="0" w:color="auto"/>
            </w:tcBorders>
          </w:tcPr>
          <w:p w14:paraId="4398BDA5" w14:textId="77777777" w:rsidR="00424968" w:rsidRPr="00500B18" w:rsidRDefault="00424968" w:rsidP="00476577">
            <w:pPr>
              <w:rPr>
                <w:sz w:val="20"/>
                <w:szCs w:val="20"/>
              </w:rPr>
            </w:pPr>
            <w:r w:rsidRPr="00500B18">
              <w:rPr>
                <w:sz w:val="20"/>
                <w:szCs w:val="20"/>
              </w:rPr>
              <w:t>Error indices</w:t>
            </w:r>
          </w:p>
        </w:tc>
        <w:tc>
          <w:tcPr>
            <w:tcW w:w="0" w:type="auto"/>
            <w:tcBorders>
              <w:top w:val="single" w:sz="4" w:space="0" w:color="auto"/>
            </w:tcBorders>
          </w:tcPr>
          <w:p w14:paraId="55B036DC" w14:textId="77777777" w:rsidR="00424968" w:rsidRPr="00500B18" w:rsidRDefault="00424968" w:rsidP="00476577">
            <w:pPr>
              <w:jc w:val="center"/>
              <w:rPr>
                <w:sz w:val="20"/>
                <w:szCs w:val="20"/>
              </w:rPr>
            </w:pPr>
            <w:r w:rsidRPr="00500B18">
              <w:rPr>
                <w:sz w:val="20"/>
                <w:szCs w:val="20"/>
              </w:rPr>
              <w:t>Root mean square error</w:t>
            </w:r>
          </w:p>
        </w:tc>
        <w:tc>
          <w:tcPr>
            <w:tcW w:w="0" w:type="auto"/>
            <w:tcBorders>
              <w:top w:val="single" w:sz="4" w:space="0" w:color="auto"/>
            </w:tcBorders>
          </w:tcPr>
          <w:p w14:paraId="6435808B" w14:textId="77777777" w:rsidR="00424968" w:rsidRPr="00500B18" w:rsidRDefault="00424968" w:rsidP="00476577">
            <w:pPr>
              <w:jc w:val="center"/>
              <w:rPr>
                <w:sz w:val="20"/>
                <w:szCs w:val="20"/>
              </w:rPr>
            </w:pPr>
            <w:r w:rsidRPr="00500B18">
              <w:rPr>
                <w:sz w:val="20"/>
                <w:szCs w:val="20"/>
              </w:rPr>
              <w:t>RMSE</w:t>
            </w:r>
          </w:p>
        </w:tc>
        <w:tc>
          <w:tcPr>
            <w:tcW w:w="0" w:type="auto"/>
            <w:tcBorders>
              <w:top w:val="single" w:sz="4" w:space="0" w:color="auto"/>
            </w:tcBorders>
          </w:tcPr>
          <w:p w14:paraId="7391408A" w14:textId="77777777" w:rsidR="00424968" w:rsidRPr="00500B18" w:rsidRDefault="00424968" w:rsidP="00476577">
            <w:pPr>
              <w:jc w:val="center"/>
              <w:rPr>
                <w:sz w:val="20"/>
                <w:szCs w:val="20"/>
              </w:rPr>
            </w:pPr>
            <w:r w:rsidRPr="00500B18">
              <w:rPr>
                <w:sz w:val="20"/>
                <w:szCs w:val="20"/>
              </w:rPr>
              <w:t>Variable units</w:t>
            </w:r>
          </w:p>
        </w:tc>
      </w:tr>
      <w:tr w:rsidR="00424968" w:rsidRPr="008C0580" w14:paraId="60A7AB8B" w14:textId="77777777" w:rsidTr="00476577">
        <w:trPr>
          <w:jc w:val="center"/>
        </w:trPr>
        <w:tc>
          <w:tcPr>
            <w:tcW w:w="0" w:type="auto"/>
          </w:tcPr>
          <w:p w14:paraId="2F07EFE8" w14:textId="77777777" w:rsidR="00424968" w:rsidRPr="00500B18" w:rsidRDefault="00424968" w:rsidP="00476577">
            <w:pPr>
              <w:rPr>
                <w:sz w:val="20"/>
                <w:szCs w:val="20"/>
              </w:rPr>
            </w:pPr>
          </w:p>
        </w:tc>
        <w:tc>
          <w:tcPr>
            <w:tcW w:w="0" w:type="auto"/>
          </w:tcPr>
          <w:p w14:paraId="5E8B546C" w14:textId="77777777" w:rsidR="00424968" w:rsidRPr="00500B18" w:rsidRDefault="00424968" w:rsidP="00476577">
            <w:pPr>
              <w:jc w:val="center"/>
              <w:rPr>
                <w:sz w:val="20"/>
                <w:szCs w:val="20"/>
              </w:rPr>
            </w:pPr>
            <w:r w:rsidRPr="00500B18">
              <w:rPr>
                <w:sz w:val="20"/>
                <w:szCs w:val="20"/>
              </w:rPr>
              <w:t>Mean absolute error</w:t>
            </w:r>
          </w:p>
        </w:tc>
        <w:tc>
          <w:tcPr>
            <w:tcW w:w="0" w:type="auto"/>
          </w:tcPr>
          <w:p w14:paraId="22329578" w14:textId="77777777" w:rsidR="00424968" w:rsidRPr="00500B18" w:rsidRDefault="00424968" w:rsidP="00476577">
            <w:pPr>
              <w:jc w:val="center"/>
              <w:rPr>
                <w:sz w:val="20"/>
                <w:szCs w:val="20"/>
              </w:rPr>
            </w:pPr>
            <w:r w:rsidRPr="00500B18">
              <w:rPr>
                <w:sz w:val="20"/>
                <w:szCs w:val="20"/>
              </w:rPr>
              <w:t>MAE</w:t>
            </w:r>
          </w:p>
        </w:tc>
        <w:tc>
          <w:tcPr>
            <w:tcW w:w="0" w:type="auto"/>
          </w:tcPr>
          <w:p w14:paraId="099CD518" w14:textId="77777777" w:rsidR="00424968" w:rsidRPr="00500B18" w:rsidRDefault="00424968" w:rsidP="00476577">
            <w:pPr>
              <w:jc w:val="center"/>
              <w:rPr>
                <w:sz w:val="20"/>
                <w:szCs w:val="20"/>
              </w:rPr>
            </w:pPr>
            <w:r w:rsidRPr="00500B18">
              <w:rPr>
                <w:sz w:val="20"/>
                <w:szCs w:val="20"/>
              </w:rPr>
              <w:t>Variable units</w:t>
            </w:r>
          </w:p>
        </w:tc>
      </w:tr>
      <w:tr w:rsidR="00424968" w:rsidRPr="008C0580" w14:paraId="2CFA445A" w14:textId="77777777" w:rsidTr="00476577">
        <w:trPr>
          <w:jc w:val="center"/>
        </w:trPr>
        <w:tc>
          <w:tcPr>
            <w:tcW w:w="0" w:type="auto"/>
          </w:tcPr>
          <w:p w14:paraId="1B6CEBAF" w14:textId="77777777" w:rsidR="00424968" w:rsidRPr="00500B18" w:rsidRDefault="00424968" w:rsidP="00476577">
            <w:pPr>
              <w:rPr>
                <w:sz w:val="20"/>
                <w:szCs w:val="20"/>
              </w:rPr>
            </w:pPr>
          </w:p>
        </w:tc>
        <w:tc>
          <w:tcPr>
            <w:tcW w:w="0" w:type="auto"/>
          </w:tcPr>
          <w:p w14:paraId="3C9A598A" w14:textId="77777777" w:rsidR="00424968" w:rsidRPr="00500B18" w:rsidRDefault="00424968" w:rsidP="00476577">
            <w:pPr>
              <w:jc w:val="center"/>
              <w:rPr>
                <w:sz w:val="20"/>
                <w:szCs w:val="20"/>
              </w:rPr>
            </w:pPr>
            <w:r w:rsidRPr="00500B18">
              <w:rPr>
                <w:sz w:val="20"/>
                <w:szCs w:val="20"/>
              </w:rPr>
              <w:t>Mean bias error (bias)</w:t>
            </w:r>
          </w:p>
        </w:tc>
        <w:tc>
          <w:tcPr>
            <w:tcW w:w="0" w:type="auto"/>
          </w:tcPr>
          <w:p w14:paraId="0869C91F" w14:textId="77777777" w:rsidR="00424968" w:rsidRPr="00500B18" w:rsidRDefault="00424968" w:rsidP="00476577">
            <w:pPr>
              <w:jc w:val="center"/>
              <w:rPr>
                <w:sz w:val="20"/>
                <w:szCs w:val="20"/>
              </w:rPr>
            </w:pPr>
            <w:r w:rsidRPr="00500B18">
              <w:rPr>
                <w:sz w:val="20"/>
                <w:szCs w:val="20"/>
              </w:rPr>
              <w:t>B (MBE)</w:t>
            </w:r>
          </w:p>
        </w:tc>
        <w:tc>
          <w:tcPr>
            <w:tcW w:w="0" w:type="auto"/>
          </w:tcPr>
          <w:p w14:paraId="5D555066" w14:textId="77777777" w:rsidR="00424968" w:rsidRPr="00500B18" w:rsidRDefault="00424968" w:rsidP="00476577">
            <w:pPr>
              <w:jc w:val="center"/>
              <w:rPr>
                <w:sz w:val="20"/>
                <w:szCs w:val="20"/>
              </w:rPr>
            </w:pPr>
            <w:r w:rsidRPr="00500B18">
              <w:rPr>
                <w:sz w:val="20"/>
                <w:szCs w:val="20"/>
              </w:rPr>
              <w:t>Variable units</w:t>
            </w:r>
          </w:p>
        </w:tc>
      </w:tr>
      <w:tr w:rsidR="00424968" w:rsidRPr="008C0580" w14:paraId="60162435" w14:textId="77777777" w:rsidTr="00476577">
        <w:trPr>
          <w:jc w:val="center"/>
        </w:trPr>
        <w:tc>
          <w:tcPr>
            <w:tcW w:w="0" w:type="auto"/>
          </w:tcPr>
          <w:p w14:paraId="181D0EBC" w14:textId="77777777" w:rsidR="00424968" w:rsidRPr="00500B18" w:rsidRDefault="00424968" w:rsidP="00476577">
            <w:pPr>
              <w:rPr>
                <w:sz w:val="20"/>
                <w:szCs w:val="20"/>
              </w:rPr>
            </w:pPr>
          </w:p>
        </w:tc>
        <w:tc>
          <w:tcPr>
            <w:tcW w:w="0" w:type="auto"/>
          </w:tcPr>
          <w:p w14:paraId="2DCAF433" w14:textId="77777777" w:rsidR="00424968" w:rsidRPr="00500B18" w:rsidRDefault="00424968" w:rsidP="00476577">
            <w:pPr>
              <w:jc w:val="center"/>
              <w:rPr>
                <w:sz w:val="20"/>
                <w:szCs w:val="20"/>
              </w:rPr>
            </w:pPr>
            <w:r w:rsidRPr="00500B18">
              <w:rPr>
                <w:sz w:val="20"/>
                <w:szCs w:val="20"/>
              </w:rPr>
              <w:t>Simulation bias</w:t>
            </w:r>
          </w:p>
        </w:tc>
        <w:tc>
          <w:tcPr>
            <w:tcW w:w="0" w:type="auto"/>
          </w:tcPr>
          <w:p w14:paraId="5E072151" w14:textId="77777777" w:rsidR="00424968" w:rsidRPr="00500B18" w:rsidRDefault="00424968" w:rsidP="00476577">
            <w:pPr>
              <w:jc w:val="center"/>
              <w:rPr>
                <w:sz w:val="20"/>
                <w:szCs w:val="20"/>
              </w:rPr>
            </w:pPr>
            <w:r w:rsidRPr="00500B18">
              <w:rPr>
                <w:sz w:val="20"/>
                <w:szCs w:val="20"/>
              </w:rPr>
              <w:t>SB</w:t>
            </w:r>
          </w:p>
        </w:tc>
        <w:tc>
          <w:tcPr>
            <w:tcW w:w="0" w:type="auto"/>
          </w:tcPr>
          <w:p w14:paraId="529603A1" w14:textId="77777777" w:rsidR="00424968" w:rsidRPr="00500B18" w:rsidRDefault="00424968" w:rsidP="00476577">
            <w:pPr>
              <w:jc w:val="center"/>
              <w:rPr>
                <w:sz w:val="20"/>
                <w:szCs w:val="20"/>
              </w:rPr>
            </w:pPr>
            <w:r w:rsidRPr="00500B18">
              <w:rPr>
                <w:sz w:val="20"/>
                <w:szCs w:val="20"/>
              </w:rPr>
              <w:t>Variable units</w:t>
            </w:r>
          </w:p>
        </w:tc>
      </w:tr>
      <w:tr w:rsidR="00424968" w:rsidRPr="008C0580" w14:paraId="1523003F" w14:textId="77777777" w:rsidTr="00476577">
        <w:trPr>
          <w:jc w:val="center"/>
        </w:trPr>
        <w:tc>
          <w:tcPr>
            <w:tcW w:w="0" w:type="auto"/>
          </w:tcPr>
          <w:p w14:paraId="4C77F499" w14:textId="77777777" w:rsidR="00424968" w:rsidRPr="00500B18" w:rsidRDefault="00424968" w:rsidP="00476577">
            <w:pPr>
              <w:rPr>
                <w:sz w:val="20"/>
                <w:szCs w:val="20"/>
              </w:rPr>
            </w:pPr>
          </w:p>
        </w:tc>
        <w:tc>
          <w:tcPr>
            <w:tcW w:w="0" w:type="auto"/>
          </w:tcPr>
          <w:p w14:paraId="30EF6846" w14:textId="77777777" w:rsidR="00424968" w:rsidRPr="00500B18" w:rsidRDefault="00424968" w:rsidP="00476577">
            <w:pPr>
              <w:jc w:val="center"/>
              <w:rPr>
                <w:sz w:val="20"/>
                <w:szCs w:val="20"/>
              </w:rPr>
            </w:pPr>
            <w:r w:rsidRPr="00500B18">
              <w:rPr>
                <w:sz w:val="20"/>
                <w:szCs w:val="20"/>
              </w:rPr>
              <w:t>Standard error of prediction</w:t>
            </w:r>
          </w:p>
          <w:p w14:paraId="6B802556" w14:textId="77777777" w:rsidR="00424968" w:rsidRPr="00500B18" w:rsidRDefault="00424968" w:rsidP="00476577">
            <w:pPr>
              <w:jc w:val="center"/>
              <w:rPr>
                <w:sz w:val="20"/>
                <w:szCs w:val="20"/>
              </w:rPr>
            </w:pPr>
            <w:r w:rsidRPr="00500B18">
              <w:rPr>
                <w:sz w:val="20"/>
                <w:szCs w:val="20"/>
              </w:rPr>
              <w:t>corrected for bias</w:t>
            </w:r>
          </w:p>
        </w:tc>
        <w:tc>
          <w:tcPr>
            <w:tcW w:w="0" w:type="auto"/>
          </w:tcPr>
          <w:p w14:paraId="2E254144" w14:textId="77777777" w:rsidR="00424968" w:rsidRPr="00500B18" w:rsidRDefault="00424968" w:rsidP="00476577">
            <w:pPr>
              <w:jc w:val="center"/>
              <w:rPr>
                <w:sz w:val="20"/>
                <w:szCs w:val="20"/>
              </w:rPr>
            </w:pPr>
            <w:r w:rsidRPr="00500B18">
              <w:rPr>
                <w:sz w:val="20"/>
                <w:szCs w:val="20"/>
              </w:rPr>
              <w:t>SEPC</w:t>
            </w:r>
          </w:p>
        </w:tc>
        <w:tc>
          <w:tcPr>
            <w:tcW w:w="0" w:type="auto"/>
          </w:tcPr>
          <w:p w14:paraId="66458C44" w14:textId="77777777" w:rsidR="00424968" w:rsidRPr="00500B18" w:rsidRDefault="00424968" w:rsidP="00476577">
            <w:pPr>
              <w:jc w:val="center"/>
              <w:rPr>
                <w:sz w:val="20"/>
                <w:szCs w:val="20"/>
              </w:rPr>
            </w:pPr>
            <w:r w:rsidRPr="00500B18">
              <w:rPr>
                <w:sz w:val="20"/>
                <w:szCs w:val="20"/>
              </w:rPr>
              <w:t>Variable units</w:t>
            </w:r>
          </w:p>
        </w:tc>
      </w:tr>
      <w:tr w:rsidR="00424968" w:rsidRPr="008C0580" w14:paraId="0E771CC0" w14:textId="77777777" w:rsidTr="00476577">
        <w:trPr>
          <w:jc w:val="center"/>
        </w:trPr>
        <w:tc>
          <w:tcPr>
            <w:tcW w:w="0" w:type="auto"/>
            <w:tcBorders>
              <w:top w:val="single" w:sz="4" w:space="0" w:color="auto"/>
            </w:tcBorders>
          </w:tcPr>
          <w:p w14:paraId="7ACD27CE" w14:textId="77777777" w:rsidR="00424968" w:rsidRPr="00500B18" w:rsidRDefault="00424968" w:rsidP="00476577">
            <w:pPr>
              <w:rPr>
                <w:sz w:val="20"/>
                <w:szCs w:val="20"/>
              </w:rPr>
            </w:pPr>
            <w:r w:rsidRPr="00500B18">
              <w:rPr>
                <w:sz w:val="20"/>
                <w:szCs w:val="20"/>
              </w:rPr>
              <w:t>Correlation based indices</w:t>
            </w:r>
          </w:p>
        </w:tc>
        <w:tc>
          <w:tcPr>
            <w:tcW w:w="0" w:type="auto"/>
            <w:tcBorders>
              <w:top w:val="single" w:sz="4" w:space="0" w:color="auto"/>
            </w:tcBorders>
          </w:tcPr>
          <w:p w14:paraId="2B7D0F82" w14:textId="77777777" w:rsidR="00424968" w:rsidRPr="00500B18" w:rsidRDefault="00424968" w:rsidP="00476577">
            <w:pPr>
              <w:jc w:val="center"/>
              <w:rPr>
                <w:sz w:val="20"/>
                <w:szCs w:val="20"/>
              </w:rPr>
            </w:pPr>
            <w:r w:rsidRPr="00500B18">
              <w:rPr>
                <w:sz w:val="20"/>
                <w:szCs w:val="20"/>
              </w:rPr>
              <w:t>Coefficient of determination</w:t>
            </w:r>
          </w:p>
        </w:tc>
        <w:tc>
          <w:tcPr>
            <w:tcW w:w="0" w:type="auto"/>
            <w:tcBorders>
              <w:top w:val="single" w:sz="4" w:space="0" w:color="auto"/>
            </w:tcBorders>
          </w:tcPr>
          <w:p w14:paraId="77C8C9DC" w14:textId="77777777" w:rsidR="00424968" w:rsidRPr="00500B18" w:rsidRDefault="00424968" w:rsidP="00476577">
            <w:pPr>
              <w:jc w:val="center"/>
              <w:rPr>
                <w:sz w:val="20"/>
                <w:szCs w:val="20"/>
              </w:rPr>
            </w:pPr>
            <w:r w:rsidRPr="00500B18">
              <w:rPr>
                <w:i/>
                <w:sz w:val="20"/>
                <w:szCs w:val="20"/>
              </w:rPr>
              <w:t>r</w:t>
            </w:r>
            <w:r w:rsidRPr="00500B18">
              <w:rPr>
                <w:sz w:val="20"/>
                <w:szCs w:val="20"/>
                <w:vertAlign w:val="superscript"/>
              </w:rPr>
              <w:t>2</w:t>
            </w:r>
          </w:p>
        </w:tc>
        <w:tc>
          <w:tcPr>
            <w:tcW w:w="0" w:type="auto"/>
            <w:tcBorders>
              <w:top w:val="single" w:sz="4" w:space="0" w:color="auto"/>
            </w:tcBorders>
          </w:tcPr>
          <w:p w14:paraId="6CF502BE" w14:textId="77777777" w:rsidR="00424968" w:rsidRPr="00500B18" w:rsidRDefault="00424968" w:rsidP="00476577">
            <w:pPr>
              <w:jc w:val="center"/>
              <w:rPr>
                <w:sz w:val="20"/>
                <w:szCs w:val="20"/>
              </w:rPr>
            </w:pPr>
            <w:r w:rsidRPr="00500B18">
              <w:rPr>
                <w:sz w:val="20"/>
                <w:szCs w:val="20"/>
              </w:rPr>
              <w:t>0 to 1</w:t>
            </w:r>
          </w:p>
        </w:tc>
      </w:tr>
      <w:tr w:rsidR="00424968" w:rsidRPr="008C0580" w14:paraId="058B6924" w14:textId="77777777" w:rsidTr="00476577">
        <w:trPr>
          <w:jc w:val="center"/>
        </w:trPr>
        <w:tc>
          <w:tcPr>
            <w:tcW w:w="0" w:type="auto"/>
          </w:tcPr>
          <w:p w14:paraId="0A96B09E" w14:textId="77777777" w:rsidR="00424968" w:rsidRPr="00500B18" w:rsidRDefault="00424968" w:rsidP="00476577">
            <w:pPr>
              <w:rPr>
                <w:sz w:val="20"/>
                <w:szCs w:val="20"/>
              </w:rPr>
            </w:pPr>
          </w:p>
        </w:tc>
        <w:tc>
          <w:tcPr>
            <w:tcW w:w="0" w:type="auto"/>
          </w:tcPr>
          <w:p w14:paraId="52026015" w14:textId="77777777" w:rsidR="00424968" w:rsidRPr="00500B18" w:rsidRDefault="00424968" w:rsidP="00476577">
            <w:pPr>
              <w:jc w:val="center"/>
              <w:rPr>
                <w:sz w:val="20"/>
                <w:szCs w:val="20"/>
              </w:rPr>
            </w:pPr>
            <w:r w:rsidRPr="00500B18">
              <w:rPr>
                <w:sz w:val="20"/>
                <w:szCs w:val="20"/>
              </w:rPr>
              <w:t>Pearson correlation Coefficient</w:t>
            </w:r>
          </w:p>
        </w:tc>
        <w:tc>
          <w:tcPr>
            <w:tcW w:w="0" w:type="auto"/>
          </w:tcPr>
          <w:p w14:paraId="402CF8CB" w14:textId="77777777" w:rsidR="00424968" w:rsidRPr="00500B18" w:rsidRDefault="00424968" w:rsidP="00476577">
            <w:pPr>
              <w:jc w:val="center"/>
              <w:rPr>
                <w:sz w:val="20"/>
                <w:szCs w:val="20"/>
              </w:rPr>
            </w:pPr>
            <w:r w:rsidRPr="00500B18">
              <w:rPr>
                <w:sz w:val="20"/>
                <w:szCs w:val="20"/>
              </w:rPr>
              <w:t>r</w:t>
            </w:r>
          </w:p>
        </w:tc>
        <w:tc>
          <w:tcPr>
            <w:tcW w:w="0" w:type="auto"/>
          </w:tcPr>
          <w:p w14:paraId="1851648E" w14:textId="77777777" w:rsidR="00424968" w:rsidRPr="00500B18" w:rsidRDefault="00424968" w:rsidP="00476577">
            <w:pPr>
              <w:jc w:val="center"/>
              <w:rPr>
                <w:sz w:val="20"/>
                <w:szCs w:val="20"/>
              </w:rPr>
            </w:pPr>
            <w:r w:rsidRPr="00500B18">
              <w:rPr>
                <w:sz w:val="20"/>
                <w:szCs w:val="20"/>
              </w:rPr>
              <w:t>-1 to 1</w:t>
            </w:r>
          </w:p>
        </w:tc>
      </w:tr>
      <w:tr w:rsidR="00424968" w:rsidRPr="008C0580" w14:paraId="0546DA43" w14:textId="77777777" w:rsidTr="00476577">
        <w:trPr>
          <w:jc w:val="center"/>
        </w:trPr>
        <w:tc>
          <w:tcPr>
            <w:tcW w:w="0" w:type="auto"/>
          </w:tcPr>
          <w:p w14:paraId="504D3D7A" w14:textId="77777777" w:rsidR="00424968" w:rsidRPr="00500B18" w:rsidRDefault="00424968" w:rsidP="00476577">
            <w:pPr>
              <w:rPr>
                <w:sz w:val="20"/>
                <w:szCs w:val="20"/>
              </w:rPr>
            </w:pPr>
          </w:p>
        </w:tc>
        <w:tc>
          <w:tcPr>
            <w:tcW w:w="0" w:type="auto"/>
          </w:tcPr>
          <w:p w14:paraId="3E3C6263" w14:textId="77777777" w:rsidR="00424968" w:rsidRPr="00500B18" w:rsidRDefault="00424968" w:rsidP="00476577">
            <w:pPr>
              <w:jc w:val="center"/>
              <w:rPr>
                <w:sz w:val="20"/>
                <w:szCs w:val="20"/>
              </w:rPr>
            </w:pPr>
            <w:r w:rsidRPr="00500B18">
              <w:rPr>
                <w:sz w:val="20"/>
                <w:szCs w:val="20"/>
              </w:rPr>
              <w:t>Slope</w:t>
            </w:r>
          </w:p>
        </w:tc>
        <w:tc>
          <w:tcPr>
            <w:tcW w:w="0" w:type="auto"/>
          </w:tcPr>
          <w:p w14:paraId="2D974D7A" w14:textId="77777777" w:rsidR="00424968" w:rsidRPr="00500B18" w:rsidRDefault="00424968" w:rsidP="00476577">
            <w:pPr>
              <w:jc w:val="center"/>
              <w:rPr>
                <w:sz w:val="20"/>
                <w:szCs w:val="20"/>
              </w:rPr>
            </w:pPr>
            <w:r w:rsidRPr="00500B18">
              <w:rPr>
                <w:sz w:val="20"/>
                <w:szCs w:val="20"/>
              </w:rPr>
              <w:t>m</w:t>
            </w:r>
          </w:p>
        </w:tc>
        <w:tc>
          <w:tcPr>
            <w:tcW w:w="0" w:type="auto"/>
          </w:tcPr>
          <w:p w14:paraId="20840F2C" w14:textId="77777777" w:rsidR="00424968" w:rsidRPr="00500B18" w:rsidRDefault="00424968" w:rsidP="00476577">
            <w:pPr>
              <w:jc w:val="center"/>
              <w:rPr>
                <w:sz w:val="20"/>
                <w:szCs w:val="20"/>
              </w:rPr>
            </w:pPr>
            <w:r w:rsidRPr="00500B18">
              <w:rPr>
                <w:sz w:val="20"/>
                <w:szCs w:val="20"/>
              </w:rPr>
              <w:t>Range of variable values</w:t>
            </w:r>
          </w:p>
        </w:tc>
      </w:tr>
      <w:tr w:rsidR="00424968" w:rsidRPr="008C0580" w14:paraId="0A22C669" w14:textId="77777777" w:rsidTr="00476577">
        <w:trPr>
          <w:jc w:val="center"/>
        </w:trPr>
        <w:tc>
          <w:tcPr>
            <w:tcW w:w="0" w:type="auto"/>
          </w:tcPr>
          <w:p w14:paraId="0A2FF690" w14:textId="77777777" w:rsidR="00424968" w:rsidRPr="00500B18" w:rsidRDefault="00424968" w:rsidP="00476577">
            <w:pPr>
              <w:rPr>
                <w:sz w:val="20"/>
                <w:szCs w:val="20"/>
              </w:rPr>
            </w:pPr>
          </w:p>
        </w:tc>
        <w:tc>
          <w:tcPr>
            <w:tcW w:w="0" w:type="auto"/>
          </w:tcPr>
          <w:p w14:paraId="6D12AAF5" w14:textId="77777777" w:rsidR="00424968" w:rsidRPr="00500B18" w:rsidRDefault="00424968" w:rsidP="00476577">
            <w:pPr>
              <w:jc w:val="center"/>
              <w:rPr>
                <w:sz w:val="20"/>
                <w:szCs w:val="20"/>
              </w:rPr>
            </w:pPr>
            <w:r w:rsidRPr="00500B18">
              <w:rPr>
                <w:sz w:val="20"/>
                <w:szCs w:val="20"/>
              </w:rPr>
              <w:t>Intercept</w:t>
            </w:r>
          </w:p>
        </w:tc>
        <w:tc>
          <w:tcPr>
            <w:tcW w:w="0" w:type="auto"/>
          </w:tcPr>
          <w:p w14:paraId="00355F23" w14:textId="77777777" w:rsidR="00424968" w:rsidRPr="00500B18" w:rsidRDefault="00424968" w:rsidP="00476577">
            <w:pPr>
              <w:jc w:val="center"/>
              <w:rPr>
                <w:sz w:val="20"/>
                <w:szCs w:val="20"/>
              </w:rPr>
            </w:pPr>
            <w:r w:rsidRPr="00500B18">
              <w:rPr>
                <w:sz w:val="20"/>
                <w:szCs w:val="20"/>
              </w:rPr>
              <w:t>B</w:t>
            </w:r>
          </w:p>
        </w:tc>
        <w:tc>
          <w:tcPr>
            <w:tcW w:w="0" w:type="auto"/>
          </w:tcPr>
          <w:p w14:paraId="1A8F6502" w14:textId="77777777" w:rsidR="00424968" w:rsidRPr="00500B18" w:rsidRDefault="00424968" w:rsidP="00476577">
            <w:pPr>
              <w:jc w:val="center"/>
              <w:rPr>
                <w:sz w:val="20"/>
                <w:szCs w:val="20"/>
              </w:rPr>
            </w:pPr>
            <w:r w:rsidRPr="00500B18">
              <w:rPr>
                <w:sz w:val="20"/>
                <w:szCs w:val="20"/>
              </w:rPr>
              <w:t>Range of variable values</w:t>
            </w:r>
          </w:p>
        </w:tc>
      </w:tr>
      <w:tr w:rsidR="00424968" w:rsidRPr="008C0580" w14:paraId="3A8B1425" w14:textId="77777777" w:rsidTr="00476577">
        <w:trPr>
          <w:jc w:val="center"/>
        </w:trPr>
        <w:tc>
          <w:tcPr>
            <w:tcW w:w="0" w:type="auto"/>
            <w:tcBorders>
              <w:top w:val="single" w:sz="4" w:space="0" w:color="auto"/>
            </w:tcBorders>
          </w:tcPr>
          <w:p w14:paraId="73227354" w14:textId="77777777" w:rsidR="00424968" w:rsidRPr="00500B18" w:rsidRDefault="00424968" w:rsidP="00476577">
            <w:pPr>
              <w:rPr>
                <w:sz w:val="20"/>
                <w:szCs w:val="20"/>
              </w:rPr>
            </w:pPr>
            <w:r w:rsidRPr="00500B18">
              <w:rPr>
                <w:sz w:val="20"/>
                <w:szCs w:val="20"/>
              </w:rPr>
              <w:t>Dimensionless indices</w:t>
            </w:r>
          </w:p>
        </w:tc>
        <w:tc>
          <w:tcPr>
            <w:tcW w:w="0" w:type="auto"/>
            <w:tcBorders>
              <w:top w:val="single" w:sz="4" w:space="0" w:color="auto"/>
            </w:tcBorders>
          </w:tcPr>
          <w:p w14:paraId="0BAF50F7" w14:textId="77777777" w:rsidR="00424968" w:rsidRPr="00500B18" w:rsidRDefault="00424968" w:rsidP="00476577">
            <w:pPr>
              <w:jc w:val="center"/>
              <w:rPr>
                <w:sz w:val="20"/>
                <w:szCs w:val="20"/>
              </w:rPr>
            </w:pPr>
            <w:r w:rsidRPr="00500B18">
              <w:rPr>
                <w:sz w:val="20"/>
                <w:szCs w:val="20"/>
              </w:rPr>
              <w:t>Nondimensional error index</w:t>
            </w:r>
          </w:p>
        </w:tc>
        <w:tc>
          <w:tcPr>
            <w:tcW w:w="0" w:type="auto"/>
            <w:tcBorders>
              <w:top w:val="single" w:sz="4" w:space="0" w:color="auto"/>
            </w:tcBorders>
          </w:tcPr>
          <w:p w14:paraId="5FC1CB8D" w14:textId="77777777" w:rsidR="00424968" w:rsidRPr="00500B18" w:rsidRDefault="00424968" w:rsidP="00476577">
            <w:pPr>
              <w:jc w:val="center"/>
              <w:rPr>
                <w:sz w:val="20"/>
                <w:szCs w:val="20"/>
              </w:rPr>
            </w:pPr>
            <w:r w:rsidRPr="00500B18">
              <w:rPr>
                <w:sz w:val="20"/>
                <w:szCs w:val="20"/>
              </w:rPr>
              <w:t>NDI</w:t>
            </w:r>
          </w:p>
        </w:tc>
        <w:tc>
          <w:tcPr>
            <w:tcW w:w="0" w:type="auto"/>
            <w:tcBorders>
              <w:top w:val="single" w:sz="4" w:space="0" w:color="auto"/>
            </w:tcBorders>
          </w:tcPr>
          <w:p w14:paraId="28AAC66D" w14:textId="77777777" w:rsidR="00424968" w:rsidRPr="00500B18" w:rsidRDefault="00424968" w:rsidP="00476577">
            <w:pPr>
              <w:jc w:val="center"/>
              <w:rPr>
                <w:sz w:val="20"/>
                <w:szCs w:val="20"/>
              </w:rPr>
            </w:pPr>
            <w:r w:rsidRPr="00500B18">
              <w:rPr>
                <w:sz w:val="20"/>
                <w:szCs w:val="20"/>
              </w:rPr>
              <w:t xml:space="preserve">0 to </w:t>
            </w:r>
            <w:r w:rsidRPr="00500B18">
              <w:rPr>
                <w:rFonts w:cstheme="minorHAnsi"/>
                <w:sz w:val="20"/>
                <w:szCs w:val="20"/>
              </w:rPr>
              <w:t>∞</w:t>
            </w:r>
          </w:p>
        </w:tc>
      </w:tr>
      <w:tr w:rsidR="00424968" w:rsidRPr="008C0580" w14:paraId="1A5C0D4C" w14:textId="77777777" w:rsidTr="00476577">
        <w:trPr>
          <w:jc w:val="center"/>
        </w:trPr>
        <w:tc>
          <w:tcPr>
            <w:tcW w:w="0" w:type="auto"/>
          </w:tcPr>
          <w:p w14:paraId="0490B366" w14:textId="77777777" w:rsidR="00424968" w:rsidRPr="00500B18" w:rsidRDefault="00424968" w:rsidP="00476577">
            <w:pPr>
              <w:rPr>
                <w:sz w:val="20"/>
                <w:szCs w:val="20"/>
              </w:rPr>
            </w:pPr>
          </w:p>
        </w:tc>
        <w:tc>
          <w:tcPr>
            <w:tcW w:w="0" w:type="auto"/>
          </w:tcPr>
          <w:p w14:paraId="3E3F0F5F" w14:textId="77777777" w:rsidR="00424968" w:rsidRPr="00500B18" w:rsidRDefault="00424968" w:rsidP="00476577">
            <w:pPr>
              <w:jc w:val="center"/>
              <w:rPr>
                <w:sz w:val="20"/>
                <w:szCs w:val="20"/>
              </w:rPr>
            </w:pPr>
            <w:r w:rsidRPr="00500B18">
              <w:rPr>
                <w:sz w:val="20"/>
                <w:szCs w:val="20"/>
              </w:rPr>
              <w:t>Normalised RMSE</w:t>
            </w:r>
          </w:p>
        </w:tc>
        <w:tc>
          <w:tcPr>
            <w:tcW w:w="0" w:type="auto"/>
          </w:tcPr>
          <w:p w14:paraId="143D75A6" w14:textId="77777777" w:rsidR="00424968" w:rsidRPr="00500B18" w:rsidRDefault="00424968" w:rsidP="00476577">
            <w:pPr>
              <w:jc w:val="center"/>
              <w:rPr>
                <w:sz w:val="20"/>
                <w:szCs w:val="20"/>
              </w:rPr>
            </w:pPr>
            <w:r w:rsidRPr="00500B18">
              <w:rPr>
                <w:sz w:val="20"/>
                <w:szCs w:val="20"/>
              </w:rPr>
              <w:t>NRMSE</w:t>
            </w:r>
          </w:p>
        </w:tc>
        <w:tc>
          <w:tcPr>
            <w:tcW w:w="0" w:type="auto"/>
          </w:tcPr>
          <w:p w14:paraId="14D71562" w14:textId="77777777" w:rsidR="00424968" w:rsidRPr="00500B18" w:rsidRDefault="00424968" w:rsidP="00476577">
            <w:pPr>
              <w:jc w:val="center"/>
              <w:rPr>
                <w:sz w:val="20"/>
                <w:szCs w:val="20"/>
              </w:rPr>
            </w:pPr>
            <w:r w:rsidRPr="00500B18">
              <w:rPr>
                <w:sz w:val="20"/>
                <w:szCs w:val="20"/>
              </w:rPr>
              <w:t xml:space="preserve">0 to </w:t>
            </w:r>
            <w:r w:rsidRPr="00500B18">
              <w:rPr>
                <w:rFonts w:cstheme="minorHAnsi"/>
                <w:sz w:val="20"/>
                <w:szCs w:val="20"/>
              </w:rPr>
              <w:t>∞</w:t>
            </w:r>
          </w:p>
        </w:tc>
      </w:tr>
      <w:tr w:rsidR="00424968" w:rsidRPr="008C0580" w14:paraId="7A449102" w14:textId="77777777" w:rsidTr="00476577">
        <w:trPr>
          <w:jc w:val="center"/>
        </w:trPr>
        <w:tc>
          <w:tcPr>
            <w:tcW w:w="0" w:type="auto"/>
          </w:tcPr>
          <w:p w14:paraId="5876D507" w14:textId="77777777" w:rsidR="00424968" w:rsidRPr="00500B18" w:rsidRDefault="00424968" w:rsidP="00476577">
            <w:pPr>
              <w:rPr>
                <w:sz w:val="20"/>
                <w:szCs w:val="20"/>
              </w:rPr>
            </w:pPr>
          </w:p>
        </w:tc>
        <w:tc>
          <w:tcPr>
            <w:tcW w:w="0" w:type="auto"/>
          </w:tcPr>
          <w:p w14:paraId="61D76520" w14:textId="77777777" w:rsidR="00424968" w:rsidRPr="00500B18" w:rsidRDefault="00424968" w:rsidP="00476577">
            <w:pPr>
              <w:jc w:val="center"/>
              <w:rPr>
                <w:sz w:val="20"/>
                <w:szCs w:val="20"/>
              </w:rPr>
            </w:pPr>
            <w:r w:rsidRPr="00500B18">
              <w:rPr>
                <w:sz w:val="20"/>
                <w:szCs w:val="20"/>
              </w:rPr>
              <w:t>Relative RMSE</w:t>
            </w:r>
          </w:p>
        </w:tc>
        <w:tc>
          <w:tcPr>
            <w:tcW w:w="0" w:type="auto"/>
          </w:tcPr>
          <w:p w14:paraId="1F4F78EF" w14:textId="77777777" w:rsidR="00424968" w:rsidRPr="00500B18" w:rsidRDefault="00424968" w:rsidP="00476577">
            <w:pPr>
              <w:jc w:val="center"/>
              <w:rPr>
                <w:sz w:val="20"/>
                <w:szCs w:val="20"/>
              </w:rPr>
            </w:pPr>
            <w:r w:rsidRPr="00500B18">
              <w:rPr>
                <w:sz w:val="20"/>
                <w:szCs w:val="20"/>
              </w:rPr>
              <w:t>RRMSE</w:t>
            </w:r>
          </w:p>
        </w:tc>
        <w:tc>
          <w:tcPr>
            <w:tcW w:w="0" w:type="auto"/>
          </w:tcPr>
          <w:p w14:paraId="46DF296A" w14:textId="77777777" w:rsidR="00424968" w:rsidRPr="00500B18" w:rsidRDefault="00424968" w:rsidP="00476577">
            <w:pPr>
              <w:jc w:val="center"/>
              <w:rPr>
                <w:sz w:val="20"/>
                <w:szCs w:val="20"/>
              </w:rPr>
            </w:pPr>
            <w:r w:rsidRPr="00500B18">
              <w:rPr>
                <w:sz w:val="20"/>
                <w:szCs w:val="20"/>
              </w:rPr>
              <w:t xml:space="preserve">0 to </w:t>
            </w:r>
            <w:r w:rsidRPr="00500B18">
              <w:rPr>
                <w:rFonts w:cstheme="minorHAnsi"/>
                <w:sz w:val="20"/>
                <w:szCs w:val="20"/>
              </w:rPr>
              <w:t>∞</w:t>
            </w:r>
          </w:p>
        </w:tc>
      </w:tr>
      <w:tr w:rsidR="00424968" w:rsidRPr="008C0580" w14:paraId="11CBB6CC" w14:textId="77777777" w:rsidTr="00476577">
        <w:trPr>
          <w:jc w:val="center"/>
        </w:trPr>
        <w:tc>
          <w:tcPr>
            <w:tcW w:w="0" w:type="auto"/>
          </w:tcPr>
          <w:p w14:paraId="337C0133" w14:textId="77777777" w:rsidR="00424968" w:rsidRPr="00500B18" w:rsidRDefault="00424968" w:rsidP="00476577">
            <w:pPr>
              <w:rPr>
                <w:sz w:val="20"/>
                <w:szCs w:val="20"/>
              </w:rPr>
            </w:pPr>
          </w:p>
        </w:tc>
        <w:tc>
          <w:tcPr>
            <w:tcW w:w="0" w:type="auto"/>
          </w:tcPr>
          <w:p w14:paraId="3746C497" w14:textId="77777777" w:rsidR="00424968" w:rsidRPr="00500B18" w:rsidRDefault="00424968" w:rsidP="00476577">
            <w:pPr>
              <w:jc w:val="center"/>
              <w:rPr>
                <w:sz w:val="20"/>
                <w:szCs w:val="20"/>
              </w:rPr>
            </w:pPr>
            <w:r w:rsidRPr="00500B18">
              <w:rPr>
                <w:sz w:val="20"/>
                <w:szCs w:val="20"/>
              </w:rPr>
              <w:t>SD to RMSE ratio</w:t>
            </w:r>
          </w:p>
        </w:tc>
        <w:tc>
          <w:tcPr>
            <w:tcW w:w="0" w:type="auto"/>
          </w:tcPr>
          <w:p w14:paraId="30F09E23" w14:textId="77777777" w:rsidR="00424968" w:rsidRPr="00500B18" w:rsidRDefault="00424968" w:rsidP="00476577">
            <w:pPr>
              <w:jc w:val="center"/>
              <w:rPr>
                <w:sz w:val="20"/>
                <w:szCs w:val="20"/>
              </w:rPr>
            </w:pPr>
            <w:r w:rsidRPr="00500B18">
              <w:rPr>
                <w:sz w:val="20"/>
                <w:szCs w:val="20"/>
              </w:rPr>
              <w:t>RDP</w:t>
            </w:r>
          </w:p>
        </w:tc>
        <w:tc>
          <w:tcPr>
            <w:tcW w:w="0" w:type="auto"/>
          </w:tcPr>
          <w:p w14:paraId="19EF70EB" w14:textId="77777777" w:rsidR="00424968" w:rsidRPr="00500B18" w:rsidRDefault="00424968" w:rsidP="00476577">
            <w:pPr>
              <w:jc w:val="center"/>
              <w:rPr>
                <w:sz w:val="20"/>
                <w:szCs w:val="20"/>
              </w:rPr>
            </w:pPr>
            <w:r w:rsidRPr="00500B18">
              <w:rPr>
                <w:sz w:val="20"/>
                <w:szCs w:val="20"/>
              </w:rPr>
              <w:t xml:space="preserve">0 to </w:t>
            </w:r>
            <w:r w:rsidRPr="00500B18">
              <w:rPr>
                <w:rFonts w:cstheme="minorHAnsi"/>
                <w:sz w:val="20"/>
                <w:szCs w:val="20"/>
              </w:rPr>
              <w:t>∞</w:t>
            </w:r>
          </w:p>
        </w:tc>
      </w:tr>
      <w:tr w:rsidR="00424968" w:rsidRPr="008C0580" w14:paraId="320F2801" w14:textId="77777777" w:rsidTr="00476577">
        <w:trPr>
          <w:jc w:val="center"/>
        </w:trPr>
        <w:tc>
          <w:tcPr>
            <w:tcW w:w="0" w:type="auto"/>
          </w:tcPr>
          <w:p w14:paraId="4F307844" w14:textId="77777777" w:rsidR="00424968" w:rsidRPr="00500B18" w:rsidRDefault="00424968" w:rsidP="00476577">
            <w:pPr>
              <w:rPr>
                <w:sz w:val="20"/>
                <w:szCs w:val="20"/>
              </w:rPr>
            </w:pPr>
          </w:p>
        </w:tc>
        <w:tc>
          <w:tcPr>
            <w:tcW w:w="0" w:type="auto"/>
          </w:tcPr>
          <w:p w14:paraId="11829F79" w14:textId="77777777" w:rsidR="00424968" w:rsidRPr="00500B18" w:rsidRDefault="00424968" w:rsidP="00476577">
            <w:pPr>
              <w:jc w:val="center"/>
              <w:rPr>
                <w:sz w:val="20"/>
                <w:szCs w:val="20"/>
              </w:rPr>
            </w:pPr>
            <w:r w:rsidRPr="00500B18">
              <w:rPr>
                <w:sz w:val="20"/>
                <w:szCs w:val="20"/>
              </w:rPr>
              <w:t>Relative bias</w:t>
            </w:r>
          </w:p>
        </w:tc>
        <w:tc>
          <w:tcPr>
            <w:tcW w:w="0" w:type="auto"/>
          </w:tcPr>
          <w:p w14:paraId="5B2CA578" w14:textId="77777777" w:rsidR="00424968" w:rsidRPr="00500B18" w:rsidRDefault="00424968" w:rsidP="00476577">
            <w:pPr>
              <w:jc w:val="center"/>
              <w:rPr>
                <w:sz w:val="20"/>
                <w:szCs w:val="20"/>
              </w:rPr>
            </w:pPr>
            <w:r w:rsidRPr="00500B18">
              <w:rPr>
                <w:sz w:val="20"/>
                <w:szCs w:val="20"/>
              </w:rPr>
              <w:t>Rel. B</w:t>
            </w:r>
          </w:p>
        </w:tc>
        <w:tc>
          <w:tcPr>
            <w:tcW w:w="0" w:type="auto"/>
          </w:tcPr>
          <w:p w14:paraId="5AD4D57E" w14:textId="77777777" w:rsidR="00424968" w:rsidRPr="00500B18" w:rsidRDefault="00424968" w:rsidP="00476577">
            <w:pPr>
              <w:jc w:val="center"/>
              <w:rPr>
                <w:sz w:val="20"/>
                <w:szCs w:val="20"/>
              </w:rPr>
            </w:pPr>
            <w:r w:rsidRPr="00500B18">
              <w:rPr>
                <w:rFonts w:cstheme="minorHAnsi"/>
                <w:sz w:val="20"/>
                <w:szCs w:val="20"/>
              </w:rPr>
              <w:t xml:space="preserve">-∞ </w:t>
            </w:r>
            <w:r w:rsidRPr="00500B18">
              <w:rPr>
                <w:sz w:val="20"/>
                <w:szCs w:val="20"/>
              </w:rPr>
              <w:t xml:space="preserve">to </w:t>
            </w:r>
            <w:r w:rsidRPr="00500B18">
              <w:rPr>
                <w:rFonts w:cstheme="minorHAnsi"/>
                <w:sz w:val="20"/>
                <w:szCs w:val="20"/>
              </w:rPr>
              <w:t>∞</w:t>
            </w:r>
          </w:p>
        </w:tc>
      </w:tr>
      <w:tr w:rsidR="00424968" w:rsidRPr="008C0580" w14:paraId="1ACA7822" w14:textId="77777777" w:rsidTr="00476577">
        <w:trPr>
          <w:jc w:val="center"/>
        </w:trPr>
        <w:tc>
          <w:tcPr>
            <w:tcW w:w="0" w:type="auto"/>
          </w:tcPr>
          <w:p w14:paraId="0A7E710E" w14:textId="77777777" w:rsidR="00424968" w:rsidRPr="00500B18" w:rsidRDefault="00424968" w:rsidP="00476577">
            <w:pPr>
              <w:rPr>
                <w:sz w:val="20"/>
                <w:szCs w:val="20"/>
              </w:rPr>
            </w:pPr>
          </w:p>
        </w:tc>
        <w:tc>
          <w:tcPr>
            <w:tcW w:w="0" w:type="auto"/>
          </w:tcPr>
          <w:p w14:paraId="2FC3CC87" w14:textId="77777777" w:rsidR="00424968" w:rsidRPr="00500B18" w:rsidRDefault="00424968" w:rsidP="00476577">
            <w:pPr>
              <w:jc w:val="center"/>
              <w:rPr>
                <w:sz w:val="20"/>
                <w:szCs w:val="20"/>
              </w:rPr>
            </w:pPr>
            <w:r w:rsidRPr="00500B18">
              <w:rPr>
                <w:sz w:val="20"/>
                <w:szCs w:val="20"/>
              </w:rPr>
              <w:t>Relative percentage error</w:t>
            </w:r>
          </w:p>
        </w:tc>
        <w:tc>
          <w:tcPr>
            <w:tcW w:w="0" w:type="auto"/>
          </w:tcPr>
          <w:p w14:paraId="058A117E" w14:textId="77777777" w:rsidR="00424968" w:rsidRPr="00500B18" w:rsidRDefault="00424968" w:rsidP="00476577">
            <w:pPr>
              <w:jc w:val="center"/>
              <w:rPr>
                <w:sz w:val="20"/>
                <w:szCs w:val="20"/>
              </w:rPr>
            </w:pPr>
            <w:r w:rsidRPr="00500B18">
              <w:rPr>
                <w:sz w:val="20"/>
                <w:szCs w:val="20"/>
              </w:rPr>
              <w:t>RPE</w:t>
            </w:r>
          </w:p>
        </w:tc>
        <w:tc>
          <w:tcPr>
            <w:tcW w:w="0" w:type="auto"/>
          </w:tcPr>
          <w:p w14:paraId="1CCDB5F7" w14:textId="77777777" w:rsidR="00424968" w:rsidRPr="00500B18" w:rsidRDefault="00424968" w:rsidP="00476577">
            <w:pPr>
              <w:jc w:val="center"/>
              <w:rPr>
                <w:sz w:val="20"/>
                <w:szCs w:val="20"/>
              </w:rPr>
            </w:pPr>
            <w:r w:rsidRPr="00500B18">
              <w:rPr>
                <w:sz w:val="20"/>
                <w:szCs w:val="20"/>
              </w:rPr>
              <w:t xml:space="preserve">0 to </w:t>
            </w:r>
            <w:r w:rsidRPr="00500B18">
              <w:rPr>
                <w:rFonts w:cstheme="minorHAnsi"/>
                <w:sz w:val="20"/>
                <w:szCs w:val="20"/>
              </w:rPr>
              <w:t>∞</w:t>
            </w:r>
          </w:p>
        </w:tc>
      </w:tr>
      <w:tr w:rsidR="00424968" w:rsidRPr="008C0580" w14:paraId="3BB3E72A" w14:textId="77777777" w:rsidTr="00476577">
        <w:trPr>
          <w:jc w:val="center"/>
        </w:trPr>
        <w:tc>
          <w:tcPr>
            <w:tcW w:w="0" w:type="auto"/>
          </w:tcPr>
          <w:p w14:paraId="646F7B0E" w14:textId="77777777" w:rsidR="00424968" w:rsidRPr="00500B18" w:rsidRDefault="00424968" w:rsidP="00476577">
            <w:pPr>
              <w:rPr>
                <w:sz w:val="20"/>
                <w:szCs w:val="20"/>
              </w:rPr>
            </w:pPr>
          </w:p>
        </w:tc>
        <w:tc>
          <w:tcPr>
            <w:tcW w:w="0" w:type="auto"/>
          </w:tcPr>
          <w:p w14:paraId="23D0A599" w14:textId="77777777" w:rsidR="00424968" w:rsidRPr="00500B18" w:rsidRDefault="00424968" w:rsidP="00476577">
            <w:pPr>
              <w:jc w:val="center"/>
              <w:rPr>
                <w:sz w:val="20"/>
                <w:szCs w:val="20"/>
              </w:rPr>
            </w:pPr>
            <w:r w:rsidRPr="00500B18">
              <w:rPr>
                <w:sz w:val="20"/>
                <w:szCs w:val="20"/>
              </w:rPr>
              <w:t>Nash–Sutcliffe efficiency</w:t>
            </w:r>
          </w:p>
        </w:tc>
        <w:tc>
          <w:tcPr>
            <w:tcW w:w="0" w:type="auto"/>
          </w:tcPr>
          <w:p w14:paraId="166DAC6F" w14:textId="77777777" w:rsidR="00424968" w:rsidRPr="00500B18" w:rsidRDefault="00424968" w:rsidP="00476577">
            <w:pPr>
              <w:jc w:val="center"/>
              <w:rPr>
                <w:sz w:val="20"/>
                <w:szCs w:val="20"/>
              </w:rPr>
            </w:pPr>
            <w:r w:rsidRPr="00500B18">
              <w:rPr>
                <w:sz w:val="20"/>
                <w:szCs w:val="20"/>
              </w:rPr>
              <w:t>NSE</w:t>
            </w:r>
          </w:p>
        </w:tc>
        <w:tc>
          <w:tcPr>
            <w:tcW w:w="0" w:type="auto"/>
          </w:tcPr>
          <w:p w14:paraId="087CED9A" w14:textId="77777777" w:rsidR="00424968" w:rsidRPr="00500B18" w:rsidRDefault="00424968" w:rsidP="00476577">
            <w:pPr>
              <w:jc w:val="center"/>
              <w:rPr>
                <w:rFonts w:cstheme="minorHAnsi"/>
                <w:sz w:val="20"/>
                <w:szCs w:val="20"/>
              </w:rPr>
            </w:pPr>
            <w:r w:rsidRPr="00500B18">
              <w:rPr>
                <w:rFonts w:cstheme="minorHAnsi"/>
                <w:sz w:val="20"/>
                <w:szCs w:val="20"/>
              </w:rPr>
              <w:t>-∞ to 1</w:t>
            </w:r>
          </w:p>
        </w:tc>
      </w:tr>
      <w:tr w:rsidR="00424968" w:rsidRPr="008C0580" w14:paraId="1353F876" w14:textId="77777777" w:rsidTr="00476577">
        <w:trPr>
          <w:jc w:val="center"/>
        </w:trPr>
        <w:tc>
          <w:tcPr>
            <w:tcW w:w="0" w:type="auto"/>
          </w:tcPr>
          <w:p w14:paraId="7FB81543" w14:textId="77777777" w:rsidR="00424968" w:rsidRPr="00500B18" w:rsidRDefault="00424968" w:rsidP="00476577">
            <w:pPr>
              <w:rPr>
                <w:sz w:val="20"/>
                <w:szCs w:val="20"/>
              </w:rPr>
            </w:pPr>
          </w:p>
        </w:tc>
        <w:tc>
          <w:tcPr>
            <w:tcW w:w="0" w:type="auto"/>
          </w:tcPr>
          <w:p w14:paraId="5414B7D4" w14:textId="77777777" w:rsidR="00424968" w:rsidRPr="00500B18" w:rsidRDefault="00424968" w:rsidP="00476577">
            <w:pPr>
              <w:jc w:val="center"/>
              <w:rPr>
                <w:sz w:val="20"/>
                <w:szCs w:val="20"/>
              </w:rPr>
            </w:pPr>
            <w:r w:rsidRPr="00500B18">
              <w:rPr>
                <w:sz w:val="20"/>
                <w:szCs w:val="20"/>
              </w:rPr>
              <w:t>Willmott’s index of agreement</w:t>
            </w:r>
          </w:p>
        </w:tc>
        <w:tc>
          <w:tcPr>
            <w:tcW w:w="0" w:type="auto"/>
          </w:tcPr>
          <w:p w14:paraId="39DD3009" w14:textId="77777777" w:rsidR="00424968" w:rsidRPr="00500B18" w:rsidRDefault="00424968" w:rsidP="00476577">
            <w:pPr>
              <w:jc w:val="center"/>
              <w:rPr>
                <w:sz w:val="20"/>
                <w:szCs w:val="20"/>
              </w:rPr>
            </w:pPr>
            <w:r w:rsidRPr="00500B18">
              <w:rPr>
                <w:sz w:val="20"/>
                <w:szCs w:val="20"/>
              </w:rPr>
              <w:t>d</w:t>
            </w:r>
          </w:p>
        </w:tc>
        <w:tc>
          <w:tcPr>
            <w:tcW w:w="0" w:type="auto"/>
          </w:tcPr>
          <w:p w14:paraId="758891F2" w14:textId="77777777" w:rsidR="00424968" w:rsidRPr="00500B18" w:rsidRDefault="00424968" w:rsidP="00476577">
            <w:pPr>
              <w:jc w:val="center"/>
              <w:rPr>
                <w:rFonts w:cstheme="minorHAnsi"/>
                <w:sz w:val="20"/>
                <w:szCs w:val="20"/>
              </w:rPr>
            </w:pPr>
            <w:r w:rsidRPr="00500B18">
              <w:rPr>
                <w:rFonts w:cstheme="minorHAnsi"/>
                <w:sz w:val="20"/>
                <w:szCs w:val="20"/>
              </w:rPr>
              <w:t>0 to 1</w:t>
            </w:r>
          </w:p>
        </w:tc>
      </w:tr>
      <w:tr w:rsidR="00424968" w:rsidRPr="008C0580" w14:paraId="254EA9FB" w14:textId="77777777" w:rsidTr="00476577">
        <w:trPr>
          <w:jc w:val="center"/>
        </w:trPr>
        <w:tc>
          <w:tcPr>
            <w:tcW w:w="0" w:type="auto"/>
          </w:tcPr>
          <w:p w14:paraId="176F90F9" w14:textId="77777777" w:rsidR="00424968" w:rsidRPr="00500B18" w:rsidRDefault="00424968" w:rsidP="00476577">
            <w:pPr>
              <w:rPr>
                <w:sz w:val="20"/>
                <w:szCs w:val="20"/>
              </w:rPr>
            </w:pPr>
          </w:p>
        </w:tc>
        <w:tc>
          <w:tcPr>
            <w:tcW w:w="0" w:type="auto"/>
          </w:tcPr>
          <w:p w14:paraId="2E196C96" w14:textId="77777777" w:rsidR="00424968" w:rsidRPr="00500B18" w:rsidRDefault="00424968" w:rsidP="00476577">
            <w:pPr>
              <w:jc w:val="center"/>
              <w:rPr>
                <w:sz w:val="20"/>
                <w:szCs w:val="20"/>
              </w:rPr>
            </w:pPr>
            <w:r w:rsidRPr="00500B18">
              <w:rPr>
                <w:sz w:val="20"/>
                <w:szCs w:val="20"/>
              </w:rPr>
              <w:t>Refined index of agreement</w:t>
            </w:r>
          </w:p>
        </w:tc>
        <w:tc>
          <w:tcPr>
            <w:tcW w:w="0" w:type="auto"/>
          </w:tcPr>
          <w:p w14:paraId="20677EF3" w14:textId="77777777" w:rsidR="00424968" w:rsidRPr="00500B18" w:rsidRDefault="00424968" w:rsidP="00476577">
            <w:pPr>
              <w:jc w:val="center"/>
              <w:rPr>
                <w:sz w:val="20"/>
                <w:szCs w:val="20"/>
              </w:rPr>
            </w:pPr>
            <w:proofErr w:type="spellStart"/>
            <w:r w:rsidRPr="00500B18">
              <w:rPr>
                <w:sz w:val="20"/>
                <w:szCs w:val="20"/>
              </w:rPr>
              <w:t>d</w:t>
            </w:r>
            <w:r w:rsidRPr="00500B18">
              <w:rPr>
                <w:sz w:val="20"/>
                <w:szCs w:val="20"/>
                <w:vertAlign w:val="subscript"/>
              </w:rPr>
              <w:t>r</w:t>
            </w:r>
            <w:proofErr w:type="spellEnd"/>
          </w:p>
        </w:tc>
        <w:tc>
          <w:tcPr>
            <w:tcW w:w="0" w:type="auto"/>
          </w:tcPr>
          <w:p w14:paraId="3D7DFC8E" w14:textId="77777777" w:rsidR="00424968" w:rsidRPr="00500B18" w:rsidRDefault="00424968" w:rsidP="00476577">
            <w:pPr>
              <w:jc w:val="center"/>
              <w:rPr>
                <w:rFonts w:cstheme="minorHAnsi"/>
                <w:sz w:val="20"/>
                <w:szCs w:val="20"/>
              </w:rPr>
            </w:pPr>
            <w:r w:rsidRPr="00500B18">
              <w:rPr>
                <w:rFonts w:cstheme="minorHAnsi"/>
                <w:sz w:val="20"/>
                <w:szCs w:val="20"/>
              </w:rPr>
              <w:t>-1 to 1</w:t>
            </w:r>
          </w:p>
        </w:tc>
      </w:tr>
      <w:tr w:rsidR="00424968" w:rsidRPr="008C0580" w14:paraId="394A4909" w14:textId="77777777" w:rsidTr="00476577">
        <w:trPr>
          <w:jc w:val="center"/>
        </w:trPr>
        <w:tc>
          <w:tcPr>
            <w:tcW w:w="0" w:type="auto"/>
          </w:tcPr>
          <w:p w14:paraId="55DBC638" w14:textId="77777777" w:rsidR="00424968" w:rsidRPr="00500B18" w:rsidRDefault="00424968" w:rsidP="00476577">
            <w:pPr>
              <w:rPr>
                <w:sz w:val="20"/>
                <w:szCs w:val="20"/>
              </w:rPr>
            </w:pPr>
          </w:p>
        </w:tc>
        <w:tc>
          <w:tcPr>
            <w:tcW w:w="0" w:type="auto"/>
          </w:tcPr>
          <w:p w14:paraId="6B50297C" w14:textId="77777777" w:rsidR="00424968" w:rsidRPr="00500B18" w:rsidRDefault="00424968" w:rsidP="00476577">
            <w:pPr>
              <w:jc w:val="center"/>
              <w:rPr>
                <w:sz w:val="20"/>
                <w:szCs w:val="20"/>
              </w:rPr>
            </w:pPr>
            <w:r w:rsidRPr="00500B18">
              <w:rPr>
                <w:sz w:val="20"/>
                <w:szCs w:val="20"/>
              </w:rPr>
              <w:t>Agreement coefficient</w:t>
            </w:r>
          </w:p>
        </w:tc>
        <w:tc>
          <w:tcPr>
            <w:tcW w:w="0" w:type="auto"/>
          </w:tcPr>
          <w:p w14:paraId="7D545D66" w14:textId="77777777" w:rsidR="00424968" w:rsidRPr="00500B18" w:rsidRDefault="00424968" w:rsidP="00476577">
            <w:pPr>
              <w:jc w:val="center"/>
              <w:rPr>
                <w:sz w:val="20"/>
                <w:szCs w:val="20"/>
              </w:rPr>
            </w:pPr>
            <w:r w:rsidRPr="00500B18">
              <w:rPr>
                <w:sz w:val="20"/>
                <w:szCs w:val="20"/>
              </w:rPr>
              <w:t>AC</w:t>
            </w:r>
          </w:p>
        </w:tc>
        <w:tc>
          <w:tcPr>
            <w:tcW w:w="0" w:type="auto"/>
          </w:tcPr>
          <w:p w14:paraId="28900CDD" w14:textId="77777777" w:rsidR="00424968" w:rsidRPr="00500B18" w:rsidRDefault="00424968" w:rsidP="00476577">
            <w:pPr>
              <w:jc w:val="center"/>
              <w:rPr>
                <w:rFonts w:cstheme="minorHAnsi"/>
                <w:sz w:val="20"/>
                <w:szCs w:val="20"/>
              </w:rPr>
            </w:pPr>
            <w:r w:rsidRPr="00500B18">
              <w:rPr>
                <w:rFonts w:cstheme="minorHAnsi"/>
                <w:sz w:val="20"/>
                <w:szCs w:val="20"/>
              </w:rPr>
              <w:t>0 to 1</w:t>
            </w:r>
          </w:p>
        </w:tc>
      </w:tr>
      <w:tr w:rsidR="00424968" w:rsidRPr="008C0580" w14:paraId="5DDB125E" w14:textId="77777777" w:rsidTr="00476577">
        <w:trPr>
          <w:jc w:val="center"/>
        </w:trPr>
        <w:tc>
          <w:tcPr>
            <w:tcW w:w="0" w:type="auto"/>
            <w:tcBorders>
              <w:top w:val="single" w:sz="4" w:space="0" w:color="auto"/>
            </w:tcBorders>
          </w:tcPr>
          <w:p w14:paraId="71E0B46F" w14:textId="77777777" w:rsidR="00424968" w:rsidRPr="00500B18" w:rsidRDefault="00424968" w:rsidP="00476577">
            <w:pPr>
              <w:rPr>
                <w:sz w:val="20"/>
                <w:szCs w:val="20"/>
              </w:rPr>
            </w:pPr>
            <w:r w:rsidRPr="00500B18">
              <w:rPr>
                <w:sz w:val="20"/>
                <w:szCs w:val="20"/>
              </w:rPr>
              <w:t>Pattern indices</w:t>
            </w:r>
          </w:p>
        </w:tc>
        <w:tc>
          <w:tcPr>
            <w:tcW w:w="0" w:type="auto"/>
            <w:tcBorders>
              <w:top w:val="single" w:sz="4" w:space="0" w:color="auto"/>
            </w:tcBorders>
          </w:tcPr>
          <w:p w14:paraId="5477022E" w14:textId="77777777" w:rsidR="00424968" w:rsidRPr="00500B18" w:rsidRDefault="00424968" w:rsidP="00476577">
            <w:pPr>
              <w:jc w:val="center"/>
              <w:rPr>
                <w:sz w:val="20"/>
                <w:szCs w:val="20"/>
              </w:rPr>
            </w:pPr>
            <w:r w:rsidRPr="00500B18">
              <w:rPr>
                <w:sz w:val="20"/>
                <w:szCs w:val="20"/>
              </w:rPr>
              <w:t>Range-based fixed pattern index</w:t>
            </w:r>
          </w:p>
        </w:tc>
        <w:tc>
          <w:tcPr>
            <w:tcW w:w="0" w:type="auto"/>
            <w:tcBorders>
              <w:top w:val="single" w:sz="4" w:space="0" w:color="auto"/>
            </w:tcBorders>
          </w:tcPr>
          <w:p w14:paraId="749B824A" w14:textId="77777777" w:rsidR="00424968" w:rsidRPr="00500B18" w:rsidRDefault="00424968" w:rsidP="00476577">
            <w:pPr>
              <w:jc w:val="center"/>
              <w:rPr>
                <w:sz w:val="20"/>
                <w:szCs w:val="20"/>
              </w:rPr>
            </w:pPr>
            <w:r w:rsidRPr="00500B18">
              <w:rPr>
                <w:sz w:val="20"/>
                <w:szCs w:val="20"/>
              </w:rPr>
              <w:t>PI</w:t>
            </w:r>
          </w:p>
        </w:tc>
        <w:tc>
          <w:tcPr>
            <w:tcW w:w="0" w:type="auto"/>
            <w:tcBorders>
              <w:top w:val="single" w:sz="4" w:space="0" w:color="auto"/>
            </w:tcBorders>
          </w:tcPr>
          <w:p w14:paraId="0CE23A16" w14:textId="77777777" w:rsidR="00424968" w:rsidRPr="00500B18" w:rsidRDefault="00424968" w:rsidP="00476577">
            <w:pPr>
              <w:jc w:val="center"/>
              <w:rPr>
                <w:rFonts w:cstheme="minorHAnsi"/>
                <w:sz w:val="20"/>
                <w:szCs w:val="20"/>
              </w:rPr>
            </w:pPr>
            <w:r w:rsidRPr="00500B18">
              <w:rPr>
                <w:rFonts w:cstheme="minorHAnsi"/>
                <w:sz w:val="20"/>
                <w:szCs w:val="20"/>
              </w:rPr>
              <w:t>Variable units</w:t>
            </w:r>
          </w:p>
        </w:tc>
      </w:tr>
      <w:tr w:rsidR="00424968" w:rsidRPr="008C0580" w14:paraId="5E5A640D" w14:textId="77777777" w:rsidTr="00476577">
        <w:trPr>
          <w:jc w:val="center"/>
        </w:trPr>
        <w:tc>
          <w:tcPr>
            <w:tcW w:w="0" w:type="auto"/>
            <w:tcBorders>
              <w:bottom w:val="single" w:sz="4" w:space="0" w:color="auto"/>
            </w:tcBorders>
          </w:tcPr>
          <w:p w14:paraId="385C78B7" w14:textId="77777777" w:rsidR="00424968" w:rsidRPr="00500B18" w:rsidRDefault="00424968" w:rsidP="00476577">
            <w:pPr>
              <w:rPr>
                <w:sz w:val="20"/>
                <w:szCs w:val="20"/>
              </w:rPr>
            </w:pPr>
          </w:p>
        </w:tc>
        <w:tc>
          <w:tcPr>
            <w:tcW w:w="0" w:type="auto"/>
            <w:tcBorders>
              <w:bottom w:val="single" w:sz="4" w:space="0" w:color="auto"/>
            </w:tcBorders>
          </w:tcPr>
          <w:p w14:paraId="4E8FD2C8" w14:textId="77777777" w:rsidR="00424968" w:rsidRPr="00500B18" w:rsidRDefault="00424968" w:rsidP="00476577">
            <w:pPr>
              <w:jc w:val="center"/>
              <w:rPr>
                <w:sz w:val="20"/>
                <w:szCs w:val="20"/>
              </w:rPr>
            </w:pPr>
            <w:r w:rsidRPr="00500B18">
              <w:rPr>
                <w:sz w:val="20"/>
                <w:szCs w:val="20"/>
              </w:rPr>
              <w:t>F-based fixed pattern index</w:t>
            </w:r>
          </w:p>
        </w:tc>
        <w:tc>
          <w:tcPr>
            <w:tcW w:w="0" w:type="auto"/>
            <w:tcBorders>
              <w:bottom w:val="single" w:sz="4" w:space="0" w:color="auto"/>
            </w:tcBorders>
          </w:tcPr>
          <w:p w14:paraId="7E961560" w14:textId="77777777" w:rsidR="00424968" w:rsidRPr="00500B18" w:rsidRDefault="00424968" w:rsidP="00476577">
            <w:pPr>
              <w:jc w:val="center"/>
              <w:rPr>
                <w:sz w:val="20"/>
                <w:szCs w:val="20"/>
              </w:rPr>
            </w:pPr>
            <w:r w:rsidRPr="00500B18">
              <w:rPr>
                <w:sz w:val="20"/>
                <w:szCs w:val="20"/>
              </w:rPr>
              <w:t>PI-F</w:t>
            </w:r>
          </w:p>
        </w:tc>
        <w:tc>
          <w:tcPr>
            <w:tcW w:w="0" w:type="auto"/>
            <w:tcBorders>
              <w:bottom w:val="single" w:sz="4" w:space="0" w:color="auto"/>
            </w:tcBorders>
          </w:tcPr>
          <w:p w14:paraId="5EBEF218" w14:textId="77777777" w:rsidR="00424968" w:rsidRPr="00500B18" w:rsidRDefault="00424968" w:rsidP="00476577">
            <w:pPr>
              <w:jc w:val="center"/>
              <w:rPr>
                <w:rFonts w:cstheme="minorHAnsi"/>
                <w:sz w:val="20"/>
                <w:szCs w:val="20"/>
              </w:rPr>
            </w:pPr>
            <w:r w:rsidRPr="00500B18">
              <w:rPr>
                <w:rFonts w:cstheme="minorHAnsi"/>
                <w:sz w:val="20"/>
                <w:szCs w:val="20"/>
              </w:rPr>
              <w:t>Variable units</w:t>
            </w:r>
          </w:p>
        </w:tc>
      </w:tr>
    </w:tbl>
    <w:p w14:paraId="1FCE5D15" w14:textId="77777777" w:rsidR="00424968" w:rsidRPr="007B3CD9" w:rsidRDefault="00424968" w:rsidP="00F92F9B">
      <w:pPr>
        <w:spacing w:line="360" w:lineRule="auto"/>
        <w:jc w:val="both"/>
      </w:pPr>
    </w:p>
    <w:p w14:paraId="651DF627" w14:textId="3A6F6EEB" w:rsidR="002F5796" w:rsidRDefault="002F5796" w:rsidP="00094710"/>
    <w:p w14:paraId="1AEE38F4" w14:textId="77777777" w:rsidR="00491F1D" w:rsidRDefault="00491F1D" w:rsidP="0031127D">
      <w:pPr>
        <w:pStyle w:val="Heading1"/>
        <w:numPr>
          <w:ilvl w:val="0"/>
          <w:numId w:val="1"/>
        </w:numPr>
        <w:sectPr w:rsidR="00491F1D" w:rsidSect="00024274">
          <w:pgSz w:w="11906" w:h="16838"/>
          <w:pgMar w:top="1440" w:right="1440" w:bottom="1440" w:left="1440" w:header="708" w:footer="708" w:gutter="0"/>
          <w:cols w:space="708"/>
          <w:docGrid w:linePitch="360"/>
        </w:sectPr>
      </w:pPr>
    </w:p>
    <w:p w14:paraId="524F1C1F" w14:textId="0CE3379B" w:rsidR="0031127D" w:rsidRDefault="0031127D" w:rsidP="005226EB">
      <w:pPr>
        <w:pStyle w:val="Heading1"/>
      </w:pPr>
      <w:bookmarkStart w:id="47" w:name="_Toc43388065"/>
      <w:r>
        <w:lastRenderedPageBreak/>
        <w:t>Validation Status</w:t>
      </w:r>
      <w:r w:rsidR="005226EB">
        <w:t xml:space="preserve"> </w:t>
      </w:r>
      <w:r w:rsidR="005226EB" w:rsidRPr="005226EB">
        <w:t>and</w:t>
      </w:r>
      <w:r w:rsidR="005226EB">
        <w:t xml:space="preserve"> Challenges</w:t>
      </w:r>
      <w:bookmarkEnd w:id="47"/>
    </w:p>
    <w:p w14:paraId="5FFEF021" w14:textId="77777777" w:rsidR="0031127D" w:rsidRDefault="0031127D" w:rsidP="005226EB">
      <w:pPr>
        <w:spacing w:after="0"/>
      </w:pPr>
    </w:p>
    <w:p w14:paraId="0F28BBC1" w14:textId="6AB96E37" w:rsidR="0074429A" w:rsidRPr="00F92F9B" w:rsidRDefault="0074429A" w:rsidP="005226EB">
      <w:pPr>
        <w:pStyle w:val="Heading2"/>
      </w:pPr>
      <w:bookmarkStart w:id="48" w:name="_Toc43388066"/>
      <w:r w:rsidRPr="005226EB">
        <w:t>Validation</w:t>
      </w:r>
      <w:r w:rsidRPr="00F92F9B">
        <w:t xml:space="preserve"> Status</w:t>
      </w:r>
      <w:r w:rsidR="00476577">
        <w:t xml:space="preserve"> of Considered Products</w:t>
      </w:r>
      <w:bookmarkEnd w:id="48"/>
    </w:p>
    <w:p w14:paraId="499562B3" w14:textId="3B3D342F" w:rsidR="0074429A" w:rsidRDefault="0074429A" w:rsidP="005226EB">
      <w:pPr>
        <w:spacing w:after="0"/>
      </w:pPr>
    </w:p>
    <w:p w14:paraId="736ABE36" w14:textId="18B3E79B" w:rsidR="00697F95" w:rsidRPr="00F92F9B" w:rsidRDefault="000C7D2C" w:rsidP="00F92F9B">
      <w:pPr>
        <w:spacing w:line="360" w:lineRule="auto"/>
        <w:jc w:val="both"/>
      </w:pPr>
      <w:r w:rsidRPr="00F92F9B">
        <w:t>Existing v</w:t>
      </w:r>
      <w:r w:rsidR="008816D7" w:rsidRPr="00F92F9B">
        <w:t>alidation activities related to the OLCI L2 land products have been coordinate</w:t>
      </w:r>
      <w:r w:rsidRPr="00F92F9B">
        <w:t>d</w:t>
      </w:r>
      <w:r w:rsidR="008816D7" w:rsidRPr="00F92F9B">
        <w:t xml:space="preserve"> by the Sentinel-3 Mission Performance Centre (S3MPC).</w:t>
      </w:r>
      <w:r w:rsidR="00500B18">
        <w:t xml:space="preserve"> </w:t>
      </w:r>
      <w:r w:rsidR="008816D7" w:rsidRPr="00F92F9B">
        <w:t>The S3MPC forms part of the mission’s payload data ground segment (PDGS) and is responsible for quality control of all Sentinel-3 data products.</w:t>
      </w:r>
      <w:r w:rsidR="00500B18">
        <w:t xml:space="preserve"> </w:t>
      </w:r>
      <w:r w:rsidR="008816D7" w:rsidRPr="00F92F9B">
        <w:t xml:space="preserve">Within the S3MPC, routine quality control </w:t>
      </w:r>
      <w:r w:rsidRPr="00F92F9B">
        <w:t>has been</w:t>
      </w:r>
      <w:r w:rsidR="008816D7" w:rsidRPr="00F92F9B">
        <w:t xml:space="preserve"> performed by assessing the temporal consistency of the products and comparing them to a 10-year climatology established using the equivalent MERIS products.</w:t>
      </w:r>
      <w:r w:rsidR="00500B18">
        <w:t xml:space="preserve"> </w:t>
      </w:r>
      <w:r w:rsidR="00A342CB" w:rsidRPr="00F92F9B">
        <w:t>In the case of the OGVI, inter</w:t>
      </w:r>
      <w:r w:rsidR="00E413DE">
        <w:t>-</w:t>
      </w:r>
      <w:r w:rsidR="00A342CB" w:rsidRPr="00F92F9B">
        <w:t xml:space="preserve">comparison with FAPAR derived from </w:t>
      </w:r>
      <w:r w:rsidR="00C85FEA" w:rsidRPr="00F92F9B">
        <w:t xml:space="preserve">MODIS </w:t>
      </w:r>
      <w:r w:rsidR="0064563E" w:rsidRPr="00F92F9B">
        <w:t>using the same algorithm</w:t>
      </w:r>
      <w:r w:rsidR="00A342CB" w:rsidRPr="00F92F9B">
        <w:t xml:space="preserve"> has </w:t>
      </w:r>
      <w:r w:rsidR="006C5B1E" w:rsidRPr="00F92F9B">
        <w:t xml:space="preserve">also </w:t>
      </w:r>
      <w:r w:rsidR="00A342CB" w:rsidRPr="00F92F9B">
        <w:t>been carried out</w:t>
      </w:r>
      <w:r w:rsidR="00E97766">
        <w:t xml:space="preserve"> </w:t>
      </w:r>
      <w:r w:rsidR="00E97766">
        <w:fldChar w:fldCharType="begin" w:fldLock="1"/>
      </w:r>
      <w:r w:rsidR="00E97766">
        <w:instrText>ADDIN CSL_CITATION {"citationItems":[{"id":"ITEM-1","itemData":{"URL":"https://sentinel.esa.int/documents/247904/2700530/Sentinel-3-Product-Notice-OLCI.pdf","author":[{"dropping-particle":"","family":"ESA","given":"","non-dropping-particle":"","parse-names":false,"suffix":""}],"id":"ITEM-1","issued":{"date-parts":[["2019"]]},"note":"Available from: https://sentinel.esa.int/documents/247904/2700530/Sentinel-3-Product-Notice-OLCI.pdf [accessed 18/03/2019].","title":"S3 Product Notice – OLCI","type":"webpage"},"uris":["http://www.mendeley.com/documents/?uuid=1865b0fd-1355-47ad-b49f-ceb7d547fdc7"]}],"mendeley":{"formattedCitation":"[52]","plainTextFormattedCitation":"[52]","previouslyFormattedCitation":"[52]"},"properties":{"noteIndex":0},"schema":"https://github.com/citation-style-language/schema/raw/master/csl-citation.json"}</w:instrText>
      </w:r>
      <w:r w:rsidR="00E97766">
        <w:fldChar w:fldCharType="separate"/>
      </w:r>
      <w:r w:rsidR="00E97766">
        <w:rPr>
          <w:noProof/>
        </w:rPr>
        <w:t>[52]</w:t>
      </w:r>
      <w:r w:rsidR="00E97766">
        <w:fldChar w:fldCharType="end"/>
      </w:r>
      <w:r w:rsidR="00A342CB" w:rsidRPr="00F92F9B">
        <w:t>.</w:t>
      </w:r>
      <w:r w:rsidR="00500B18">
        <w:t xml:space="preserve"> </w:t>
      </w:r>
      <w:r w:rsidR="008816D7" w:rsidRPr="00F92F9B">
        <w:t>The</w:t>
      </w:r>
      <w:r w:rsidRPr="00F92F9B">
        <w:t>se activities have been</w:t>
      </w:r>
      <w:r w:rsidR="008816D7" w:rsidRPr="00F92F9B">
        <w:t xml:space="preserve"> performed over 55 ‘supersites’ proposed by the CEOS WGCV LPV sub</w:t>
      </w:r>
      <w:r w:rsidRPr="00F92F9B">
        <w:t>-</w:t>
      </w:r>
      <w:r w:rsidR="008816D7" w:rsidRPr="00F92F9B">
        <w:t>group, in addition to 11 ‘core’ validation sites, which were selected by the Sentinel-3 Validation Team (S3VT).</w:t>
      </w:r>
      <w:r w:rsidR="00500B18">
        <w:t xml:space="preserve"> </w:t>
      </w:r>
    </w:p>
    <w:p w14:paraId="7770439B" w14:textId="673816DF" w:rsidR="00697F95" w:rsidRPr="00F92F9B" w:rsidRDefault="00697F95" w:rsidP="00F92F9B">
      <w:pPr>
        <w:spacing w:line="360" w:lineRule="auto"/>
        <w:jc w:val="both"/>
      </w:pPr>
      <w:r w:rsidRPr="00F92F9B">
        <w:t>O</w:t>
      </w:r>
      <w:r w:rsidR="008816D7" w:rsidRPr="00F92F9B">
        <w:t>verall, good tempo</w:t>
      </w:r>
      <w:r w:rsidRPr="00F92F9B">
        <w:t>ral consistency has</w:t>
      </w:r>
      <w:r w:rsidR="008816D7" w:rsidRPr="00F92F9B">
        <w:t xml:space="preserve"> been observed, and both the OGVI and OTCI appear consistent with the MGVI </w:t>
      </w:r>
      <w:r w:rsidR="000C7D2C" w:rsidRPr="00F92F9B">
        <w:t>and MTCI climatology</w:t>
      </w:r>
      <w:r w:rsidR="008816D7" w:rsidRPr="00F92F9B">
        <w:t xml:space="preserve"> over </w:t>
      </w:r>
      <w:proofErr w:type="gramStart"/>
      <w:r w:rsidR="008816D7" w:rsidRPr="00F92F9B">
        <w:t>the majority of</w:t>
      </w:r>
      <w:proofErr w:type="gramEnd"/>
      <w:r w:rsidR="008816D7" w:rsidRPr="00F92F9B">
        <w:t xml:space="preserve"> sites (within the expected range of interannual variability).</w:t>
      </w:r>
      <w:r w:rsidR="00500B18">
        <w:t xml:space="preserve"> </w:t>
      </w:r>
      <w:r w:rsidR="008816D7" w:rsidRPr="00F92F9B">
        <w:t>Nevertheless, the OGVI has been reported to demonstrate a slight positive bias</w:t>
      </w:r>
      <w:r w:rsidR="002A2FF1" w:rsidRPr="00F92F9B">
        <w:t xml:space="preserve"> with respect to the M</w:t>
      </w:r>
      <w:r w:rsidR="00A342CB" w:rsidRPr="00F92F9B">
        <w:t>GVI climatology</w:t>
      </w:r>
      <w:r w:rsidR="000C7D2C" w:rsidRPr="00F92F9B">
        <w:t>, whilst over some sparsely vegetated sites, some degree of underestimation of the OTCI with respect to the MTCI climatology has been observed</w:t>
      </w:r>
      <w:r w:rsidR="00E97766">
        <w:t xml:space="preserve"> </w:t>
      </w:r>
      <w:r w:rsidR="00E97766">
        <w:fldChar w:fldCharType="begin" w:fldLock="1"/>
      </w:r>
      <w:r w:rsidR="00E97766">
        <w:instrText>ADDIN CSL_CITATION {"citationItems":[{"id":"ITEM-1","itemData":{"URL":"https://sentinels.copernicus.eu/web/sentinel/technical-guides/sentinel-3-olci/data-quality-reports","accessed":{"date-parts":[["2019","3","18"]]},"author":[{"dropping-particle":"","family":"ESA","given":"","non-dropping-particle":"","parse-names":false,"suffix":""}],"id":"ITEM-1","issued":{"date-parts":[["0"]]},"note":"Available from: https://sentinels.copernicus.eu/web/sentinel/technical-guides/sentinel-3-olci/data-quality-reports [accessed 18/03/2019].","title":"Data Product Quality Reports","type":"webpage"},"uris":["http://www.mendeley.com/documents/?uuid=68e13f60-8b84-4c80-be72-95511ccbf260"]}],"mendeley":{"formattedCitation":"[53]","plainTextFormattedCitation":"[53]","previouslyFormattedCitation":"[53]"},"properties":{"noteIndex":0},"schema":"https://github.com/citation-style-language/schema/raw/master/csl-citation.json"}</w:instrText>
      </w:r>
      <w:r w:rsidR="00E97766">
        <w:fldChar w:fldCharType="separate"/>
      </w:r>
      <w:r w:rsidR="00E97766">
        <w:rPr>
          <w:noProof/>
        </w:rPr>
        <w:t>[53]</w:t>
      </w:r>
      <w:r w:rsidR="00E97766">
        <w:fldChar w:fldCharType="end"/>
      </w:r>
      <w:r w:rsidR="000C7D2C" w:rsidRPr="00F92F9B">
        <w:t>.</w:t>
      </w:r>
      <w:r w:rsidR="00500B18">
        <w:t xml:space="preserve"> </w:t>
      </w:r>
      <w:r w:rsidR="00A342CB" w:rsidRPr="00F92F9B">
        <w:t xml:space="preserve">When compared to FAPAR derived from MODIS, the OGVI demonstrates </w:t>
      </w:r>
      <w:r w:rsidR="0064563E" w:rsidRPr="00F92F9B">
        <w:t>good agreemen</w:t>
      </w:r>
      <w:r w:rsidR="002A2FF1" w:rsidRPr="00F92F9B">
        <w:t>t</w:t>
      </w:r>
      <w:r w:rsidR="00C31686" w:rsidRPr="00F92F9B">
        <w:t xml:space="preserve"> </w:t>
      </w:r>
      <w:r w:rsidR="00E97766">
        <w:fldChar w:fldCharType="begin" w:fldLock="1"/>
      </w:r>
      <w:r w:rsidR="00E97766">
        <w:instrText>ADDIN CSL_CITATION {"citationItems":[{"id":"ITEM-1","itemData":{"URL":"https://sentinel.esa.int/documents/247904/2700530/Sentinel-3-Product-Notice-OLCI.pdf","author":[{"dropping-particle":"","family":"ESA","given":"","non-dropping-particle":"","parse-names":false,"suffix":""}],"id":"ITEM-1","issued":{"date-parts":[["2019"]]},"note":"Available from: https://sentinel.esa.int/documents/247904/2700530/Sentinel-3-Product-Notice-OLCI.pdf [accessed 18/03/2019].","title":"S3 Product Notice – OLCI","type":"webpage"},"uris":["http://www.mendeley.com/documents/?uuid=1865b0fd-1355-47ad-b49f-ceb7d547fdc7"]}],"mendeley":{"formattedCitation":"[52]","plainTextFormattedCitation":"[52]","previouslyFormattedCitation":"[52]"},"properties":{"noteIndex":0},"schema":"https://github.com/citation-style-language/schema/raw/master/csl-citation.json"}</w:instrText>
      </w:r>
      <w:r w:rsidR="00E97766">
        <w:fldChar w:fldCharType="separate"/>
      </w:r>
      <w:r w:rsidR="00E97766">
        <w:rPr>
          <w:noProof/>
        </w:rPr>
        <w:t>[52]</w:t>
      </w:r>
      <w:r w:rsidR="00E97766">
        <w:fldChar w:fldCharType="end"/>
      </w:r>
      <w:r w:rsidR="002A2FF1" w:rsidRPr="00F92F9B">
        <w:t>.</w:t>
      </w:r>
      <w:r w:rsidR="00500B18">
        <w:t xml:space="preserve"> </w:t>
      </w:r>
      <w:r w:rsidR="002A2FF1" w:rsidRPr="00F92F9B">
        <w:t>Analysis of products acquired during the Sentinel-3A and -3B tandem phase indicate some differences between the products generated from the two OLCI instruments, and further investigation is required</w:t>
      </w:r>
      <w:r w:rsidR="0083359B">
        <w:t xml:space="preserve"> </w:t>
      </w:r>
      <w:r w:rsidR="00E97766">
        <w:fldChar w:fldCharType="begin" w:fldLock="1"/>
      </w:r>
      <w:r w:rsidR="00E97766">
        <w:instrText>ADDIN CSL_CITATION {"citationItems":[{"id":"ITEM-1","itemData":{"URL":"https://sentinels.copernicus.eu/web/sentinel/technical-guides/sentinel-3-olci/data-quality-reports","accessed":{"date-parts":[["2019","3","18"]]},"author":[{"dropping-particle":"","family":"ESA","given":"","non-dropping-particle":"","parse-names":false,"suffix":""}],"id":"ITEM-1","issued":{"date-parts":[["0"]]},"note":"Available from: https://sentinels.copernicus.eu/web/sentinel/technical-guides/sentinel-3-olci/data-quality-reports [accessed 18/03/2019].","title":"Data Product Quality Reports","type":"webpage"},"uris":["http://www.mendeley.com/documents/?uuid=68e13f60-8b84-4c80-be72-95511ccbf260"]}],"mendeley":{"formattedCitation":"[53]","plainTextFormattedCitation":"[53]","previouslyFormattedCitation":"[53]"},"properties":{"noteIndex":0},"schema":"https://github.com/citation-style-language/schema/raw/master/csl-citation.json"}</w:instrText>
      </w:r>
      <w:r w:rsidR="00E97766">
        <w:fldChar w:fldCharType="separate"/>
      </w:r>
      <w:r w:rsidR="00E97766">
        <w:rPr>
          <w:noProof/>
        </w:rPr>
        <w:t>[53]</w:t>
      </w:r>
      <w:r w:rsidR="00E97766">
        <w:fldChar w:fldCharType="end"/>
      </w:r>
      <w:r w:rsidR="002A2FF1" w:rsidRPr="00F92F9B">
        <w:t xml:space="preserve">. </w:t>
      </w:r>
    </w:p>
    <w:p w14:paraId="12F1ADE0" w14:textId="3A929C50" w:rsidR="0031127D" w:rsidRDefault="00697F95" w:rsidP="00D548F3">
      <w:pPr>
        <w:spacing w:line="360" w:lineRule="auto"/>
        <w:jc w:val="both"/>
      </w:pPr>
      <w:r w:rsidRPr="00F92F9B">
        <w:t xml:space="preserve">In terms of direct validation, two dedicated campaigns have been carried out in the case of the OTCI, whilst </w:t>
      </w:r>
      <w:r w:rsidR="00EF4B3C">
        <w:t>in situ</w:t>
      </w:r>
      <w:r w:rsidRPr="00F92F9B">
        <w:t xml:space="preserve"> FAPAR data from several sites have been used to validate the OGVI</w:t>
      </w:r>
      <w:r w:rsidR="00C31686" w:rsidRPr="00F92F9B">
        <w:t xml:space="preserve"> </w:t>
      </w:r>
      <w:r w:rsidR="00E97766">
        <w:fldChar w:fldCharType="begin" w:fldLock="1"/>
      </w:r>
      <w:r w:rsidR="00EF4B3C">
        <w:instrText>ADDIN CSL_CITATION {"citationItems":[{"id":"ITEM-1","itemData":{"DOI":"10.1109/JSTARS.2019.2899998","ISSN":"1939-1404","author":[{"dropping-particle":"","family":"Brown","given":"Luke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Sensing","id":"ITEM-1","issue":"7","issued":{"date-parts":[["2019","7"]]},"page":"2244-2251","title":"Synergetic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id":"ITEM-2","itemData":{"URL":"https://sentinel.esa.int/documents/247904/2700530/Sentinel-3-Product-Notice-OLCI.pdf","author":[{"dropping-particle":"","family":"ESA","given":"","non-dropping-particle":"","parse-names":false,"suffix":""}],"id":"ITEM-2","issued":{"date-parts":[["2019"]]},"note":"Available from: https://sentinel.esa.int/documents/247904/2700530/Sentinel-3-Product-Notice-OLCI.pdf [accessed 18/03/2019].","title":"S3 Product Notice – OLCI","type":"webpage"},"uris":["http://www.mendeley.com/documents/?uuid=1865b0fd-1355-47ad-b49f-ceb7d547fdc7"]}],"mendeley":{"formattedCitation":"[43], [52]","plainTextFormattedCitation":"[43], [52]","previouslyFormattedCitation":"[19], [52]"},"properties":{"noteIndex":0},"schema":"https://github.com/citation-style-language/schema/raw/master/csl-citation.json"}</w:instrText>
      </w:r>
      <w:r w:rsidR="00E97766">
        <w:fldChar w:fldCharType="separate"/>
      </w:r>
      <w:r w:rsidR="00EF4B3C" w:rsidRPr="00EF4B3C">
        <w:rPr>
          <w:noProof/>
        </w:rPr>
        <w:t>[43], [52]</w:t>
      </w:r>
      <w:r w:rsidR="00E97766">
        <w:fldChar w:fldCharType="end"/>
      </w:r>
      <w:r w:rsidRPr="00F92F9B">
        <w:t>.</w:t>
      </w:r>
      <w:r w:rsidR="00500B18">
        <w:t xml:space="preserve"> </w:t>
      </w:r>
      <w:r w:rsidR="00A342CB" w:rsidRPr="00F92F9B">
        <w:t>The</w:t>
      </w:r>
      <w:r w:rsidR="0064563E" w:rsidRPr="00F92F9B">
        <w:t xml:space="preserve"> </w:t>
      </w:r>
      <w:r w:rsidRPr="00F92F9B">
        <w:t>OTCI</w:t>
      </w:r>
      <w:r w:rsidR="00A342CB" w:rsidRPr="00F92F9B">
        <w:t xml:space="preserve"> direct validation campaigns </w:t>
      </w:r>
      <w:r w:rsidR="000C7D2C" w:rsidRPr="00F92F9B">
        <w:t xml:space="preserve">have involved collection of </w:t>
      </w:r>
      <w:r w:rsidR="00EF4B3C">
        <w:t>in situ</w:t>
      </w:r>
      <w:r w:rsidR="000C7D2C" w:rsidRPr="00F92F9B">
        <w:t xml:space="preserve"> CCC measurements over </w:t>
      </w:r>
      <w:r w:rsidR="0064563E" w:rsidRPr="00F92F9B">
        <w:t xml:space="preserve">a) a </w:t>
      </w:r>
      <w:r w:rsidR="000C7D2C" w:rsidRPr="00F92F9B">
        <w:t>deciduous broadleaf forest</w:t>
      </w:r>
      <w:r w:rsidR="0064563E" w:rsidRPr="00F92F9B">
        <w:t xml:space="preserve"> site,</w:t>
      </w:r>
      <w:r w:rsidR="000C7D2C" w:rsidRPr="00F92F9B">
        <w:t xml:space="preserve"> and</w:t>
      </w:r>
      <w:r w:rsidR="0064563E" w:rsidRPr="00F92F9B">
        <w:t xml:space="preserve"> b) a</w:t>
      </w:r>
      <w:r w:rsidR="000C7D2C" w:rsidRPr="00F92F9B">
        <w:t xml:space="preserve"> vineyard dominated Mediterranean site</w:t>
      </w:r>
      <w:r w:rsidR="0064563E" w:rsidRPr="00F92F9B">
        <w:t>.</w:t>
      </w:r>
      <w:r w:rsidR="00500B18">
        <w:t xml:space="preserve"> </w:t>
      </w:r>
      <w:r w:rsidR="0064563E" w:rsidRPr="00F92F9B">
        <w:t xml:space="preserve">These </w:t>
      </w:r>
      <w:r w:rsidR="00EF4B3C">
        <w:t>in situ</w:t>
      </w:r>
      <w:r w:rsidR="0064563E" w:rsidRPr="00F92F9B">
        <w:t xml:space="preserve"> measurements have then been upscaled </w:t>
      </w:r>
      <w:r w:rsidR="000C7D2C" w:rsidRPr="00F92F9B">
        <w:t>to the moderate spatial resolution of the OTCI using MSI data.</w:t>
      </w:r>
      <w:r w:rsidR="00500B18">
        <w:t xml:space="preserve"> </w:t>
      </w:r>
      <w:r w:rsidR="000C7D2C" w:rsidRPr="00F92F9B">
        <w:t>In both cases, strong correlations between the OTCI and CCC were observed</w:t>
      </w:r>
      <w:r w:rsidRPr="00F92F9B">
        <w:t xml:space="preserve"> </w:t>
      </w:r>
      <w:r w:rsidR="00E97766">
        <w:fldChar w:fldCharType="begin" w:fldLock="1"/>
      </w:r>
      <w:r w:rsidR="00EF4B3C">
        <w:instrText>ADDIN CSL_CITATION {"citationItems":[{"id":"ITEM-1","itemData":{"DOI":"10.1109/JSTARS.2019.2899998","ISSN":"1939-1404","author":[{"dropping-particle":"","family":"Brown","given":"Luke A","non-dropping-particle":"","parse-names":false,"suffix":""},{"dropping-particle":"","family":"Dash","given":"Jadunandan","non-dropping-particle":"","parse-names":false,"suffix":""},{"dropping-particle":"","family":"Lidon","given":"Antonio L","non-dropping-particle":"","parse-names":false,"suffix":""},{"dropping-particle":"","family":"Lopez-Baeza","given":"Ernesto","non-dropping-particle":"","parse-names":false,"suffix":""},{"dropping-particle":"","family":"Dransfeld","given":"Steffen","non-dropping-particle":"","parse-names":false,"suffix":""}],"container-title":"IEEE Journal of Selected Topics in Applied Earth Observations and Remote Sensing","id":"ITEM-1","issue":"7","issued":{"date-parts":[["2019","7"]]},"page":"2244-2251","title":"Synergetic Exploitation of the Sentinel-2 Missions for Validating the Sentinel-3 Ocean and Land Color Instrument Terrestrial Chlorophyll Index Over a Vineyard Dominated Mediterranean Environment","type":"article-journal","volume":"12"},"uris":["http://www.mendeley.com/documents/?uuid=f87ad322-c46e-4331-9642-591cf2b3acfa"]},{"id":"ITEM-2","itemData":{"URL":"https://sentinel.esa.int/documents/247904/2700530/Sentinel-3-Product-Notice-OLCI.pdf","author":[{"dropping-particle":"","family":"ESA","given":"","non-dropping-particle":"","parse-names":false,"suffix":""}],"id":"ITEM-2","issued":{"date-parts":[["2019"]]},"note":"Available from: https://sentinel.esa.int/documents/247904/2700530/Sentinel-3-Product-Notice-OLCI.pdf [accessed 18/03/2019].","title":"S3 Product Notice – OLCI","type":"webpage"},"uris":["http://www.mendeley.com/documents/?uuid=1865b0fd-1355-47ad-b49f-ceb7d547fdc7"]}],"mendeley":{"formattedCitation":"[43], [52]","plainTextFormattedCitation":"[43], [52]","previouslyFormattedCitation":"[19], [52]"},"properties":{"noteIndex":0},"schema":"https://github.com/citation-style-language/schema/raw/master/csl-citation.json"}</w:instrText>
      </w:r>
      <w:r w:rsidR="00E97766">
        <w:fldChar w:fldCharType="separate"/>
      </w:r>
      <w:r w:rsidR="00EF4B3C" w:rsidRPr="00EF4B3C">
        <w:rPr>
          <w:noProof/>
        </w:rPr>
        <w:t>[43], [52]</w:t>
      </w:r>
      <w:r w:rsidR="00E97766">
        <w:fldChar w:fldCharType="end"/>
      </w:r>
      <w:r w:rsidRPr="00F92F9B">
        <w:t>.</w:t>
      </w:r>
      <w:r w:rsidR="00500B18">
        <w:t xml:space="preserve"> </w:t>
      </w:r>
      <w:r w:rsidR="002A2FF1" w:rsidRPr="00F92F9B">
        <w:t xml:space="preserve">In terms of the OGVI, </w:t>
      </w:r>
      <w:r w:rsidR="00EF4B3C">
        <w:t>in situ</w:t>
      </w:r>
      <w:r w:rsidR="002A2FF1" w:rsidRPr="00F92F9B">
        <w:t xml:space="preserve"> FAPAR data reveal it</w:t>
      </w:r>
      <w:r w:rsidRPr="00F92F9B">
        <w:t xml:space="preserve"> appears to be subject to some degree of underestimation, particularly at the peak of the growing season.</w:t>
      </w:r>
      <w:r w:rsidR="00500B18">
        <w:t xml:space="preserve"> </w:t>
      </w:r>
      <w:r w:rsidRPr="00F92F9B">
        <w:t xml:space="preserve">However, rather than being caused by deficiencies in the product, some degree of underestimation is expected due to the definition of the </w:t>
      </w:r>
      <w:proofErr w:type="gramStart"/>
      <w:r w:rsidR="00EF4B3C">
        <w:t>in situ</w:t>
      </w:r>
      <w:proofErr w:type="gramEnd"/>
      <w:r w:rsidRPr="00F92F9B">
        <w:t xml:space="preserve"> </w:t>
      </w:r>
      <w:r w:rsidR="002A2FF1" w:rsidRPr="00F92F9B">
        <w:t>measurements, which correspond to the total rather than green FAPAR.</w:t>
      </w:r>
    </w:p>
    <w:p w14:paraId="54AA42FC" w14:textId="0C261487" w:rsidR="00D548F3" w:rsidRDefault="00D548F3" w:rsidP="00D548F3">
      <w:pPr>
        <w:spacing w:line="360" w:lineRule="auto"/>
        <w:jc w:val="both"/>
      </w:pPr>
    </w:p>
    <w:p w14:paraId="2BEE43C1" w14:textId="77777777" w:rsidR="005B5E09" w:rsidRDefault="005B5E09" w:rsidP="00D548F3">
      <w:pPr>
        <w:spacing w:line="360" w:lineRule="auto"/>
        <w:jc w:val="both"/>
      </w:pPr>
    </w:p>
    <w:p w14:paraId="5CA81B14" w14:textId="6AADB5B3" w:rsidR="0031127D" w:rsidRPr="00F92F9B" w:rsidRDefault="00476577" w:rsidP="005226EB">
      <w:pPr>
        <w:pStyle w:val="Heading2"/>
      </w:pPr>
      <w:bookmarkStart w:id="49" w:name="_Toc43388067"/>
      <w:r>
        <w:lastRenderedPageBreak/>
        <w:t>Gaps and Challenges in Current Validation Protocols</w:t>
      </w:r>
      <w:bookmarkEnd w:id="49"/>
    </w:p>
    <w:p w14:paraId="43DA8457" w14:textId="77777777" w:rsidR="00D31EFA" w:rsidRDefault="00D31EFA" w:rsidP="0083359B">
      <w:pPr>
        <w:spacing w:after="0"/>
      </w:pPr>
    </w:p>
    <w:p w14:paraId="432282D3" w14:textId="6F08871D" w:rsidR="002C12F6" w:rsidRDefault="002C12F6" w:rsidP="00F92F9B">
      <w:pPr>
        <w:spacing w:line="360" w:lineRule="auto"/>
        <w:jc w:val="both"/>
      </w:pPr>
      <w:r>
        <w:t xml:space="preserve">Although much </w:t>
      </w:r>
      <w:r w:rsidR="00757D1C">
        <w:t xml:space="preserve">progress in the validation of satellite-derived vegetation products </w:t>
      </w:r>
      <w:r>
        <w:t>has been made over the last two decades, se</w:t>
      </w:r>
      <w:r w:rsidR="00757D1C">
        <w:t>veral gaps and challenges</w:t>
      </w:r>
      <w:r>
        <w:t xml:space="preserve"> </w:t>
      </w:r>
      <w:r w:rsidR="00757D1C">
        <w:t>remain</w:t>
      </w:r>
      <w:r w:rsidR="00CF6447">
        <w:t>.</w:t>
      </w:r>
      <w:r w:rsidR="00500B18">
        <w:t xml:space="preserve"> </w:t>
      </w:r>
      <w:r w:rsidR="008B5784">
        <w:t>Major</w:t>
      </w:r>
      <w:r w:rsidR="00CF6447">
        <w:t xml:space="preserve"> gaps and challenges</w:t>
      </w:r>
      <w:r w:rsidR="008B5784">
        <w:t xml:space="preserve"> in current validation protocols and procedures are</w:t>
      </w:r>
      <w:r w:rsidR="00CF6447">
        <w:t xml:space="preserve"> identified </w:t>
      </w:r>
      <w:r w:rsidR="008B5784">
        <w:t>and</w:t>
      </w:r>
      <w:r w:rsidR="00CF6447">
        <w:t xml:space="preserve"> summarised below:</w:t>
      </w:r>
    </w:p>
    <w:p w14:paraId="49AA4F95" w14:textId="433E5B31" w:rsidR="00BF2073" w:rsidRDefault="00757D1C" w:rsidP="00F92F9B">
      <w:pPr>
        <w:pStyle w:val="ListParagraph"/>
        <w:numPr>
          <w:ilvl w:val="0"/>
          <w:numId w:val="7"/>
        </w:numPr>
        <w:spacing w:line="360" w:lineRule="auto"/>
        <w:jc w:val="both"/>
      </w:pPr>
      <w:r>
        <w:t>Individual field campaigns fail to adequately characterise vegetation temporal dynamics</w:t>
      </w:r>
      <w:r w:rsidR="00BF2073">
        <w:t>, and some biomes are underrepresented in existing direct validation efforts</w:t>
      </w:r>
    </w:p>
    <w:p w14:paraId="0DF9465C" w14:textId="45A68D7C" w:rsidR="002C12F6" w:rsidRDefault="002C12F6" w:rsidP="00F92F9B">
      <w:pPr>
        <w:pStyle w:val="ListParagraph"/>
        <w:numPr>
          <w:ilvl w:val="0"/>
          <w:numId w:val="7"/>
        </w:numPr>
        <w:spacing w:line="360" w:lineRule="auto"/>
        <w:jc w:val="both"/>
      </w:pPr>
      <w:r>
        <w:t xml:space="preserve">Little consideration </w:t>
      </w:r>
      <w:r w:rsidR="00757D1C">
        <w:t>has been given to</w:t>
      </w:r>
      <w:r>
        <w:t xml:space="preserve"> </w:t>
      </w:r>
      <w:r w:rsidR="00EF4B3C">
        <w:t>in situ</w:t>
      </w:r>
      <w:r>
        <w:t xml:space="preserve"> measurement uncertainties and their propagation through</w:t>
      </w:r>
      <w:r w:rsidR="00757D1C">
        <w:t xml:space="preserve"> subsequent</w:t>
      </w:r>
      <w:r>
        <w:t xml:space="preserve"> </w:t>
      </w:r>
      <w:r w:rsidR="00757D1C">
        <w:t>processing and analysis steps</w:t>
      </w:r>
      <w:r w:rsidR="008B5784">
        <w:t xml:space="preserve"> (i.e. </w:t>
      </w:r>
      <w:r w:rsidR="00EF4B3C">
        <w:t>in situ</w:t>
      </w:r>
      <w:r w:rsidR="008B5784">
        <w:t xml:space="preserve"> measurements are </w:t>
      </w:r>
      <w:r w:rsidR="000347DB">
        <w:t xml:space="preserve">simply </w:t>
      </w:r>
      <w:r w:rsidR="008B5784">
        <w:t>assumed to represent the truth)</w:t>
      </w:r>
    </w:p>
    <w:p w14:paraId="0C759C6C" w14:textId="7A2D113A" w:rsidR="00757D1C" w:rsidRDefault="00757D1C" w:rsidP="00F92F9B">
      <w:pPr>
        <w:pStyle w:val="ListParagraph"/>
        <w:numPr>
          <w:ilvl w:val="0"/>
          <w:numId w:val="7"/>
        </w:numPr>
        <w:spacing w:line="360" w:lineRule="auto"/>
        <w:jc w:val="both"/>
      </w:pPr>
      <w:r>
        <w:t xml:space="preserve">The uncertainties associated with </w:t>
      </w:r>
      <w:r w:rsidR="00EF4B3C">
        <w:t>in situ</w:t>
      </w:r>
      <w:r>
        <w:t xml:space="preserve"> measurements are not currently utilised in the development of empirical transfer functions (although robust regression approaches are used to supress outliers)</w:t>
      </w:r>
    </w:p>
    <w:p w14:paraId="0676C79C" w14:textId="66639FD9" w:rsidR="00757D1C" w:rsidRDefault="00757D1C" w:rsidP="00F92F9B">
      <w:pPr>
        <w:pStyle w:val="ListParagraph"/>
        <w:numPr>
          <w:ilvl w:val="0"/>
          <w:numId w:val="7"/>
        </w:numPr>
        <w:spacing w:line="360" w:lineRule="auto"/>
        <w:jc w:val="both"/>
      </w:pPr>
      <w:r>
        <w:t>High spatial resolution reference maps are not currently provided with per-pixel uncertainties (although quality flags are produced)</w:t>
      </w:r>
    </w:p>
    <w:p w14:paraId="0F512B07" w14:textId="1868D47B" w:rsidR="002C12F6" w:rsidRDefault="00757D1C" w:rsidP="00F92F9B">
      <w:pPr>
        <w:pStyle w:val="ListParagraph"/>
        <w:numPr>
          <w:ilvl w:val="0"/>
          <w:numId w:val="7"/>
        </w:numPr>
        <w:spacing w:line="360" w:lineRule="auto"/>
        <w:jc w:val="both"/>
      </w:pPr>
      <w:r>
        <w:t>Protocols</w:t>
      </w:r>
      <w:r w:rsidR="002C12F6">
        <w:t xml:space="preserve"> and procedures for </w:t>
      </w:r>
      <w:r>
        <w:t xml:space="preserve">the </w:t>
      </w:r>
      <w:r w:rsidR="002C12F6">
        <w:t xml:space="preserve">validation </w:t>
      </w:r>
      <w:r>
        <w:t xml:space="preserve">of </w:t>
      </w:r>
      <w:proofErr w:type="gramStart"/>
      <w:r>
        <w:t>satellite-derived</w:t>
      </w:r>
      <w:proofErr w:type="gramEnd"/>
      <w:r>
        <w:t xml:space="preserve"> </w:t>
      </w:r>
      <w:r w:rsidR="002C12F6">
        <w:t>CCC products</w:t>
      </w:r>
      <w:r>
        <w:t xml:space="preserve"> are less developed </w:t>
      </w:r>
      <w:r w:rsidR="00C11BC0">
        <w:t xml:space="preserve">than those for FAPAR </w:t>
      </w:r>
      <w:r>
        <w:t>(due in part to the historical lack of freely available high spatial resolution imagery incorporating appropriate spectral bands)</w:t>
      </w:r>
    </w:p>
    <w:p w14:paraId="6FFE4E0C" w14:textId="0AE363FA" w:rsidR="00BF2073" w:rsidRDefault="00BF2073" w:rsidP="00F92F9B">
      <w:pPr>
        <w:pStyle w:val="ListParagraph"/>
        <w:numPr>
          <w:ilvl w:val="0"/>
          <w:numId w:val="7"/>
        </w:numPr>
        <w:spacing w:line="360" w:lineRule="auto"/>
        <w:jc w:val="both"/>
      </w:pPr>
      <w:r>
        <w:t xml:space="preserve">The traceability of the satellite-derived products in question is not always clear, whilst the definitions and assumptions associated with </w:t>
      </w:r>
      <w:r w:rsidR="00EF4B3C">
        <w:t>in situ</w:t>
      </w:r>
      <w:r>
        <w:t xml:space="preserve"> measurements do not always match those of the satellite-derived products themselves</w:t>
      </w:r>
    </w:p>
    <w:p w14:paraId="4C72822F" w14:textId="7EB43DAE" w:rsidR="00CF1018" w:rsidRDefault="00CF1018" w:rsidP="008B5784">
      <w:pPr>
        <w:jc w:val="both"/>
      </w:pPr>
    </w:p>
    <w:p w14:paraId="365E3C54" w14:textId="77777777" w:rsidR="00476577" w:rsidRDefault="00476577" w:rsidP="00434DEA">
      <w:pPr>
        <w:pStyle w:val="Heading1"/>
        <w:numPr>
          <w:ilvl w:val="0"/>
          <w:numId w:val="1"/>
        </w:numPr>
        <w:sectPr w:rsidR="00476577" w:rsidSect="00024274">
          <w:pgSz w:w="11906" w:h="16838"/>
          <w:pgMar w:top="1440" w:right="1440" w:bottom="1440" w:left="1440" w:header="708" w:footer="708" w:gutter="0"/>
          <w:cols w:space="708"/>
          <w:docGrid w:linePitch="360"/>
        </w:sectPr>
      </w:pPr>
    </w:p>
    <w:p w14:paraId="06E4FFB4" w14:textId="57CEDF6D" w:rsidR="0044586D" w:rsidRDefault="0044586D" w:rsidP="0083359B">
      <w:pPr>
        <w:pStyle w:val="Heading1"/>
      </w:pPr>
      <w:bookmarkStart w:id="50" w:name="_Toc43388068"/>
      <w:r>
        <w:lastRenderedPageBreak/>
        <w:t>Recommended Validation Strategy</w:t>
      </w:r>
      <w:bookmarkEnd w:id="50"/>
    </w:p>
    <w:p w14:paraId="510B5904" w14:textId="77777777" w:rsidR="00D06510" w:rsidRDefault="00D06510" w:rsidP="00476577">
      <w:pPr>
        <w:spacing w:after="0"/>
      </w:pPr>
    </w:p>
    <w:p w14:paraId="022D406C" w14:textId="43B93AAF" w:rsidR="00A67620" w:rsidRPr="004F2CD7" w:rsidRDefault="00A67620" w:rsidP="0083359B">
      <w:pPr>
        <w:pStyle w:val="Heading2"/>
      </w:pPr>
      <w:bookmarkStart w:id="51" w:name="_Toc43388069"/>
      <w:r w:rsidRPr="0083359B">
        <w:t>Sampling</w:t>
      </w:r>
      <w:r w:rsidRPr="004F2CD7">
        <w:t xml:space="preserve"> Strategy</w:t>
      </w:r>
      <w:bookmarkEnd w:id="51"/>
    </w:p>
    <w:p w14:paraId="340D2185" w14:textId="75DF8F40" w:rsidR="00A67620" w:rsidRDefault="00A67620" w:rsidP="005226EB">
      <w:pPr>
        <w:spacing w:after="0" w:line="360" w:lineRule="auto"/>
      </w:pPr>
    </w:p>
    <w:p w14:paraId="1C8773E7" w14:textId="7D7B1591" w:rsidR="00A67620" w:rsidRDefault="00A67620" w:rsidP="004F2CD7">
      <w:pPr>
        <w:spacing w:line="360" w:lineRule="auto"/>
        <w:jc w:val="both"/>
      </w:pPr>
      <w:r w:rsidRPr="009F496B">
        <w:t xml:space="preserve">For logistical reasons including the need to avoid destructive sampling, indirect, optical techniques are recommended to perform </w:t>
      </w:r>
      <w:r w:rsidR="00EF4B3C">
        <w:t>in situ</w:t>
      </w:r>
      <w:r w:rsidRPr="009F496B">
        <w:t xml:space="preserve"> measurements.</w:t>
      </w:r>
      <w:r w:rsidR="00500B18">
        <w:t xml:space="preserve"> </w:t>
      </w:r>
      <w:r w:rsidR="009F496B" w:rsidRPr="009F496B">
        <w:t xml:space="preserve">As discussed </w:t>
      </w:r>
      <w:r w:rsidR="009F496B" w:rsidRPr="00500B18">
        <w:t xml:space="preserve">in Section </w:t>
      </w:r>
      <w:r w:rsidR="009F496B" w:rsidRPr="00500B18">
        <w:fldChar w:fldCharType="begin"/>
      </w:r>
      <w:r w:rsidR="009F496B" w:rsidRPr="00500B18">
        <w:instrText xml:space="preserve"> REF _Ref2101292 \r \h  \* MERGEFORMAT </w:instrText>
      </w:r>
      <w:r w:rsidR="009F496B" w:rsidRPr="00500B18">
        <w:fldChar w:fldCharType="separate"/>
      </w:r>
      <w:r w:rsidR="00D533BE" w:rsidRPr="00500B18">
        <w:t>3.2.3</w:t>
      </w:r>
      <w:r w:rsidR="009F496B" w:rsidRPr="00500B18">
        <w:fldChar w:fldCharType="end"/>
      </w:r>
      <w:r w:rsidR="009F496B" w:rsidRPr="009F496B">
        <w:t xml:space="preserve">, the optimal number of individual </w:t>
      </w:r>
      <w:r w:rsidR="00EF4B3C">
        <w:t>in situ</w:t>
      </w:r>
      <w:r w:rsidR="009F496B" w:rsidRPr="009F496B">
        <w:t xml:space="preserve"> measurements</w:t>
      </w:r>
      <w:r w:rsidR="009F496B">
        <w:t xml:space="preserve"> within an ESU</w:t>
      </w:r>
      <w:r w:rsidR="009F496B" w:rsidRPr="009F496B">
        <w:t xml:space="preserve"> is driven by </w:t>
      </w:r>
      <w:r w:rsidR="009F496B">
        <w:t>its</w:t>
      </w:r>
      <w:r w:rsidR="009F496B" w:rsidRPr="009F496B">
        <w:t xml:space="preserve"> heterogeneity and the measurement footprint of the instrument.</w:t>
      </w:r>
      <w:r w:rsidR="00500B18">
        <w:t xml:space="preserve"> </w:t>
      </w:r>
      <w:r w:rsidR="009F496B" w:rsidRPr="009F496B">
        <w:t>In line with previous recommendations, it is recommended that each ESU should contain at least thirteen sampling points.</w:t>
      </w:r>
      <w:r w:rsidR="00500B18">
        <w:t xml:space="preserve"> </w:t>
      </w:r>
      <w:r w:rsidR="009F496B" w:rsidRPr="009F496B">
        <w:t xml:space="preserve">Additionally, it is recommended that several further measurements should be performed at randomly distributed sampling points, providing redundancy if there are any </w:t>
      </w:r>
      <w:r w:rsidR="005A3E81">
        <w:t xml:space="preserve">anomalous or </w:t>
      </w:r>
      <w:r w:rsidR="009F496B" w:rsidRPr="009F496B">
        <w:t xml:space="preserve">non-representative measurements that need to be discarded </w:t>
      </w:r>
      <w:r w:rsidR="005A3E81">
        <w:t>dur</w:t>
      </w:r>
      <w:r w:rsidR="009F496B" w:rsidRPr="009F496B">
        <w:t>in</w:t>
      </w:r>
      <w:r w:rsidR="005A3E81">
        <w:t>g</w:t>
      </w:r>
      <w:r w:rsidR="009F496B" w:rsidRPr="009F496B">
        <w:t xml:space="preserve"> quality control.</w:t>
      </w:r>
      <w:r w:rsidR="00500B18">
        <w:t xml:space="preserve"> </w:t>
      </w:r>
      <w:r w:rsidR="009F496B" w:rsidRPr="009F496B">
        <w:t xml:space="preserve">The centre of each ESU should be located using a handheld global positioning system (GPS) receiver, with a minimum accuracy of a few metres, enabling </w:t>
      </w:r>
      <w:r w:rsidR="005A3E81">
        <w:t>the ESU to</w:t>
      </w:r>
      <w:r w:rsidR="009F496B" w:rsidRPr="009F496B">
        <w:t xml:space="preserve"> be identified in the high spatial resolution imagery.</w:t>
      </w:r>
    </w:p>
    <w:p w14:paraId="62141FCA" w14:textId="557E230F" w:rsidR="00AC02E2" w:rsidRDefault="00AC02E2" w:rsidP="004F2CD7">
      <w:pPr>
        <w:spacing w:line="360" w:lineRule="auto"/>
        <w:jc w:val="both"/>
      </w:pPr>
      <w:r>
        <w:t xml:space="preserve">Although the heterogeneity of the site will determine the required number of ESUs, a minimum of </w:t>
      </w:r>
      <w:r w:rsidRPr="00AC02E2">
        <w:t>twenty are recommended.</w:t>
      </w:r>
      <w:r w:rsidR="00500B18">
        <w:t xml:space="preserve"> </w:t>
      </w:r>
      <w:r w:rsidRPr="00AC02E2">
        <w:t>ESUs should be distributed across the site, stratified by land cover to ensure all dominant vegetation types are represented.</w:t>
      </w:r>
      <w:r w:rsidR="00500B18">
        <w:t xml:space="preserve"> </w:t>
      </w:r>
      <w:r w:rsidRPr="00AC02E2">
        <w:t>In agricultural environments, it is recommended to sample at least five ESUs per field to characterize the intra-field variability</w:t>
      </w:r>
      <w:r>
        <w:t>.</w:t>
      </w:r>
      <w:r w:rsidR="00500B18">
        <w:t xml:space="preserve"> </w:t>
      </w:r>
      <w:r w:rsidRPr="00AC02E2">
        <w:t>To avoid adjacency effects, ESUs should be located at least 50 m from borders, and should be surrounded by pixels wi</w:t>
      </w:r>
      <w:r w:rsidR="005A3E81">
        <w:t>th the same type of vegetation</w:t>
      </w:r>
      <w:r w:rsidRPr="00AC02E2">
        <w:t>.</w:t>
      </w:r>
      <w:r w:rsidR="00500B18">
        <w:t xml:space="preserve"> </w:t>
      </w:r>
      <w:r w:rsidRPr="00AC02E2">
        <w:t>It is recommended that at least five additional ESUs are established over areas with little to no vegetation cover to constrain the lower boundary of the transfer function used for upscaling.</w:t>
      </w:r>
      <w:r w:rsidR="00500B18">
        <w:t xml:space="preserve"> </w:t>
      </w:r>
      <w:r w:rsidRPr="00AC02E2">
        <w:t>Knowledge of land cover characteristics will enable identification of these areas.</w:t>
      </w:r>
      <w:r w:rsidR="00500B18">
        <w:t xml:space="preserve"> </w:t>
      </w:r>
      <w:r w:rsidRPr="00AC02E2">
        <w:t xml:space="preserve">In agricultural </w:t>
      </w:r>
      <w:proofErr w:type="gramStart"/>
      <w:r w:rsidRPr="00AC02E2">
        <w:t>environments in particular, a</w:t>
      </w:r>
      <w:proofErr w:type="gramEnd"/>
      <w:r w:rsidRPr="00AC02E2">
        <w:t xml:space="preserve"> field survey may be required so that up-to-date information on land cover characteristics at the time of the campaign itself is available.</w:t>
      </w:r>
    </w:p>
    <w:p w14:paraId="729B63FB" w14:textId="77777777" w:rsidR="00A67620" w:rsidRDefault="00A67620" w:rsidP="005226EB">
      <w:pPr>
        <w:spacing w:after="0"/>
      </w:pPr>
    </w:p>
    <w:p w14:paraId="62B4A0FE" w14:textId="0A224615" w:rsidR="00A67620" w:rsidRPr="004F2CD7" w:rsidRDefault="00A67620" w:rsidP="0083359B">
      <w:pPr>
        <w:pStyle w:val="Heading2"/>
      </w:pPr>
      <w:bookmarkStart w:id="52" w:name="_Toc43388070"/>
      <w:r w:rsidRPr="004F2CD7">
        <w:t>Quality Control</w:t>
      </w:r>
      <w:bookmarkEnd w:id="52"/>
    </w:p>
    <w:p w14:paraId="5FE75531" w14:textId="2D14DCD5" w:rsidR="00A67620" w:rsidRDefault="00A67620" w:rsidP="00A67620"/>
    <w:p w14:paraId="14689CD7" w14:textId="2DEB45D6" w:rsidR="00A67620" w:rsidRDefault="00A67620" w:rsidP="004F2CD7">
      <w:pPr>
        <w:spacing w:line="360" w:lineRule="auto"/>
        <w:jc w:val="both"/>
      </w:pPr>
      <w:r>
        <w:t xml:space="preserve">Prior to upscaling, quality control should be carried out to screen both </w:t>
      </w:r>
      <w:r w:rsidR="00EF4B3C">
        <w:t>in situ</w:t>
      </w:r>
      <w:r>
        <w:t xml:space="preserve"> measurements and high spatial resolution imagery for poor quality data.</w:t>
      </w:r>
      <w:r w:rsidR="00500B18">
        <w:t xml:space="preserve"> </w:t>
      </w:r>
      <w:r>
        <w:t>In the case of the high spatial resolution imagery, the quality flags provided with the product should be used to discard pixels contaminated by radiometric saturation or cloud cover.</w:t>
      </w:r>
      <w:r w:rsidR="00500B18">
        <w:t xml:space="preserve"> </w:t>
      </w:r>
      <w:r>
        <w:t xml:space="preserve">In the case of the </w:t>
      </w:r>
      <w:proofErr w:type="gramStart"/>
      <w:r w:rsidR="00EF4B3C">
        <w:t>in situ</w:t>
      </w:r>
      <w:proofErr w:type="gramEnd"/>
      <w:r>
        <w:t xml:space="preserve"> measurements, any measurement with a value of greater than two standard deviations from the ESU mean should be examined to assess its validity.</w:t>
      </w:r>
      <w:r w:rsidR="00500B18">
        <w:t xml:space="preserve"> </w:t>
      </w:r>
      <w:r>
        <w:t>If the measurement is determined to be spurious, it should be discarded prior to further analysis</w:t>
      </w:r>
      <w:r w:rsidR="00E97766">
        <w:t xml:space="preserve"> </w:t>
      </w:r>
      <w:r w:rsidR="00E97766">
        <w:fldChar w:fldCharType="begin" w:fldLock="1"/>
      </w:r>
      <w:r w:rsidR="00EF4B3C">
        <w:instrText>ADDIN CSL_CITATION {"citationItems":[{"id":"ITEM-1","itemData":{"author":[{"dropping-particle":"","family":"Watmough","given":"Gary","non-dropping-particle":"","parse-names":false,"suffix":""},{"dropping-particle":"","family":"Dash","given":"Jadu","non-dropping-particle":"","parse-names":false,"suffix":""},{"dropping-particle":"","family":"Vuolo","given":"Francesco","non-dropping-particle":"","parse-names":false,"suffix":""},{"dropping-particle":"","family":"Frampton","given":"Will","non-dropping-particle":"","parse-names":false,"suffix":""}],"edition":"1","id":"ITEM-1","issued":{"date-parts":[["2011"]]},"publisher":"University of Southampton","publisher-place":"Southampton, United Kingdom","title":"Technical Note 2 - Validation Protocols","type":"book"},"uris":["http://www.mendeley.com/documents/?uuid=c12b3d7f-391c-4428-9644-0b1b2ad5699b","http://www.mendeley.com/documents/?uuid=5071c1d8-87b0-4444-8eae-eda5bbc03ee9"]}],"mendeley":{"formattedCitation":"[45]","plainTextFormattedCitation":"[45]","previouslyFormattedCitation":"[21]"},"properties":{"noteIndex":0},"schema":"https://github.com/citation-style-language/schema/raw/master/csl-citation.json"}</w:instrText>
      </w:r>
      <w:r w:rsidR="00E97766">
        <w:fldChar w:fldCharType="separate"/>
      </w:r>
      <w:r w:rsidR="00EF4B3C" w:rsidRPr="00EF4B3C">
        <w:rPr>
          <w:noProof/>
        </w:rPr>
        <w:t>[45]</w:t>
      </w:r>
      <w:r w:rsidR="00E97766">
        <w:fldChar w:fldCharType="end"/>
      </w:r>
      <w:r>
        <w:t>.</w:t>
      </w:r>
    </w:p>
    <w:p w14:paraId="633A742B" w14:textId="2DC3D155" w:rsidR="00A67620" w:rsidRPr="004F2CD7" w:rsidRDefault="00A67620" w:rsidP="0083359B">
      <w:pPr>
        <w:pStyle w:val="Heading2"/>
      </w:pPr>
      <w:bookmarkStart w:id="53" w:name="_Toc43388071"/>
      <w:r w:rsidRPr="004F2CD7">
        <w:lastRenderedPageBreak/>
        <w:t xml:space="preserve">Upscaling </w:t>
      </w:r>
      <w:r w:rsidRPr="0083359B">
        <w:t>Approach</w:t>
      </w:r>
      <w:bookmarkEnd w:id="53"/>
    </w:p>
    <w:p w14:paraId="4C426D64" w14:textId="15CB83E2" w:rsidR="00A67620" w:rsidRDefault="00A67620" w:rsidP="005226EB">
      <w:pPr>
        <w:spacing w:after="0"/>
      </w:pPr>
    </w:p>
    <w:p w14:paraId="70F19D96" w14:textId="6CA070FF" w:rsidR="00A67620" w:rsidRDefault="00A67620" w:rsidP="004F2CD7">
      <w:pPr>
        <w:spacing w:line="360" w:lineRule="auto"/>
        <w:jc w:val="both"/>
      </w:pPr>
      <w:r>
        <w:t>An upscaling approach based on the use of empirical transfer functions is recommended.</w:t>
      </w:r>
      <w:r w:rsidR="00500B18">
        <w:t xml:space="preserve"> </w:t>
      </w:r>
      <w:r w:rsidRPr="00A67620">
        <w:t>Althou</w:t>
      </w:r>
      <w:r>
        <w:t xml:space="preserve">gh more complex approaches </w:t>
      </w:r>
      <w:r w:rsidRPr="00A67620">
        <w:t>are available, they have several drawbacks</w:t>
      </w:r>
      <w:r>
        <w:t xml:space="preserve">, some of which are discussed in </w:t>
      </w:r>
      <w:r w:rsidRPr="00500B18">
        <w:t xml:space="preserve">Section </w:t>
      </w:r>
      <w:r w:rsidRPr="00500B18">
        <w:fldChar w:fldCharType="begin"/>
      </w:r>
      <w:r w:rsidRPr="00500B18">
        <w:instrText xml:space="preserve"> REF _Ref2100397 \r \h </w:instrText>
      </w:r>
      <w:r w:rsidR="004F2CD7" w:rsidRPr="00500B18">
        <w:instrText xml:space="preserve"> \* MERGEFORMAT </w:instrText>
      </w:r>
      <w:r w:rsidRPr="00500B18">
        <w:fldChar w:fldCharType="separate"/>
      </w:r>
      <w:r w:rsidR="00D533BE" w:rsidRPr="00500B18">
        <w:t>3.2.4</w:t>
      </w:r>
      <w:r w:rsidRPr="00500B18">
        <w:fldChar w:fldCharType="end"/>
      </w:r>
      <w:r w:rsidRPr="00500B18">
        <w:t>.</w:t>
      </w:r>
      <w:r w:rsidR="00500B18" w:rsidRPr="00500B18">
        <w:t xml:space="preserve"> </w:t>
      </w:r>
      <w:r w:rsidRPr="00500B18">
        <w:t>In</w:t>
      </w:r>
      <w:r w:rsidRPr="00A67620">
        <w:t xml:space="preserve"> the case of RTM inversion</w:t>
      </w:r>
      <w:r>
        <w:t xml:space="preserve"> and hybrid approaches</w:t>
      </w:r>
      <w:r w:rsidRPr="00A67620">
        <w:t xml:space="preserve">, these include the need to select and parameterise an RTM to accurately </w:t>
      </w:r>
      <w:r>
        <w:t>simulate the canopy of interest, whilst in the case of machine learning approaches, they include the need to sample an extensive number of ESUs.</w:t>
      </w:r>
    </w:p>
    <w:p w14:paraId="1D2D0AA1" w14:textId="14E2BCC2" w:rsidR="00A67620" w:rsidRPr="00A67620" w:rsidRDefault="00A67620" w:rsidP="004F2CD7">
      <w:pPr>
        <w:spacing w:line="360" w:lineRule="auto"/>
        <w:jc w:val="both"/>
      </w:pPr>
      <w:r w:rsidRPr="00A67620">
        <w:t xml:space="preserve">In terms of the transfer functions themselves, it is suggested by </w:t>
      </w:r>
      <w:r w:rsidR="00E97766">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2e1f38df-42eb-4dbf-adca-8e6da01664a9","http://www.mendeley.com/documents/?uuid=b8e0c10b-958a-3670-afd7-2891518db765"]}],"mendeley":{"formattedCitation":"[41]","plainTextFormattedCitation":"[41]","previouslyFormattedCitation":"[17]"},"properties":{"noteIndex":0},"schema":"https://github.com/citation-style-language/schema/raw/master/csl-citation.json"}</w:instrText>
      </w:r>
      <w:r w:rsidR="00E97766">
        <w:fldChar w:fldCharType="separate"/>
      </w:r>
      <w:r w:rsidR="00EF4B3C" w:rsidRPr="00EF4B3C">
        <w:rPr>
          <w:noProof/>
        </w:rPr>
        <w:t>[41]</w:t>
      </w:r>
      <w:r w:rsidR="00E97766">
        <w:fldChar w:fldCharType="end"/>
      </w:r>
      <w:r w:rsidRPr="00A67620">
        <w:t xml:space="preserve"> that a transfer function with two predictor variables would require 1024 samples to achieve the same precision as one based on a single predictor variable with only 10 samples.</w:t>
      </w:r>
      <w:r w:rsidR="00500B18">
        <w:t xml:space="preserve"> </w:t>
      </w:r>
      <w:r w:rsidRPr="00A67620">
        <w:t>As such, models with a single predictor variable should be favoured unless their performance is significantly worse than those with a greater number of predictor variables.</w:t>
      </w:r>
      <w:r w:rsidR="00500B18">
        <w:t xml:space="preserve"> </w:t>
      </w:r>
      <w:r w:rsidR="001E1279">
        <w:t>T</w:t>
      </w:r>
      <w:r w:rsidRPr="00A67620">
        <w:t>ransfer functions based on vegetation indices are therefore recommended.</w:t>
      </w:r>
      <w:r w:rsidR="00500B18">
        <w:t xml:space="preserve"> </w:t>
      </w:r>
      <w:r w:rsidR="00AE0E47">
        <w:t>Following the recommendations of</w:t>
      </w:r>
      <w:r w:rsidR="00500B18">
        <w:t xml:space="preserve"> </w:t>
      </w:r>
      <w:r w:rsidR="00E97766">
        <w:fldChar w:fldCharType="begin" w:fldLock="1"/>
      </w:r>
      <w:r w:rsidR="00EF4B3C">
        <w:instrText>ADDIN CSL_CITATION {"citationItems":[{"id":"ITEM-1","itemData":{"DOI":"10.5067/doc/ceoswgcv/lpv/lai.002","author":[{"dropping-particle":"","family":"Fernandes","given":"Richard","non-dropping-particle":"","parse-names":false,"suffix":""},{"dropping-particle":"","family":"Plummer","given":"Stephen","non-dropping-particle":"","parse-names":false,"suffix":""},{"dropping-particle":"","family":"Nightingale","given":"Joanne","non-dropping-particle":"","parse-names":false,"suffix":""},{"dropping-particle":"","family":"Baret","given":"Fred","non-dropping-particle":"","parse-names":false,"suffix":""},{"dropping-particle":"","family":"Camacho","given":"Fernando","non-dropping-particle":"","parse-names":false,"suffix":""},{"dropping-particle":"","family":"Fang","given":"Hongliang","non-dropping-particle":"","parse-names":false,"suffix":""},{"dropping-particle":"","family":"Garrigues","given":"Sebastien","non-dropping-particle":"","parse-names":false,"suffix":""},{"dropping-particle":"","family":"Gobron","given":"Nadine","non-dropping-particle":"","parse-names":false,"suffix":""},{"dropping-particle":"","family":"Lang","given":"Matt","non-dropping-particle":"","parse-names":false,"suffix":""},{"dropping-particle":"","family":"Lacaze","given":"Roselyn","non-dropping-particle":"","parse-names":false,"suffix":""},{"dropping-particle":"","family":"Leblanc","given":"Sylvain","non-dropping-particle":"","parse-names":false,"suffix":""},{"dropping-particle":"","family":"Meroni","given":"Michele","non-dropping-particle":"","parse-names":false,"suffix":""},{"dropping-particle":"","family":"Martinez","given":"Beatriz","non-dropping-particle":"","parse-names":false,"suffix":""},{"dropping-particle":"","family":"Nilson","given":"Tiit","non-dropping-particle":"","parse-names":false,"suffix":""},{"dropping-particle":"","family":"Pinty","given":"Bernard","non-dropping-particle":"","parse-names":false,"suffix":""},{"dropping-particle":"","family":"Pisek","given":"Jan","non-dropping-particle":"","parse-names":false,"suffix":""},{"dropping-particle":"","family":"Sonnentag","given":"Oliver","non-dropping-particle":"","parse-names":false,"suffix":""},{"dropping-particle":"","family":"Verger","given":"Alexandre","non-dropping-particle":"","parse-names":false,"suffix":""},{"dropping-particle":"","family":"Welles","given":"Jon","non-dropping-particle":"","parse-names":false,"suffix":""},{"dropping-particle":"","family":"Weiss","given":"Marie","non-dropping-particle":"","parse-names":false,"suffix":""},{"dropping-particle":"","family":"Widlowski","given":"Jean-Luc","non-dropping-particle":"","parse-names":false,"suffix":""},{"dropping-particle":"","family":"Schaepman-Strub","given":"Gabriela","non-dropping-particle":"","parse-names":false,"suffix":""},{"dropping-particle":"","family":"Roman","given":"Miguel","non-dropping-particle":"","parse-names":false,"suffix":""},{"dropping-particle":"","family":"Nickeson","given":"Jaime","non-dropping-particle":"","parse-names":false,"suffix":""}],"container-title":"Best Practice for Satellite-Derived Land Product Validation","edition":"2.0","editor":[{"dropping-particle":"","family":"Fernandes","given":"Richard","non-dropping-particle":"","parse-names":false,"suffix":""},{"dropping-particle":"","family":"Plummer","given":"Stephen","non-dropping-particle":"","parse-names":false,"suffix":""},{"dropping-particle":"","family":"Nightingale","given":"Joanne","non-dropping-particle":"","parse-names":false,"suffix":""}],"id":"ITEM-1","issued":{"date-parts":[["2014"]]},"publisher":"Land Product Validation Subgroup (Committee on Earth Observation Satellites Working Group on Calibration and Validation)","title":"Global Leaf Area Index Product Validation Good Practices","type":"chapter"},"uris":["http://www.mendeley.com/documents/?uuid=2e1f38df-42eb-4dbf-adca-8e6da01664a9","http://www.mendeley.com/documents/?uuid=b8e0c10b-958a-3670-afd7-2891518db765"]}],"mendeley":{"formattedCitation":"[41]","plainTextFormattedCitation":"[41]","previouslyFormattedCitation":"[17]"},"properties":{"noteIndex":0},"schema":"https://github.com/citation-style-language/schema/raw/master/csl-citation.json"}</w:instrText>
      </w:r>
      <w:r w:rsidR="00E97766">
        <w:fldChar w:fldCharType="separate"/>
      </w:r>
      <w:r w:rsidR="00EF4B3C" w:rsidRPr="00EF4B3C">
        <w:rPr>
          <w:noProof/>
        </w:rPr>
        <w:t>[41]</w:t>
      </w:r>
      <w:r w:rsidR="00E97766">
        <w:fldChar w:fldCharType="end"/>
      </w:r>
      <w:r w:rsidR="00AE0E47">
        <w:t>, v</w:t>
      </w:r>
      <w:r w:rsidRPr="00A67620">
        <w:t>egetation indices should be selected based on known relationships with the variable of interest, enabling the form of the transfer function to be selected a priori.</w:t>
      </w:r>
    </w:p>
    <w:p w14:paraId="3B8F27AE" w14:textId="6CD2411E" w:rsidR="00A67620" w:rsidRDefault="00A67620" w:rsidP="005226EB">
      <w:pPr>
        <w:spacing w:after="0"/>
      </w:pPr>
    </w:p>
    <w:p w14:paraId="20DBCD4C" w14:textId="04EE4C54" w:rsidR="00A67620" w:rsidRPr="004F2CD7" w:rsidRDefault="00A67620" w:rsidP="0083359B">
      <w:pPr>
        <w:pStyle w:val="Heading2"/>
      </w:pPr>
      <w:bookmarkStart w:id="54" w:name="_Toc43388072"/>
      <w:r w:rsidRPr="004F2CD7">
        <w:t>High Spatial Resolution Imagery</w:t>
      </w:r>
      <w:bookmarkEnd w:id="54"/>
    </w:p>
    <w:p w14:paraId="44F2F222" w14:textId="09420FAC" w:rsidR="00A67620" w:rsidRDefault="00A67620" w:rsidP="005226EB">
      <w:pPr>
        <w:spacing w:after="0" w:line="360" w:lineRule="auto"/>
      </w:pPr>
    </w:p>
    <w:p w14:paraId="13DEA85A" w14:textId="481CA112" w:rsidR="00A67620" w:rsidRDefault="001E1279" w:rsidP="004F2CD7">
      <w:pPr>
        <w:spacing w:line="360" w:lineRule="auto"/>
        <w:jc w:val="both"/>
      </w:pPr>
      <w:r>
        <w:t>I</w:t>
      </w:r>
      <w:r w:rsidR="00A67620">
        <w:t>t is recommended to use</w:t>
      </w:r>
      <w:r w:rsidR="00BF2073">
        <w:t xml:space="preserve"> </w:t>
      </w:r>
      <w:r w:rsidR="00A67620">
        <w:t>L1 Sentinel-2 MSI data (i.e. top-of-atmosphere reflectance)</w:t>
      </w:r>
      <w:r w:rsidR="00E91588">
        <w:t xml:space="preserve"> for upscaling</w:t>
      </w:r>
      <w:r w:rsidR="00A67620">
        <w:t>.</w:t>
      </w:r>
      <w:r w:rsidR="00500B18">
        <w:t xml:space="preserve"> </w:t>
      </w:r>
      <w:r w:rsidR="005E7275">
        <w:t xml:space="preserve">At the peak of the growing season, when </w:t>
      </w:r>
      <w:r w:rsidR="007F344F">
        <w:t>the condition of the vegetation</w:t>
      </w:r>
      <w:r w:rsidR="005E7275">
        <w:t xml:space="preserve"> can be considered stable, it is recommended that </w:t>
      </w:r>
      <w:r w:rsidR="007F344F">
        <w:t>MSI data</w:t>
      </w:r>
      <w:r w:rsidR="005E7275">
        <w:t xml:space="preserve"> are acquired within one week of </w:t>
      </w:r>
      <w:r w:rsidR="00EF4B3C">
        <w:t>in situ</w:t>
      </w:r>
      <w:r w:rsidR="005E7275">
        <w:t xml:space="preserve"> data collection</w:t>
      </w:r>
      <w:r w:rsidR="007F344F">
        <w:t xml:space="preserve"> </w:t>
      </w:r>
      <w:r w:rsidR="00E97766">
        <w:fldChar w:fldCharType="begin" w:fldLock="1"/>
      </w:r>
      <w:r w:rsidR="00EF4B3C">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products","type":"book"},"uris":["http://www.mendeley.com/documents/?uuid=fc06abf7-039c-34bc-bbaa-0665f539fcbf"]},{"id":"ITEM-2","itemData":{"DOI":"10.1016/j.rse.2010.11.004","ISBN":"0034-4257","ISSN":"00344257","abstract":"Canopy leaf area index (LAI), defined as the single-sided leaf area per unit ground area, is a quantitative measure of canopy foliar area. LAI is a controlling biophysical property of vegetation function, and quantifying LAI is thus vital for understanding energy, carbon and water fluxes between the land surface and the atmosphere. LAI is routinely available from Earth Observation (EO) instruments such as MODIS. However EO-derived estimates of LAI require validation before they are utilised by the ecosystem modelling community. Previous validation work on the MODIS collection 4 (c4) product suggested considerable error especially in forested biomes, and as a result significant modification of the MODIS LAI algorithm has been made for the most recent collection 5 (c5). As a result of these changes the current MODIS LAI product has not been widely validated. We present a validation of the MODIS c5 LAI product over a 121km 2 area of mixed coniferous forest in Oregon, USA, based on detailed ground measurements which we have upscaled using high resolution EO data. Our analysis suggests that c5 shows a much more realistic temporal LAI dynamic over c4 values for the site we examined. We find improved spatial consistency between the MODIS c5 LAI product and upscaled in situ measurements. However results also suggest that the c5 LAI product underestimates the upper range of upscaled in situ LAI measurements. ?? 2010 Elsevier Inc.","author":[{"dropping-particle":"","family":"Kauwe","given":"M.G.","non-dropping-particle":"De","parse-names":false,"suffix":""},{"dropping-particle":"","family":"Disney","given":"M.I.","non-dropping-particle":"","parse-names":false,"suffix":""},{"dropping-particle":"","family":"Quaife","given":"T.","non-dropping-particle":"","parse-names":false,"suffix":""},{"dropping-particle":"","family":"Lewis","given":"P.","non-dropping-particle":"","parse-names":false,"suffix":""},{"dropping-particle":"","family":"Williams","given":"M.","non-dropping-particle":"","parse-names":false,"suffix":""}],"container-title":"Remote Sensing of Environment","id":"ITEM-2","issue":"2","issued":{"date-parts":[["2011","2","15"]]},"page":"767-780","title":"An assessment of the MODIS collection 5 leaf area index product for a region of mixed coniferous forest","type":"article-journal","volume":"115"},"uris":["http://www.mendeley.com/documents/?uuid=1ad6b294-9433-4c99-a05e-cb2136fd3408"]}],"mendeley":{"formattedCitation":"[10], [54]","plainTextFormattedCitation":"[10], [54]","previouslyFormattedCitation":"[10], [54]"},"properties":{"noteIndex":0},"schema":"https://github.com/citation-style-language/schema/raw/master/csl-citation.json"}</w:instrText>
      </w:r>
      <w:r w:rsidR="00E97766">
        <w:fldChar w:fldCharType="separate"/>
      </w:r>
      <w:r w:rsidR="00E97766">
        <w:rPr>
          <w:noProof/>
        </w:rPr>
        <w:t>[10], [54]</w:t>
      </w:r>
      <w:r w:rsidR="00E97766">
        <w:fldChar w:fldCharType="end"/>
      </w:r>
      <w:r w:rsidR="005E7275">
        <w:t>.</w:t>
      </w:r>
      <w:r w:rsidR="00500B18">
        <w:t xml:space="preserve"> </w:t>
      </w:r>
      <w:r w:rsidR="005E7275">
        <w:t xml:space="preserve">If </w:t>
      </w:r>
      <w:r w:rsidR="00EF4B3C">
        <w:t>in situ</w:t>
      </w:r>
      <w:r w:rsidR="005E7275">
        <w:t xml:space="preserve"> data are collected during the start or end of the growing season</w:t>
      </w:r>
      <w:r w:rsidR="007F344F">
        <w:t>, when more rapid changes in biophysical or biochemical characteristics may occur</w:t>
      </w:r>
      <w:r w:rsidR="005E7275">
        <w:t>, a more restrictive temporal constraint will be required</w:t>
      </w:r>
      <w:r w:rsidR="007F344F">
        <w:t>.</w:t>
      </w:r>
      <w:r w:rsidR="00500B18">
        <w:t xml:space="preserve"> </w:t>
      </w:r>
      <w:r w:rsidR="007F344F">
        <w:t>This</w:t>
      </w:r>
      <w:r w:rsidR="005E7275">
        <w:t xml:space="preserve"> will depend on the phenological characteristics of the site itself.</w:t>
      </w:r>
      <w:r w:rsidR="00500B18">
        <w:t xml:space="preserve"> </w:t>
      </w:r>
      <w:r w:rsidR="00A67620">
        <w:t>The rationale for using L1 data is that per-pixel uncertainty information is not available for atmospherically corrected L2 surface reflectance products produced using the Sen2Cor algorithm, whereas per-pixel uncertainties can be easily derived for L1 MSI data using the Radiometric Uncertainty Tool (RUT) developed by</w:t>
      </w:r>
      <w:r w:rsidR="00476577">
        <w:t xml:space="preserve"> </w:t>
      </w:r>
      <w:r w:rsidR="00E97766">
        <w:fldChar w:fldCharType="begin" w:fldLock="1"/>
      </w:r>
      <w:r w:rsidR="00EF4B3C">
        <w:instrText>ADDIN CSL_CITATION {"citationItems":[{"id":"ITEM-1","itemData":{"DOI":"10.3390/rs9020178","ISSN":"2072-4292","abstract":"In the framework of the European Copernicus programme, the European Space Agency (ESA) has launched the Sentinel-2 (S2) Earth Observation (EO) mission which provides optical high spatial resolution imagery over land and coastal areas. As part of this mission, a tool (named S2-RUT, from Sentinel-2 Radiometric Uncertainty Tool) has been developed. The tool estimates the radiometric uncertainty associated with each pixel in the top-of-atmosphere (TOA) reflectance factor images provided by ESA. This paper describes the design and development process of the initial version of the S2-RUT tool. The initial design step describes the S2 radiometric model where a set of uncertainty contributors are identified. Each of the uncertainty contributors is specified by reviewing the pre- and post-launch characterisation. The identified uncertainty contributors are combined following the guidelines in the ‘Guide to Expression of Uncertainty in Measurement’ (GUM) model and this combination model is further validated by comparing the results to a multivariate Monte Carlo Method (MCM). In addition, the correlation between the different uncertainty contributions and the impact of simplifications in the combination model have been studied. The software design of the tool prioritises an efficient strategy to read the TOA reflectance factor images, extract the auxiliary information from the metadata in the satellite products and the codification of the resulting uncertainty image. This initial version of the tool has been implemented and integrated as part of the Sentinels Application Platform (SNAP).","author":[{"dropping-particle":"","family":"Gorroño","given":"Javier","non-dropping-particle":"","parse-names":false,"suffix":""},{"dropping-particle":"","family":"Fomferra","given":"Norman","non-dropping-particle":"","parse-names":false,"suffix":""},{"dropping-particle":"","family":"Peters","given":"Marco","non-dropping-particle":"","parse-names":false,"suffix":""},{"dropping-particle":"","family":"Gascon","given":"Ferran","non-dropping-particle":"","parse-names":false,"suffix":""},{"dropping-particle":"","family":"Underwood","given":"Craig","non-dropping-particle":"","parse-names":false,"suffix":""},{"dropping-particle":"","family":"Fox","given":"Nigel","non-dropping-particle":"","parse-names":false,"suffix":""},{"dropping-particle":"","family":"Kirches","given":"Grit","non-dropping-particle":"","parse-names":false,"suffix":""},{"dropping-particle":"","family":"Brockmann","given":"Carsten","non-dropping-particle":"","parse-names":false,"suffix":""}],"container-title":"Remote Sensing","id":"ITEM-1","issue":"2","issued":{"date-parts":[["2017","2","21"]]},"page":"178","title":"A Radiometric Uncertainty Tool for the Sentinel 2 Mission","type":"article-journal","volume":"9"},"uris":["http://www.mendeley.com/documents/?uuid=fb581227-5d66-43ba-a183-d8a5fae54808","http://www.mendeley.com/documents/?uuid=f9d78627-f8e0-42b7-901a-4cba827edbaa"]}],"mendeley":{"formattedCitation":"[55]","plainTextFormattedCitation":"[55]","previouslyFormattedCitation":"[55]"},"properties":{"noteIndex":0},"schema":"https://github.com/citation-style-language/schema/raw/master/csl-citation.json"}</w:instrText>
      </w:r>
      <w:r w:rsidR="00E97766">
        <w:fldChar w:fldCharType="separate"/>
      </w:r>
      <w:r w:rsidR="00E97766">
        <w:rPr>
          <w:noProof/>
        </w:rPr>
        <w:t>[55]</w:t>
      </w:r>
      <w:r w:rsidR="00E97766">
        <w:fldChar w:fldCharType="end"/>
      </w:r>
      <w:r w:rsidR="00A67620">
        <w:t>.</w:t>
      </w:r>
      <w:r w:rsidR="00500B18">
        <w:t xml:space="preserve"> </w:t>
      </w:r>
      <w:r w:rsidR="00A67620">
        <w:t xml:space="preserve">As described in </w:t>
      </w:r>
      <w:r w:rsidR="00A67620" w:rsidRPr="00500B18">
        <w:t xml:space="preserve">Section </w:t>
      </w:r>
      <w:r w:rsidR="00A67620" w:rsidRPr="00500B18">
        <w:fldChar w:fldCharType="begin"/>
      </w:r>
      <w:r w:rsidR="00A67620" w:rsidRPr="00500B18">
        <w:instrText xml:space="preserve"> REF _Ref2100397 \r \h </w:instrText>
      </w:r>
      <w:r w:rsidR="004F2CD7" w:rsidRPr="00500B18">
        <w:instrText xml:space="preserve"> \* MERGEFORMAT </w:instrText>
      </w:r>
      <w:r w:rsidR="00A67620" w:rsidRPr="00500B18">
        <w:fldChar w:fldCharType="separate"/>
      </w:r>
      <w:r w:rsidR="00D533BE" w:rsidRPr="00500B18">
        <w:t>3.2.4</w:t>
      </w:r>
      <w:r w:rsidR="00A67620" w:rsidRPr="00500B18">
        <w:fldChar w:fldCharType="end"/>
      </w:r>
      <w:r w:rsidR="00A67620" w:rsidRPr="00500B18">
        <w:t>, because</w:t>
      </w:r>
      <w:r w:rsidR="00A67620">
        <w:t xml:space="preserve"> of the empirical nature of the transfer functions, atmospheric correction is not mandatory.</w:t>
      </w:r>
      <w:r w:rsidR="00500B18">
        <w:t xml:space="preserve"> </w:t>
      </w:r>
      <w:r w:rsidR="00A67620">
        <w:t>The RUT currently incorporates the following uncertainty sources:</w:t>
      </w:r>
    </w:p>
    <w:p w14:paraId="5FED3CE4" w14:textId="77777777" w:rsidR="00A67620" w:rsidRDefault="00A67620" w:rsidP="004F2CD7">
      <w:pPr>
        <w:pStyle w:val="ListParagraph"/>
        <w:numPr>
          <w:ilvl w:val="0"/>
          <w:numId w:val="6"/>
        </w:numPr>
        <w:spacing w:line="360" w:lineRule="auto"/>
        <w:jc w:val="both"/>
      </w:pPr>
      <w:r>
        <w:t>Instrument noise (shot, thermal etc. noise introduced by the detectors)</w:t>
      </w:r>
    </w:p>
    <w:p w14:paraId="2B45D983" w14:textId="77777777" w:rsidR="00A67620" w:rsidRDefault="00A67620" w:rsidP="004F2CD7">
      <w:pPr>
        <w:pStyle w:val="ListParagraph"/>
        <w:numPr>
          <w:ilvl w:val="0"/>
          <w:numId w:val="6"/>
        </w:numPr>
        <w:spacing w:line="360" w:lineRule="auto"/>
        <w:jc w:val="both"/>
      </w:pPr>
      <w:r>
        <w:t>Out-of-field straylight systematic (telescope out-of-field light that results in a positive bias)</w:t>
      </w:r>
    </w:p>
    <w:p w14:paraId="31B63289" w14:textId="77777777" w:rsidR="00A67620" w:rsidRDefault="00A67620" w:rsidP="004F2CD7">
      <w:pPr>
        <w:pStyle w:val="ListParagraph"/>
        <w:numPr>
          <w:ilvl w:val="0"/>
          <w:numId w:val="6"/>
        </w:numPr>
        <w:spacing w:line="360" w:lineRule="auto"/>
        <w:jc w:val="both"/>
      </w:pPr>
      <w:r>
        <w:t>Crosstalk (focal plane (optical) and front-end electronics (electrical) inter-band signal)</w:t>
      </w:r>
    </w:p>
    <w:p w14:paraId="35BD713C" w14:textId="77777777" w:rsidR="00A67620" w:rsidRDefault="00A67620" w:rsidP="004F2CD7">
      <w:pPr>
        <w:pStyle w:val="ListParagraph"/>
        <w:numPr>
          <w:ilvl w:val="0"/>
          <w:numId w:val="6"/>
        </w:numPr>
        <w:spacing w:line="360" w:lineRule="auto"/>
        <w:jc w:val="both"/>
      </w:pPr>
      <w:r>
        <w:t>Analogue-to-digital conversion quantisation (at MSI’s video chain unit)</w:t>
      </w:r>
    </w:p>
    <w:p w14:paraId="3FADDEDE" w14:textId="77777777" w:rsidR="00A67620" w:rsidRDefault="00A67620" w:rsidP="004F2CD7">
      <w:pPr>
        <w:pStyle w:val="ListParagraph"/>
        <w:numPr>
          <w:ilvl w:val="0"/>
          <w:numId w:val="6"/>
        </w:numPr>
        <w:spacing w:line="360" w:lineRule="auto"/>
        <w:jc w:val="both"/>
      </w:pPr>
      <w:r>
        <w:t>Dark signal stability (residual thermal fluctuations of the detector offset along the orbit)</w:t>
      </w:r>
    </w:p>
    <w:p w14:paraId="0C4BBCD9" w14:textId="77777777" w:rsidR="00A67620" w:rsidRDefault="00A67620" w:rsidP="004F2CD7">
      <w:pPr>
        <w:pStyle w:val="ListParagraph"/>
        <w:numPr>
          <w:ilvl w:val="0"/>
          <w:numId w:val="6"/>
        </w:numPr>
        <w:spacing w:line="360" w:lineRule="auto"/>
        <w:jc w:val="both"/>
      </w:pPr>
      <w:r>
        <w:t>Gamma knowledge (knowledge on the correction for non-linearity and non-uniformity)</w:t>
      </w:r>
    </w:p>
    <w:p w14:paraId="50988E46" w14:textId="77777777" w:rsidR="00A67620" w:rsidRDefault="00A67620" w:rsidP="004F2CD7">
      <w:pPr>
        <w:pStyle w:val="ListParagraph"/>
        <w:numPr>
          <w:ilvl w:val="0"/>
          <w:numId w:val="6"/>
        </w:numPr>
        <w:spacing w:line="360" w:lineRule="auto"/>
        <w:jc w:val="both"/>
      </w:pPr>
      <w:r>
        <w:lastRenderedPageBreak/>
        <w:t>Diffuser absolute knowledge (knowledge on the diffuser reflectance factor)</w:t>
      </w:r>
    </w:p>
    <w:p w14:paraId="0796EB2D" w14:textId="77777777" w:rsidR="00A67620" w:rsidRDefault="00A67620" w:rsidP="004F2CD7">
      <w:pPr>
        <w:pStyle w:val="ListParagraph"/>
        <w:numPr>
          <w:ilvl w:val="0"/>
          <w:numId w:val="6"/>
        </w:numPr>
        <w:spacing w:line="360" w:lineRule="auto"/>
        <w:jc w:val="both"/>
      </w:pPr>
      <w:r>
        <w:t>Diffuser temporal knowledge (estimated effect of diffuser degradation)</w:t>
      </w:r>
    </w:p>
    <w:p w14:paraId="43C8C55C" w14:textId="77777777" w:rsidR="00A67620" w:rsidRDefault="00A67620" w:rsidP="004F2CD7">
      <w:pPr>
        <w:pStyle w:val="ListParagraph"/>
        <w:numPr>
          <w:ilvl w:val="0"/>
          <w:numId w:val="6"/>
        </w:numPr>
        <w:spacing w:line="360" w:lineRule="auto"/>
        <w:jc w:val="both"/>
      </w:pPr>
      <w:r>
        <w:t xml:space="preserve">Diffuser cosine effect (cosine correction knowledge </w:t>
      </w:r>
      <w:proofErr w:type="gramStart"/>
      <w:r>
        <w:t>as a consequence of</w:t>
      </w:r>
      <w:proofErr w:type="gramEnd"/>
      <w:r>
        <w:t xml:space="preserve"> angular noise)</w:t>
      </w:r>
    </w:p>
    <w:p w14:paraId="0848341D" w14:textId="77777777" w:rsidR="00A67620" w:rsidRDefault="00A67620" w:rsidP="004F2CD7">
      <w:pPr>
        <w:pStyle w:val="ListParagraph"/>
        <w:numPr>
          <w:ilvl w:val="0"/>
          <w:numId w:val="6"/>
        </w:numPr>
        <w:spacing w:line="360" w:lineRule="auto"/>
        <w:jc w:val="both"/>
      </w:pPr>
      <w:r>
        <w:t>Diffuser straylight residual (residual of the correction of the stray-light during in-flight diffuser calibration)</w:t>
      </w:r>
    </w:p>
    <w:p w14:paraId="55040045" w14:textId="58C91376" w:rsidR="00A67620" w:rsidRDefault="00A67620" w:rsidP="004F2CD7">
      <w:pPr>
        <w:pStyle w:val="ListParagraph"/>
        <w:numPr>
          <w:ilvl w:val="0"/>
          <w:numId w:val="6"/>
        </w:numPr>
        <w:spacing w:line="360" w:lineRule="auto"/>
        <w:jc w:val="both"/>
      </w:pPr>
      <w:r>
        <w:t>L1C image quantisation (effect of the finite resolution of the L1C reflectance factor)</w:t>
      </w:r>
    </w:p>
    <w:p w14:paraId="34FC7AA6" w14:textId="2BABC5BB" w:rsidR="00A62E2B" w:rsidRDefault="00A62E2B" w:rsidP="004F2CD7">
      <w:pPr>
        <w:spacing w:line="360" w:lineRule="auto"/>
        <w:jc w:val="both"/>
      </w:pPr>
      <w:r>
        <w:t>If data from bands with different spatial resolutions (i.e. 10 m and 20 m) are to be used, the higher spatial resolution band should be aggregated to that of the lower spatial resolution one.</w:t>
      </w:r>
      <w:r w:rsidR="00500B18">
        <w:t xml:space="preserve"> </w:t>
      </w:r>
      <w:r>
        <w:t>To correctly propagate the radiometric uncertainties through the aggregation procedure, the ‘select/deselect’ approach described by</w:t>
      </w:r>
      <w:r w:rsidR="005C26B6">
        <w:t xml:space="preserve"> </w:t>
      </w:r>
      <w:r w:rsidR="00E97766">
        <w:fldChar w:fldCharType="begin" w:fldLock="1"/>
      </w:r>
      <w:r w:rsidR="00EF4B3C">
        <w:instrText>ADDIN CSL_CITATION {"citationItems":[{"id":"ITEM-1","itemData":{"DOI":"10.1080/22797254.2018.1471739","ISSN":"2279-7254","author":[{"dropping-particle":"","family":"Gorroño","given":"Javier","non-dropping-particle":"","parse-names":false,"suffix":""},{"dropping-particle":"","family":"Hunt","given":"Samuel","non-dropping-particle":"","parse-names":false,"suffix":""},{"dropping-particle":"","family":"Scanlon","given":"Tracy","non-dropping-particle":"","parse-names":false,"suffix":""},{"dropping-particle":"","family":"Banks","given":"Andrew","non-dropping-particle":"","parse-names":false,"suffix":""},{"dropping-particle":"","family":"Fox","given":"Nigel","non-dropping-particle":"","parse-names":false,"suffix":""},{"dropping-particle":"","family":"Woolliams","given":"Emma","non-dropping-particle":"","parse-names":false,"suffix":""},{"dropping-particle":"","family":"Underwood","given":"Craig","non-dropping-particle":"","parse-names":false,"suffix":""},{"dropping-particle":"","family":"Gascon","given":"Ferran","non-dropping-particle":"","parse-names":false,"suffix":""},{"dropping-particle":"","family":"Peters","given":"Marco","non-dropping-particle":"","parse-names":false,"suffix":""},{"dropping-particle":"","family":"Fomferra","given":"Norman","non-dropping-particle":"","parse-names":false,"suffix":""},{"dropping-particle":"","family":"Govaerts","given":"Yves","non-dropping-particle":"","parse-names":false,"suffix":""},{"dropping-particle":"","family":"Lamquin","given":"Nicolas","non-dropping-particle":"","parse-names":false,"suffix":""},{"dropping-particle":"","family":"Bruniquel","given":"Veronique","non-dropping-particle":"","parse-names":false,"suffix":""}],"container-title":"European Journal of Remote Sensing","id":"ITEM-1","issue":"1","issued":{"date-parts":[["2018","1"]]},"page":"650-666","publisher":"Taylor &amp; Francis","title":"Providing uncertainty estimates of the Sentinel-2 top-of-atmosphere measurements for radiometric validation activities","type":"article-journal","volume":"51"},"uris":["http://www.mendeley.com/documents/?uuid=35bb61ac-b44a-42c1-9799-ece340871912"]}],"mendeley":{"formattedCitation":"[56]","plainTextFormattedCitation":"[56]","previouslyFormattedCitation":"[56]"},"properties":{"noteIndex":0},"schema":"https://github.com/citation-style-language/schema/raw/master/csl-citation.json"}</w:instrText>
      </w:r>
      <w:r w:rsidR="00E97766">
        <w:fldChar w:fldCharType="separate"/>
      </w:r>
      <w:r w:rsidR="00E97766">
        <w:rPr>
          <w:noProof/>
        </w:rPr>
        <w:t>[56]</w:t>
      </w:r>
      <w:r w:rsidR="00E97766">
        <w:fldChar w:fldCharType="end"/>
      </w:r>
      <w:r>
        <w:t xml:space="preserve"> should be adopted.</w:t>
      </w:r>
      <w:r w:rsidR="00500B18">
        <w:t xml:space="preserve"> </w:t>
      </w:r>
      <w:r>
        <w:t>This involves running the RUT twice, enabling uncertainty sources that are uncorrelated in space to be separated from those that are correlated in space.</w:t>
      </w:r>
      <w:r w:rsidR="00500B18">
        <w:t xml:space="preserve"> </w:t>
      </w:r>
      <w:r>
        <w:t xml:space="preserve">The mean of the two outputs (i.e. </w:t>
      </w:r>
      <w:r w:rsidR="00F71FF2">
        <w:t>all uncertainty components and only those correlated in space</w:t>
      </w:r>
      <w:r>
        <w:t>) should then be taken as the radiometric uncertainty in the aggregated pixel values.</w:t>
      </w:r>
    </w:p>
    <w:p w14:paraId="465FE58B" w14:textId="6D435ABC" w:rsidR="00A67620" w:rsidRDefault="00A67620" w:rsidP="005226EB">
      <w:pPr>
        <w:spacing w:after="0"/>
      </w:pPr>
    </w:p>
    <w:p w14:paraId="4BFCDC67" w14:textId="4A828A41" w:rsidR="00A67620" w:rsidRPr="004F2CD7" w:rsidRDefault="00A67620" w:rsidP="0083359B">
      <w:pPr>
        <w:pStyle w:val="Heading2"/>
      </w:pPr>
      <w:bookmarkStart w:id="55" w:name="_Toc43388073"/>
      <w:r w:rsidRPr="004F2CD7">
        <w:t xml:space="preserve">Incorporation </w:t>
      </w:r>
      <w:r w:rsidRPr="0083359B">
        <w:t>of</w:t>
      </w:r>
      <w:r w:rsidRPr="004F2CD7">
        <w:t xml:space="preserve"> Uncertainties in Upscaling</w:t>
      </w:r>
      <w:bookmarkEnd w:id="55"/>
    </w:p>
    <w:p w14:paraId="5C22BD0B" w14:textId="77777777" w:rsidR="00A67620" w:rsidRDefault="00A67620" w:rsidP="005226EB">
      <w:pPr>
        <w:spacing w:after="0"/>
        <w:jc w:val="both"/>
      </w:pPr>
    </w:p>
    <w:p w14:paraId="0820E79C" w14:textId="21E8BCFF" w:rsidR="00A67620" w:rsidRDefault="00A67620" w:rsidP="004F2CD7">
      <w:pPr>
        <w:spacing w:line="360" w:lineRule="auto"/>
        <w:jc w:val="both"/>
      </w:pPr>
      <w:r>
        <w:t xml:space="preserve">Although upscaling approaches based on the use of empirical transfer functions are well established, few studies have explicitly considered </w:t>
      </w:r>
      <w:r w:rsidR="00EF4B3C">
        <w:t>in situ</w:t>
      </w:r>
      <w:r>
        <w:t xml:space="preserve"> measurement uncertainties, or uncertainties in the high spatial resolution imagery.</w:t>
      </w:r>
      <w:r w:rsidR="00500B18">
        <w:t xml:space="preserve"> </w:t>
      </w:r>
      <w:r>
        <w:t xml:space="preserve">As discussed </w:t>
      </w:r>
      <w:r w:rsidRPr="00500B18">
        <w:t xml:space="preserve">in Section </w:t>
      </w:r>
      <w:r w:rsidRPr="00500B18">
        <w:fldChar w:fldCharType="begin"/>
      </w:r>
      <w:r w:rsidRPr="00500B18">
        <w:instrText xml:space="preserve"> REF _Ref2100397 \r \h </w:instrText>
      </w:r>
      <w:r w:rsidR="004F2CD7" w:rsidRPr="00500B18">
        <w:instrText xml:space="preserve"> \* MERGEFORMAT </w:instrText>
      </w:r>
      <w:r w:rsidRPr="00500B18">
        <w:fldChar w:fldCharType="separate"/>
      </w:r>
      <w:r w:rsidR="00D533BE" w:rsidRPr="00500B18">
        <w:t>3.2.4</w:t>
      </w:r>
      <w:r w:rsidRPr="00500B18">
        <w:fldChar w:fldCharType="end"/>
      </w:r>
      <w:r w:rsidRPr="00500B18">
        <w:t xml:space="preserve"> current</w:t>
      </w:r>
      <w:r>
        <w:t xml:space="preserve"> approaches aim to establish transfer functions that are robust to outliers, making use of methods such as the </w:t>
      </w:r>
      <w:proofErr w:type="spellStart"/>
      <w:r>
        <w:t>Thiel</w:t>
      </w:r>
      <w:proofErr w:type="spellEnd"/>
      <w:r>
        <w:t>-Sen estimator IRLS, but the individual uncertainties associated to each data point are not used to inform the fitting procedure.</w:t>
      </w:r>
      <w:r w:rsidR="00500B18">
        <w:t xml:space="preserve"> </w:t>
      </w:r>
      <w:r>
        <w:t>To address this, a modified upscaling approach is recommended.</w:t>
      </w:r>
      <w:r w:rsidR="00500B18">
        <w:t xml:space="preserve"> </w:t>
      </w:r>
    </w:p>
    <w:p w14:paraId="2030FD12" w14:textId="41BCC93E" w:rsidR="00A67620" w:rsidRDefault="00A67620" w:rsidP="004F2CD7">
      <w:pPr>
        <w:spacing w:line="360" w:lineRule="auto"/>
        <w:jc w:val="both"/>
      </w:pPr>
      <w:r>
        <w:t xml:space="preserve">Making use of the per-pixel uncertainties associated with the high spatial resolution imagery (i.e. provided by the Sentinel-2 RUT) in addition to those associated with the </w:t>
      </w:r>
      <w:r w:rsidR="00EF4B3C">
        <w:t>in situ</w:t>
      </w:r>
      <w:r>
        <w:t xml:space="preserve"> measurements (see the </w:t>
      </w:r>
      <w:r>
        <w:rPr>
          <w:lang w:eastAsia="en-GB"/>
        </w:rPr>
        <w:t>‘FRM Protocols and Procedures for Surface Reflectance, Fraction of Absorbed Photosynthetically Active Radiation and Canopy Chlorophyll Content (FPP)’ document</w:t>
      </w:r>
      <w:r>
        <w:t>), it is recommended that the transfer function is established using orthogonal distance regression (ODR).</w:t>
      </w:r>
      <w:r w:rsidR="00500B18">
        <w:t xml:space="preserve"> </w:t>
      </w:r>
      <w:r>
        <w:t xml:space="preserve">Unlike other methods, ODR </w:t>
      </w:r>
      <w:proofErr w:type="gramStart"/>
      <w:r>
        <w:t>is able to</w:t>
      </w:r>
      <w:proofErr w:type="gramEnd"/>
      <w:r>
        <w:t xml:space="preserve"> incorporate uncertainties in both predictor and response variables.</w:t>
      </w:r>
      <w:r w:rsidR="00500B18">
        <w:t xml:space="preserve"> </w:t>
      </w:r>
      <w:r>
        <w:t>When applied, uncertainties in the regression coefficients and high spatial resolution imagery should be propagated through the transfer function, enabling per-pixel uncertainties to be obtained along with the high spatial resolution reference map itself.</w:t>
      </w:r>
    </w:p>
    <w:p w14:paraId="5283A54C" w14:textId="77777777" w:rsidR="0083359B" w:rsidRDefault="0083359B" w:rsidP="0083359B">
      <w:pPr>
        <w:spacing w:after="0" w:line="360" w:lineRule="auto"/>
        <w:jc w:val="both"/>
      </w:pPr>
    </w:p>
    <w:p w14:paraId="668AC94A" w14:textId="0A9D2343" w:rsidR="00A67620" w:rsidRPr="004F2CD7" w:rsidRDefault="00A67620" w:rsidP="0083359B">
      <w:pPr>
        <w:pStyle w:val="Heading2"/>
      </w:pPr>
      <w:bookmarkStart w:id="56" w:name="_Toc43388074"/>
      <w:r w:rsidRPr="004F2CD7">
        <w:lastRenderedPageBreak/>
        <w:t>Derivation of Quality Flags</w:t>
      </w:r>
      <w:bookmarkEnd w:id="56"/>
    </w:p>
    <w:p w14:paraId="495E769D" w14:textId="64AF6832" w:rsidR="00A67620" w:rsidRDefault="00A67620" w:rsidP="005226EB">
      <w:pPr>
        <w:spacing w:after="0" w:line="360" w:lineRule="auto"/>
      </w:pPr>
    </w:p>
    <w:p w14:paraId="0BE9F916" w14:textId="562E17ED" w:rsidR="005B4404" w:rsidRDefault="005B04B1" w:rsidP="005226EB">
      <w:pPr>
        <w:spacing w:line="360" w:lineRule="auto"/>
        <w:jc w:val="both"/>
      </w:pPr>
      <w:r>
        <w:t>It</w:t>
      </w:r>
      <w:r w:rsidR="00A67620">
        <w:t xml:space="preserve"> is recommended that a quality flag layer is provided along with the high spatial resolution reference map.</w:t>
      </w:r>
      <w:r w:rsidR="00500B18">
        <w:t xml:space="preserve"> </w:t>
      </w:r>
      <w:r w:rsidR="00A67620">
        <w:t xml:space="preserve">As described </w:t>
      </w:r>
      <w:r w:rsidR="00A67620" w:rsidRPr="00500B18">
        <w:t xml:space="preserve">in Section </w:t>
      </w:r>
      <w:r w:rsidR="00A67620" w:rsidRPr="00500B18">
        <w:fldChar w:fldCharType="begin"/>
      </w:r>
      <w:r w:rsidR="00A67620" w:rsidRPr="00500B18">
        <w:instrText xml:space="preserve"> REF _Ref2100566 \r \h </w:instrText>
      </w:r>
      <w:r w:rsidR="004F2CD7" w:rsidRPr="00500B18">
        <w:instrText xml:space="preserve"> \* MERGEFORMAT </w:instrText>
      </w:r>
      <w:r w:rsidR="00A67620" w:rsidRPr="00500B18">
        <w:fldChar w:fldCharType="separate"/>
      </w:r>
      <w:r w:rsidR="00D533BE" w:rsidRPr="00500B18">
        <w:t>3.2.5</w:t>
      </w:r>
      <w:r w:rsidR="00A67620" w:rsidRPr="00500B18">
        <w:fldChar w:fldCharType="end"/>
      </w:r>
      <w:r w:rsidR="00A67620" w:rsidRPr="00500B18">
        <w:t>, a quality</w:t>
      </w:r>
      <w:r w:rsidR="00A67620">
        <w:t xml:space="preserve"> flag layer based on the multispectral convex hull may be used to identify areas where the transfer function is extrapolating.</w:t>
      </w:r>
      <w:r w:rsidR="00500B18">
        <w:t xml:space="preserve"> </w:t>
      </w:r>
      <w:r w:rsidR="00A67620">
        <w:t xml:space="preserve">In this case, both the ‘strict’ and ‘large’ convex hull should be </w:t>
      </w:r>
      <w:r w:rsidR="00AC02E2">
        <w:t>provided.</w:t>
      </w:r>
    </w:p>
    <w:p w14:paraId="77615195" w14:textId="6B83B232" w:rsidR="002B1B15" w:rsidRDefault="002B1B15" w:rsidP="004F2CD7">
      <w:pPr>
        <w:spacing w:line="360" w:lineRule="auto"/>
      </w:pPr>
    </w:p>
    <w:p w14:paraId="74EAC4D7" w14:textId="70E92C01" w:rsidR="002B1B15" w:rsidRDefault="002B1B15" w:rsidP="004F2CD7">
      <w:pPr>
        <w:spacing w:line="360" w:lineRule="auto"/>
      </w:pPr>
    </w:p>
    <w:p w14:paraId="3C4A262A" w14:textId="03A6E038" w:rsidR="001921F1" w:rsidRDefault="001921F1" w:rsidP="004F2CD7">
      <w:pPr>
        <w:spacing w:line="360" w:lineRule="auto"/>
      </w:pPr>
    </w:p>
    <w:p w14:paraId="33F47858" w14:textId="44B9A40E" w:rsidR="001921F1" w:rsidRDefault="001921F1" w:rsidP="004F2CD7">
      <w:pPr>
        <w:spacing w:line="360" w:lineRule="auto"/>
      </w:pPr>
    </w:p>
    <w:p w14:paraId="20D78FFE" w14:textId="08BBD420" w:rsidR="001921F1" w:rsidRDefault="001921F1" w:rsidP="004F2CD7">
      <w:pPr>
        <w:spacing w:line="360" w:lineRule="auto"/>
      </w:pPr>
    </w:p>
    <w:p w14:paraId="28C582BA" w14:textId="3C34EEC4" w:rsidR="001921F1" w:rsidRDefault="001921F1" w:rsidP="004F2CD7">
      <w:pPr>
        <w:spacing w:line="360" w:lineRule="auto"/>
      </w:pPr>
    </w:p>
    <w:p w14:paraId="55B89CD5" w14:textId="26658A19" w:rsidR="001921F1" w:rsidRDefault="001921F1" w:rsidP="004F2CD7">
      <w:pPr>
        <w:spacing w:line="360" w:lineRule="auto"/>
      </w:pPr>
    </w:p>
    <w:p w14:paraId="206F9815" w14:textId="742A1D8A" w:rsidR="001921F1" w:rsidRDefault="001921F1" w:rsidP="004F2CD7">
      <w:pPr>
        <w:spacing w:line="360" w:lineRule="auto"/>
      </w:pPr>
    </w:p>
    <w:p w14:paraId="0EBC3504" w14:textId="654A93EC" w:rsidR="001921F1" w:rsidRDefault="001921F1" w:rsidP="004F2CD7">
      <w:pPr>
        <w:spacing w:line="360" w:lineRule="auto"/>
      </w:pPr>
    </w:p>
    <w:p w14:paraId="7919AAC9" w14:textId="68B9C9FE" w:rsidR="001921F1" w:rsidRDefault="001921F1" w:rsidP="004F2CD7">
      <w:pPr>
        <w:spacing w:line="360" w:lineRule="auto"/>
      </w:pPr>
    </w:p>
    <w:p w14:paraId="3A87018C" w14:textId="68531D64" w:rsidR="001921F1" w:rsidRDefault="001921F1" w:rsidP="004F2CD7">
      <w:pPr>
        <w:spacing w:line="360" w:lineRule="auto"/>
      </w:pPr>
    </w:p>
    <w:p w14:paraId="579B74BF" w14:textId="01DAA10D" w:rsidR="001921F1" w:rsidRDefault="001921F1" w:rsidP="004F2CD7">
      <w:pPr>
        <w:spacing w:line="360" w:lineRule="auto"/>
      </w:pPr>
    </w:p>
    <w:p w14:paraId="3B612526" w14:textId="18DAE9D7" w:rsidR="001921F1" w:rsidRDefault="001921F1" w:rsidP="004F2CD7">
      <w:pPr>
        <w:spacing w:line="360" w:lineRule="auto"/>
      </w:pPr>
    </w:p>
    <w:p w14:paraId="2149AF14" w14:textId="22CE612B" w:rsidR="001921F1" w:rsidRDefault="001921F1" w:rsidP="004F2CD7">
      <w:pPr>
        <w:spacing w:line="360" w:lineRule="auto"/>
      </w:pPr>
    </w:p>
    <w:p w14:paraId="62726C5C" w14:textId="5AB3F909" w:rsidR="001921F1" w:rsidRDefault="001921F1" w:rsidP="004F2CD7">
      <w:pPr>
        <w:spacing w:line="360" w:lineRule="auto"/>
      </w:pPr>
    </w:p>
    <w:p w14:paraId="4565B286" w14:textId="77777777" w:rsidR="001921F1" w:rsidRDefault="001921F1" w:rsidP="004F2CD7">
      <w:pPr>
        <w:spacing w:line="360" w:lineRule="auto"/>
      </w:pPr>
    </w:p>
    <w:p w14:paraId="096580E7" w14:textId="160EC9E7" w:rsidR="002B1B15" w:rsidRDefault="002B1B15" w:rsidP="004F2CD7">
      <w:pPr>
        <w:spacing w:line="360" w:lineRule="auto"/>
      </w:pPr>
    </w:p>
    <w:p w14:paraId="50646E4C" w14:textId="37E8291C" w:rsidR="002B1B15" w:rsidRDefault="002B1B15" w:rsidP="004F2CD7">
      <w:pPr>
        <w:spacing w:line="360" w:lineRule="auto"/>
      </w:pPr>
    </w:p>
    <w:p w14:paraId="741DDDCA" w14:textId="77777777" w:rsidR="0083359B" w:rsidRDefault="0083359B" w:rsidP="005226EB">
      <w:pPr>
        <w:spacing w:after="0"/>
        <w:rPr>
          <w:rFonts w:asciiTheme="majorHAnsi" w:hAnsiTheme="majorHAnsi" w:cstheme="majorHAnsi"/>
          <w:color w:val="0066B7" w:themeColor="accent1" w:themeShade="80"/>
          <w:sz w:val="32"/>
          <w:szCs w:val="32"/>
        </w:rPr>
        <w:sectPr w:rsidR="0083359B" w:rsidSect="00024274">
          <w:pgSz w:w="11906" w:h="16838"/>
          <w:pgMar w:top="1440" w:right="1440" w:bottom="1440" w:left="1440" w:header="708" w:footer="708" w:gutter="0"/>
          <w:cols w:space="708"/>
          <w:docGrid w:linePitch="360"/>
        </w:sectPr>
      </w:pPr>
    </w:p>
    <w:p w14:paraId="057AF18F" w14:textId="4C6761A4" w:rsidR="00FE36D8" w:rsidRDefault="00500B18" w:rsidP="000306CA">
      <w:pPr>
        <w:pStyle w:val="Heading1"/>
      </w:pPr>
      <w:r>
        <w:lastRenderedPageBreak/>
        <w:t>References</w:t>
      </w:r>
    </w:p>
    <w:p w14:paraId="5891B637" w14:textId="77777777" w:rsidR="00FE36D8" w:rsidRDefault="00FE36D8" w:rsidP="005226EB">
      <w:pPr>
        <w:spacing w:after="0"/>
      </w:pPr>
    </w:p>
    <w:p w14:paraId="4F82E9F1" w14:textId="24FA134F" w:rsidR="00EF4B3C" w:rsidRPr="00EF4B3C" w:rsidRDefault="00FE36D8" w:rsidP="00EF4B3C">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EF4B3C" w:rsidRPr="00EF4B3C">
        <w:rPr>
          <w:rFonts w:ascii="Calibri" w:hAnsi="Calibri" w:cs="Calibri"/>
          <w:noProof/>
          <w:szCs w:val="24"/>
        </w:rPr>
        <w:t>[1]</w:t>
      </w:r>
      <w:r w:rsidR="00EF4B3C" w:rsidRPr="00EF4B3C">
        <w:rPr>
          <w:rFonts w:ascii="Calibri" w:hAnsi="Calibri" w:cs="Calibri"/>
          <w:noProof/>
          <w:szCs w:val="24"/>
        </w:rPr>
        <w:tab/>
        <w:t xml:space="preserve">N. Gobron, B. Pinty, M. Verstraete, and Y. Govaerts, “The MERIS Global Vegetation Index (MGVI): Description and preliminary application,” </w:t>
      </w:r>
      <w:r w:rsidR="00EF4B3C" w:rsidRPr="00EF4B3C">
        <w:rPr>
          <w:rFonts w:ascii="Calibri" w:hAnsi="Calibri" w:cs="Calibri"/>
          <w:i/>
          <w:iCs/>
          <w:noProof/>
          <w:szCs w:val="24"/>
        </w:rPr>
        <w:t>Int. J. Remote Sens.</w:t>
      </w:r>
      <w:r w:rsidR="00EF4B3C" w:rsidRPr="00EF4B3C">
        <w:rPr>
          <w:rFonts w:ascii="Calibri" w:hAnsi="Calibri" w:cs="Calibri"/>
          <w:noProof/>
          <w:szCs w:val="24"/>
        </w:rPr>
        <w:t>, vol. 20, no. 9, pp. 1917–1927, Jan. 1999.</w:t>
      </w:r>
    </w:p>
    <w:p w14:paraId="6C558FE0"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w:t>
      </w:r>
      <w:r w:rsidRPr="00EF4B3C">
        <w:rPr>
          <w:rFonts w:ascii="Calibri" w:hAnsi="Calibri" w:cs="Calibri"/>
          <w:noProof/>
          <w:szCs w:val="24"/>
        </w:rPr>
        <w:tab/>
        <w:t xml:space="preserve">N. Gobron, B. Pinty, M. M. Verstraete, and J.-L. Widlowski, “Advanced vegetation indices optimized for up-coming sensors: Design, performance, and applications,” </w:t>
      </w:r>
      <w:r w:rsidRPr="00EF4B3C">
        <w:rPr>
          <w:rFonts w:ascii="Calibri" w:hAnsi="Calibri" w:cs="Calibri"/>
          <w:i/>
          <w:iCs/>
          <w:noProof/>
          <w:szCs w:val="24"/>
        </w:rPr>
        <w:t>IEEE Trans. Geosci. Remote Sens.</w:t>
      </w:r>
      <w:r w:rsidRPr="00EF4B3C">
        <w:rPr>
          <w:rFonts w:ascii="Calibri" w:hAnsi="Calibri" w:cs="Calibri"/>
          <w:noProof/>
          <w:szCs w:val="24"/>
        </w:rPr>
        <w:t>, vol. 38, no. 6, pp. 2489–2505, 2000.</w:t>
      </w:r>
    </w:p>
    <w:p w14:paraId="297D6F9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w:t>
      </w:r>
      <w:r w:rsidRPr="00EF4B3C">
        <w:rPr>
          <w:rFonts w:ascii="Calibri" w:hAnsi="Calibri" w:cs="Calibri"/>
          <w:noProof/>
          <w:szCs w:val="24"/>
        </w:rPr>
        <w:tab/>
        <w:t xml:space="preserve">H. Rahman, B. Pinty, and M. M. Verstraete, “Coupled surface-atmosphere reflectance (CSAR) model: 2. Semiempirical surface model usable with NOAA advanced very high resolution radiometer data,” </w:t>
      </w:r>
      <w:r w:rsidRPr="00EF4B3C">
        <w:rPr>
          <w:rFonts w:ascii="Calibri" w:hAnsi="Calibri" w:cs="Calibri"/>
          <w:i/>
          <w:iCs/>
          <w:noProof/>
          <w:szCs w:val="24"/>
        </w:rPr>
        <w:t>J. Geophys. Res.</w:t>
      </w:r>
      <w:r w:rsidRPr="00EF4B3C">
        <w:rPr>
          <w:rFonts w:ascii="Calibri" w:hAnsi="Calibri" w:cs="Calibri"/>
          <w:noProof/>
          <w:szCs w:val="24"/>
        </w:rPr>
        <w:t>, vol. 98, no. D11, p. 20791, 1993.</w:t>
      </w:r>
    </w:p>
    <w:p w14:paraId="4C2F17B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w:t>
      </w:r>
      <w:r w:rsidRPr="00EF4B3C">
        <w:rPr>
          <w:rFonts w:ascii="Calibri" w:hAnsi="Calibri" w:cs="Calibri"/>
          <w:noProof/>
          <w:szCs w:val="24"/>
        </w:rPr>
        <w:tab/>
        <w:t xml:space="preserve">N. Gobron, </w:t>
      </w:r>
      <w:r w:rsidRPr="00EF4B3C">
        <w:rPr>
          <w:rFonts w:ascii="Calibri" w:hAnsi="Calibri" w:cs="Calibri"/>
          <w:i/>
          <w:iCs/>
          <w:noProof/>
          <w:szCs w:val="24"/>
        </w:rPr>
        <w:t>Ocean and Land Colour Instrument (OLCI) FAPAR and Rectified Channels over Terrestrial Surfaces Algorithm Theoretical Basis Document</w:t>
      </w:r>
      <w:r w:rsidRPr="00EF4B3C">
        <w:rPr>
          <w:rFonts w:ascii="Calibri" w:hAnsi="Calibri" w:cs="Calibri"/>
          <w:noProof/>
          <w:szCs w:val="24"/>
        </w:rPr>
        <w:t>. Ispra, Italy: European Commission Joint Research Centre, 2010.</w:t>
      </w:r>
    </w:p>
    <w:p w14:paraId="45ADF790"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w:t>
      </w:r>
      <w:r w:rsidRPr="00EF4B3C">
        <w:rPr>
          <w:rFonts w:ascii="Calibri" w:hAnsi="Calibri" w:cs="Calibri"/>
          <w:noProof/>
          <w:szCs w:val="24"/>
        </w:rPr>
        <w:tab/>
        <w:t xml:space="preserve">M. Weiss </w:t>
      </w:r>
      <w:r w:rsidRPr="00EF4B3C">
        <w:rPr>
          <w:rFonts w:ascii="Calibri" w:hAnsi="Calibri" w:cs="Calibri"/>
          <w:i/>
          <w:iCs/>
          <w:noProof/>
          <w:szCs w:val="24"/>
        </w:rPr>
        <w:t>et al.</w:t>
      </w:r>
      <w:r w:rsidRPr="00EF4B3C">
        <w:rPr>
          <w:rFonts w:ascii="Calibri" w:hAnsi="Calibri" w:cs="Calibri"/>
          <w:noProof/>
          <w:szCs w:val="24"/>
        </w:rPr>
        <w:t xml:space="preserve">, “On line validation exercise (OLIVE): A web based service for the validation of medium resolution land products. application to FAPAR products,” </w:t>
      </w:r>
      <w:r w:rsidRPr="00EF4B3C">
        <w:rPr>
          <w:rFonts w:ascii="Calibri" w:hAnsi="Calibri" w:cs="Calibri"/>
          <w:i/>
          <w:iCs/>
          <w:noProof/>
          <w:szCs w:val="24"/>
        </w:rPr>
        <w:t>Remote Sens.</w:t>
      </w:r>
      <w:r w:rsidRPr="00EF4B3C">
        <w:rPr>
          <w:rFonts w:ascii="Calibri" w:hAnsi="Calibri" w:cs="Calibri"/>
          <w:noProof/>
          <w:szCs w:val="24"/>
        </w:rPr>
        <w:t>, vol. 6, no. 5, pp. 4190–4216, 2014.</w:t>
      </w:r>
    </w:p>
    <w:p w14:paraId="3DFF239B" w14:textId="19AB43B9"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[6]</w:t>
      </w:r>
      <w:r w:rsidRPr="00EF4B3C">
        <w:rPr>
          <w:rFonts w:ascii="Calibri" w:hAnsi="Calibri" w:cs="Calibri"/>
          <w:noProof/>
          <w:szCs w:val="24"/>
        </w:rPr>
        <w:tab/>
        <w:t xml:space="preserve">K. Yan </w:t>
      </w:r>
      <w:r w:rsidRPr="00EF4B3C">
        <w:rPr>
          <w:rFonts w:ascii="Calibri" w:hAnsi="Calibri" w:cs="Calibri"/>
          <w:i/>
          <w:iCs/>
          <w:noProof/>
          <w:szCs w:val="24"/>
        </w:rPr>
        <w:t>et al.</w:t>
      </w:r>
      <w:r w:rsidRPr="00EF4B3C">
        <w:rPr>
          <w:rFonts w:ascii="Calibri" w:hAnsi="Calibri" w:cs="Calibri"/>
          <w:noProof/>
          <w:szCs w:val="24"/>
        </w:rPr>
        <w:t xml:space="preserve">, “Evaluation of MODIS LAI/FPAR Product Collection 6. Part 2: Validation and Intercomparison,” </w:t>
      </w:r>
      <w:r w:rsidRPr="00EF4B3C">
        <w:rPr>
          <w:rFonts w:ascii="Calibri" w:hAnsi="Calibri" w:cs="Calibri"/>
          <w:i/>
          <w:iCs/>
          <w:noProof/>
          <w:szCs w:val="24"/>
        </w:rPr>
        <w:t>Remote Sens.</w:t>
      </w:r>
      <w:r w:rsidRPr="00EF4B3C">
        <w:rPr>
          <w:rFonts w:ascii="Calibri" w:hAnsi="Calibri" w:cs="Calibri"/>
          <w:noProof/>
          <w:szCs w:val="24"/>
        </w:rPr>
        <w:t>, vol. 8, no. 6, p. 460, May 2016.</w:t>
      </w:r>
    </w:p>
    <w:p w14:paraId="0005D86A"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[7]</w:t>
      </w:r>
      <w:r w:rsidRPr="00EF4B3C">
        <w:rPr>
          <w:rFonts w:ascii="Calibri" w:hAnsi="Calibri" w:cs="Calibri"/>
          <w:noProof/>
          <w:szCs w:val="24"/>
        </w:rPr>
        <w:tab/>
        <w:t xml:space="preserve">E. F. Vermote, D. Tanre, J. L. Deuze, M. Herman, and J.-J. Morcette, “Second Simulation of the Satellite Signal in the Solar Spectrum, 6S: an overview,” </w:t>
      </w:r>
      <w:r w:rsidRPr="00EF4B3C">
        <w:rPr>
          <w:rFonts w:ascii="Calibri" w:hAnsi="Calibri" w:cs="Calibri"/>
          <w:i/>
          <w:iCs/>
          <w:noProof/>
          <w:szCs w:val="24"/>
        </w:rPr>
        <w:t>IEEE Trans. Geosci. Remote Sens.</w:t>
      </w:r>
      <w:r w:rsidRPr="00EF4B3C">
        <w:rPr>
          <w:rFonts w:ascii="Calibri" w:hAnsi="Calibri" w:cs="Calibri"/>
          <w:noProof/>
          <w:szCs w:val="24"/>
        </w:rPr>
        <w:t>, vol. 35, no. 3, pp. 675–686, May 1997.</w:t>
      </w:r>
    </w:p>
    <w:p w14:paraId="7B4C0B9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[8]</w:t>
      </w:r>
      <w:r w:rsidRPr="00EF4B3C">
        <w:rPr>
          <w:rFonts w:ascii="Calibri" w:hAnsi="Calibri" w:cs="Calibri"/>
          <w:noProof/>
          <w:szCs w:val="24"/>
        </w:rPr>
        <w:tab/>
        <w:t xml:space="preserve">D. N. H. Horler, M. Dockray, and J. Barber, “The red edge of plant leaf reflectance,” </w:t>
      </w:r>
      <w:r w:rsidRPr="00EF4B3C">
        <w:rPr>
          <w:rFonts w:ascii="Calibri" w:hAnsi="Calibri" w:cs="Calibri"/>
          <w:i/>
          <w:iCs/>
          <w:noProof/>
          <w:szCs w:val="24"/>
        </w:rPr>
        <w:t>Int. J. Remote Sens.</w:t>
      </w:r>
      <w:r w:rsidRPr="00EF4B3C">
        <w:rPr>
          <w:rFonts w:ascii="Calibri" w:hAnsi="Calibri" w:cs="Calibri"/>
          <w:noProof/>
          <w:szCs w:val="24"/>
        </w:rPr>
        <w:t>, vol. 4, no. 2, pp. 273–288, Jan. 1983.</w:t>
      </w:r>
    </w:p>
    <w:p w14:paraId="2F65525C"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[9]</w:t>
      </w:r>
      <w:r w:rsidRPr="00EF4B3C">
        <w:rPr>
          <w:rFonts w:ascii="Calibri" w:hAnsi="Calibri" w:cs="Calibri"/>
          <w:noProof/>
          <w:szCs w:val="24"/>
        </w:rPr>
        <w:tab/>
        <w:t xml:space="preserve">P. J. Curran, J. L. Dungan, and H. L. Gholz, “Exploring the relationship between reflectance red edge and chlorophyll content in slash pine,” </w:t>
      </w:r>
      <w:r w:rsidRPr="00EF4B3C">
        <w:rPr>
          <w:rFonts w:ascii="Calibri" w:hAnsi="Calibri" w:cs="Calibri"/>
          <w:i/>
          <w:iCs/>
          <w:noProof/>
          <w:szCs w:val="24"/>
        </w:rPr>
        <w:t>Tree Physiol.</w:t>
      </w:r>
      <w:r w:rsidRPr="00EF4B3C">
        <w:rPr>
          <w:rFonts w:ascii="Calibri" w:hAnsi="Calibri" w:cs="Calibri"/>
          <w:noProof/>
          <w:szCs w:val="24"/>
        </w:rPr>
        <w:t>, vol. 7, no. 1-2-3–4, pp. 33–48, Dec. 1990.</w:t>
      </w:r>
    </w:p>
    <w:p w14:paraId="5D15652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[10]</w:t>
      </w:r>
      <w:r w:rsidRPr="00EF4B3C">
        <w:rPr>
          <w:rFonts w:ascii="Calibri" w:hAnsi="Calibri" w:cs="Calibri"/>
          <w:noProof/>
          <w:szCs w:val="24"/>
        </w:rPr>
        <w:tab/>
        <w:t xml:space="preserve">F. Baret </w:t>
      </w:r>
      <w:r w:rsidRPr="00EF4B3C">
        <w:rPr>
          <w:rFonts w:ascii="Calibri" w:hAnsi="Calibri" w:cs="Calibri"/>
          <w:i/>
          <w:iCs/>
          <w:noProof/>
          <w:szCs w:val="24"/>
        </w:rPr>
        <w:t>et al.</w:t>
      </w:r>
      <w:r w:rsidRPr="00EF4B3C">
        <w:rPr>
          <w:rFonts w:ascii="Calibri" w:hAnsi="Calibri" w:cs="Calibri"/>
          <w:noProof/>
          <w:szCs w:val="24"/>
        </w:rPr>
        <w:t xml:space="preserve">, </w:t>
      </w:r>
      <w:r w:rsidRPr="00EF4B3C">
        <w:rPr>
          <w:rFonts w:ascii="Calibri" w:hAnsi="Calibri" w:cs="Calibri"/>
          <w:i/>
          <w:iCs/>
          <w:noProof/>
          <w:szCs w:val="24"/>
        </w:rPr>
        <w:t>VALERI: a network of sites and a methodology for the validation of medium spatial resolution land satellite products</w:t>
      </w:r>
      <w:r w:rsidRPr="00EF4B3C">
        <w:rPr>
          <w:rFonts w:ascii="Calibri" w:hAnsi="Calibri" w:cs="Calibri"/>
          <w:noProof/>
          <w:szCs w:val="24"/>
        </w:rPr>
        <w:t>. Avignon, France: Institut National de la Recherche Agronomique, 2005.</w:t>
      </w:r>
    </w:p>
    <w:p w14:paraId="18D702F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[11]</w:t>
      </w:r>
      <w:r w:rsidRPr="00EF4B3C">
        <w:rPr>
          <w:rFonts w:ascii="Calibri" w:hAnsi="Calibri" w:cs="Calibri"/>
          <w:noProof/>
          <w:szCs w:val="24"/>
        </w:rPr>
        <w:tab/>
        <w:t xml:space="preserve">G. F. Bonham-Carter, “Numerical procedures and computer program for fitting an inverted gaussian model to vegetation reflectance data,” </w:t>
      </w:r>
      <w:r w:rsidRPr="00EF4B3C">
        <w:rPr>
          <w:rFonts w:ascii="Calibri" w:hAnsi="Calibri" w:cs="Calibri"/>
          <w:i/>
          <w:iCs/>
          <w:noProof/>
          <w:szCs w:val="24"/>
        </w:rPr>
        <w:t>Comput. Geosci.</w:t>
      </w:r>
      <w:r w:rsidRPr="00EF4B3C">
        <w:rPr>
          <w:rFonts w:ascii="Calibri" w:hAnsi="Calibri" w:cs="Calibri"/>
          <w:noProof/>
          <w:szCs w:val="24"/>
        </w:rPr>
        <w:t>, vol. 14, no. 3, pp. 339–356, Jan. 1988.</w:t>
      </w:r>
    </w:p>
    <w:p w14:paraId="0B9A214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[12]</w:t>
      </w:r>
      <w:r w:rsidRPr="00EF4B3C">
        <w:rPr>
          <w:rFonts w:ascii="Calibri" w:hAnsi="Calibri" w:cs="Calibri"/>
          <w:noProof/>
          <w:szCs w:val="24"/>
        </w:rPr>
        <w:tab/>
        <w:t xml:space="preserve">J. R. Miller, W. Jiyou, M. G. Boyer, M. Belanger, and E. W. Hare, “Seasonal patterns in leaf reflectance red-edge characteristics,” </w:t>
      </w:r>
      <w:r w:rsidRPr="00EF4B3C">
        <w:rPr>
          <w:rFonts w:ascii="Calibri" w:hAnsi="Calibri" w:cs="Calibri"/>
          <w:i/>
          <w:iCs/>
          <w:noProof/>
          <w:szCs w:val="24"/>
        </w:rPr>
        <w:t>Int. J. Remote Sens.</w:t>
      </w:r>
      <w:r w:rsidRPr="00EF4B3C">
        <w:rPr>
          <w:rFonts w:ascii="Calibri" w:hAnsi="Calibri" w:cs="Calibri"/>
          <w:noProof/>
          <w:szCs w:val="24"/>
        </w:rPr>
        <w:t>, vol. 12, no. 7, pp. 1509–1523, Jul. 1991.</w:t>
      </w:r>
    </w:p>
    <w:p w14:paraId="32FBE003"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[13]</w:t>
      </w:r>
      <w:r w:rsidRPr="00EF4B3C">
        <w:rPr>
          <w:rFonts w:ascii="Calibri" w:hAnsi="Calibri" w:cs="Calibri"/>
          <w:noProof/>
          <w:szCs w:val="24"/>
        </w:rPr>
        <w:tab/>
        <w:t xml:space="preserve">G. Guyot, F. Baret, and D. J. Major, “High spectral resolution: Determination of spectral shifts between the red and infrared,” </w:t>
      </w:r>
      <w:r w:rsidRPr="00EF4B3C">
        <w:rPr>
          <w:rFonts w:ascii="Calibri" w:hAnsi="Calibri" w:cs="Calibri"/>
          <w:i/>
          <w:iCs/>
          <w:noProof/>
          <w:szCs w:val="24"/>
        </w:rPr>
        <w:t>Int. Arch. Photogramm. Remote Sens.</w:t>
      </w:r>
      <w:r w:rsidRPr="00EF4B3C">
        <w:rPr>
          <w:rFonts w:ascii="Calibri" w:hAnsi="Calibri" w:cs="Calibri"/>
          <w:noProof/>
          <w:szCs w:val="24"/>
        </w:rPr>
        <w:t>, vol. 11, no. 1, pp. 750–760, 1988.</w:t>
      </w:r>
    </w:p>
    <w:p w14:paraId="03CD9B8D"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[14]</w:t>
      </w:r>
      <w:r w:rsidRPr="00EF4B3C">
        <w:rPr>
          <w:rFonts w:ascii="Calibri" w:hAnsi="Calibri" w:cs="Calibri"/>
          <w:noProof/>
          <w:szCs w:val="24"/>
        </w:rPr>
        <w:tab/>
        <w:t xml:space="preserve">F. M. Danson and S. E. Plummer, “Red-edge response to forest leaf area index,” </w:t>
      </w:r>
      <w:r w:rsidRPr="00EF4B3C">
        <w:rPr>
          <w:rFonts w:ascii="Calibri" w:hAnsi="Calibri" w:cs="Calibri"/>
          <w:i/>
          <w:iCs/>
          <w:noProof/>
          <w:szCs w:val="24"/>
        </w:rPr>
        <w:t>Int. J. Remote Sens.</w:t>
      </w:r>
      <w:r w:rsidRPr="00EF4B3C">
        <w:rPr>
          <w:rFonts w:ascii="Calibri" w:hAnsi="Calibri" w:cs="Calibri"/>
          <w:noProof/>
          <w:szCs w:val="24"/>
        </w:rPr>
        <w:t>, vol. 16, no. 1, pp. 183–188, Jan. 1995.</w:t>
      </w:r>
    </w:p>
    <w:p w14:paraId="01D51624"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[15]</w:t>
      </w:r>
      <w:r w:rsidRPr="00EF4B3C">
        <w:rPr>
          <w:rFonts w:ascii="Calibri" w:hAnsi="Calibri" w:cs="Calibri"/>
          <w:noProof/>
          <w:szCs w:val="24"/>
        </w:rPr>
        <w:tab/>
        <w:t xml:space="preserve">T. P. Dawson and P. J. Curran, “Technical note A new technique for interpolating the </w:t>
      </w:r>
      <w:r w:rsidRPr="00EF4B3C">
        <w:rPr>
          <w:rFonts w:ascii="Calibri" w:hAnsi="Calibri" w:cs="Calibri"/>
          <w:noProof/>
          <w:szCs w:val="24"/>
        </w:rPr>
        <w:lastRenderedPageBreak/>
        <w:t xml:space="preserve">reflectance red edge position,” </w:t>
      </w:r>
      <w:r w:rsidRPr="00EF4B3C">
        <w:rPr>
          <w:rFonts w:ascii="Calibri" w:hAnsi="Calibri" w:cs="Calibri"/>
          <w:i/>
          <w:iCs/>
          <w:noProof/>
          <w:szCs w:val="24"/>
        </w:rPr>
        <w:t>Int. J. Remote Sens.</w:t>
      </w:r>
      <w:r w:rsidRPr="00EF4B3C">
        <w:rPr>
          <w:rFonts w:ascii="Calibri" w:hAnsi="Calibri" w:cs="Calibri"/>
          <w:noProof/>
          <w:szCs w:val="24"/>
        </w:rPr>
        <w:t>, vol. 19, no. 11, pp. 2133–2139, Jan. 1998.</w:t>
      </w:r>
    </w:p>
    <w:p w14:paraId="66BF131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[16]</w:t>
      </w:r>
      <w:r w:rsidRPr="00EF4B3C">
        <w:rPr>
          <w:rFonts w:ascii="Calibri" w:hAnsi="Calibri" w:cs="Calibri"/>
          <w:noProof/>
          <w:szCs w:val="24"/>
        </w:rPr>
        <w:tab/>
        <w:t xml:space="preserve">T. Majasalmi, M. Rautiainen, P. Stenberg, and H. Rita, “Optimizing the sampling scheme for LAI-2000 measurements in a boreal forest,” </w:t>
      </w:r>
      <w:r w:rsidRPr="00EF4B3C">
        <w:rPr>
          <w:rFonts w:ascii="Calibri" w:hAnsi="Calibri" w:cs="Calibri"/>
          <w:i/>
          <w:iCs/>
          <w:noProof/>
          <w:szCs w:val="24"/>
        </w:rPr>
        <w:t>Agric. For. Meteorol.</w:t>
      </w:r>
      <w:r w:rsidRPr="00EF4B3C">
        <w:rPr>
          <w:rFonts w:ascii="Calibri" w:hAnsi="Calibri" w:cs="Calibri"/>
          <w:noProof/>
          <w:szCs w:val="24"/>
        </w:rPr>
        <w:t>, vol. 154–155, pp. 38–43, 2012.</w:t>
      </w:r>
    </w:p>
    <w:p w14:paraId="4B4CDD3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[17]</w:t>
      </w:r>
      <w:r w:rsidRPr="00EF4B3C">
        <w:rPr>
          <w:rFonts w:ascii="Calibri" w:hAnsi="Calibri" w:cs="Calibri"/>
          <w:noProof/>
          <w:szCs w:val="24"/>
        </w:rPr>
        <w:tab/>
        <w:t xml:space="preserve">J. Dash and P. J. Curran, “The MERIS terrestrial chlorophyll index,” </w:t>
      </w:r>
      <w:r w:rsidRPr="00EF4B3C">
        <w:rPr>
          <w:rFonts w:ascii="Calibri" w:hAnsi="Calibri" w:cs="Calibri"/>
          <w:i/>
          <w:iCs/>
          <w:noProof/>
          <w:szCs w:val="24"/>
        </w:rPr>
        <w:t>Int. J. Remote Sens.</w:t>
      </w:r>
      <w:r w:rsidRPr="00EF4B3C">
        <w:rPr>
          <w:rFonts w:ascii="Calibri" w:hAnsi="Calibri" w:cs="Calibri"/>
          <w:noProof/>
          <w:szCs w:val="24"/>
        </w:rPr>
        <w:t>, vol. 25, no. 23, pp. 5403–5413, Dec. 2004.</w:t>
      </w:r>
    </w:p>
    <w:p w14:paraId="5ECF2866"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[18]</w:t>
      </w:r>
      <w:r w:rsidRPr="00EF4B3C">
        <w:rPr>
          <w:rFonts w:ascii="Calibri" w:hAnsi="Calibri" w:cs="Calibri"/>
          <w:noProof/>
          <w:szCs w:val="24"/>
        </w:rPr>
        <w:tab/>
        <w:t xml:space="preserve">J. Dash, </w:t>
      </w:r>
      <w:r w:rsidRPr="00EF4B3C">
        <w:rPr>
          <w:rFonts w:ascii="Calibri" w:hAnsi="Calibri" w:cs="Calibri"/>
          <w:i/>
          <w:iCs/>
          <w:noProof/>
          <w:szCs w:val="24"/>
        </w:rPr>
        <w:t>Algorithm Theoretical Basis Document: OLCI Terrestrial Chlorophyll Index (OTCI)</w:t>
      </w:r>
      <w:r w:rsidRPr="00EF4B3C">
        <w:rPr>
          <w:rFonts w:ascii="Calibri" w:hAnsi="Calibri" w:cs="Calibri"/>
          <w:noProof/>
          <w:szCs w:val="24"/>
        </w:rPr>
        <w:t>. Southampton, United Kingdom: University of Southampton, 2012.</w:t>
      </w:r>
    </w:p>
    <w:p w14:paraId="4C4DAB58"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[19]</w:t>
      </w:r>
      <w:r w:rsidRPr="00EF4B3C">
        <w:rPr>
          <w:rFonts w:ascii="Calibri" w:hAnsi="Calibri" w:cs="Calibri"/>
          <w:noProof/>
          <w:szCs w:val="24"/>
        </w:rPr>
        <w:tab/>
        <w:t xml:space="preserve">T. Miura, A. R. Huete, and H. Yoshioka, “Evaluation of sensor calibration uncertainties on vegetation indices for MODIS,” </w:t>
      </w:r>
      <w:r w:rsidRPr="00EF4B3C">
        <w:rPr>
          <w:rFonts w:ascii="Calibri" w:hAnsi="Calibri" w:cs="Calibri"/>
          <w:i/>
          <w:iCs/>
          <w:noProof/>
          <w:szCs w:val="24"/>
        </w:rPr>
        <w:t>IEEE Trans. Geosci. Remote Sens.</w:t>
      </w:r>
      <w:r w:rsidRPr="00EF4B3C">
        <w:rPr>
          <w:rFonts w:ascii="Calibri" w:hAnsi="Calibri" w:cs="Calibri"/>
          <w:noProof/>
          <w:szCs w:val="24"/>
        </w:rPr>
        <w:t>, vol. 38, no. 3, pp. 1399–1409, May 2000.</w:t>
      </w:r>
    </w:p>
    <w:p w14:paraId="5AB32416"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[20]</w:t>
      </w:r>
      <w:r w:rsidRPr="00EF4B3C">
        <w:rPr>
          <w:rFonts w:ascii="Calibri" w:hAnsi="Calibri" w:cs="Calibri"/>
          <w:noProof/>
          <w:szCs w:val="24"/>
        </w:rPr>
        <w:tab/>
        <w:t xml:space="preserve">Working Group 1 of the Joint Committee for Guides in Metrology, </w:t>
      </w:r>
      <w:r w:rsidRPr="00EF4B3C">
        <w:rPr>
          <w:rFonts w:ascii="Calibri" w:hAnsi="Calibri" w:cs="Calibri"/>
          <w:i/>
          <w:iCs/>
          <w:noProof/>
          <w:szCs w:val="24"/>
        </w:rPr>
        <w:t>Evaluation of measurement data — Guide to the expression of uncertainty in measurement</w:t>
      </w:r>
      <w:r w:rsidRPr="00EF4B3C">
        <w:rPr>
          <w:rFonts w:ascii="Calibri" w:hAnsi="Calibri" w:cs="Calibri"/>
          <w:noProof/>
          <w:szCs w:val="24"/>
        </w:rPr>
        <w:t>. Paris, France: Bureau International des Poids et Mesures, 2008.</w:t>
      </w:r>
    </w:p>
    <w:p w14:paraId="257C470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[21]</w:t>
      </w:r>
      <w:r w:rsidRPr="00EF4B3C">
        <w:rPr>
          <w:rFonts w:ascii="Calibri" w:hAnsi="Calibri" w:cs="Calibri"/>
          <w:noProof/>
          <w:szCs w:val="24"/>
        </w:rPr>
        <w:tab/>
        <w:t>ESA, “Land Products Quality and Science Flags.” [Online]. Available: https://sentinel.esa.int/web/sentinel/technical-guides/sentinel-3-olci/level-2/quality-and-science-flags-lp. [Accessed: 17-Mar-2019].</w:t>
      </w:r>
    </w:p>
    <w:p w14:paraId="2BBD5B4A"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[22]</w:t>
      </w:r>
      <w:r w:rsidRPr="00EF4B3C">
        <w:rPr>
          <w:rFonts w:ascii="Calibri" w:hAnsi="Calibri" w:cs="Calibri"/>
          <w:noProof/>
          <w:szCs w:val="24"/>
        </w:rPr>
        <w:tab/>
        <w:t xml:space="preserve">J. . Privette </w:t>
      </w:r>
      <w:r w:rsidRPr="00EF4B3C">
        <w:rPr>
          <w:rFonts w:ascii="Calibri" w:hAnsi="Calibri" w:cs="Calibri"/>
          <w:i/>
          <w:iCs/>
          <w:noProof/>
          <w:szCs w:val="24"/>
        </w:rPr>
        <w:t>et al.</w:t>
      </w:r>
      <w:r w:rsidRPr="00EF4B3C">
        <w:rPr>
          <w:rFonts w:ascii="Calibri" w:hAnsi="Calibri" w:cs="Calibri"/>
          <w:noProof/>
          <w:szCs w:val="24"/>
        </w:rPr>
        <w:t xml:space="preserve">, “The EOS Prototype Validation Exercise (PROVE) at Jornada,” </w:t>
      </w:r>
      <w:r w:rsidRPr="00EF4B3C">
        <w:rPr>
          <w:rFonts w:ascii="Calibri" w:hAnsi="Calibri" w:cs="Calibri"/>
          <w:i/>
          <w:iCs/>
          <w:noProof/>
          <w:szCs w:val="24"/>
        </w:rPr>
        <w:t>Remote Sens. Environ.</w:t>
      </w:r>
      <w:r w:rsidRPr="00EF4B3C">
        <w:rPr>
          <w:rFonts w:ascii="Calibri" w:hAnsi="Calibri" w:cs="Calibri"/>
          <w:noProof/>
          <w:szCs w:val="24"/>
        </w:rPr>
        <w:t>, vol. 74, no. 1, pp. 1–12, Oct. 2000.</w:t>
      </w:r>
    </w:p>
    <w:p w14:paraId="1A6402DF"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[23]</w:t>
      </w:r>
      <w:r w:rsidRPr="00EF4B3C">
        <w:rPr>
          <w:rFonts w:ascii="Calibri" w:hAnsi="Calibri" w:cs="Calibri"/>
          <w:noProof/>
          <w:szCs w:val="24"/>
        </w:rPr>
        <w:tab/>
        <w:t xml:space="preserve">J. L. Campbell, S. Burrows, S. T. Gower, and W. B. Cohen, </w:t>
      </w:r>
      <w:r w:rsidRPr="00EF4B3C">
        <w:rPr>
          <w:rFonts w:ascii="Calibri" w:hAnsi="Calibri" w:cs="Calibri"/>
          <w:i/>
          <w:iCs/>
          <w:noProof/>
          <w:szCs w:val="24"/>
        </w:rPr>
        <w:t>BigFoot: Characterizing Land Cover, LAI and NPP at the Landscape Scale for EOS/MODIS Validation - Field Manual</w:t>
      </w:r>
      <w:r w:rsidRPr="00EF4B3C">
        <w:rPr>
          <w:rFonts w:ascii="Calibri" w:hAnsi="Calibri" w:cs="Calibri"/>
          <w:noProof/>
          <w:szCs w:val="24"/>
        </w:rPr>
        <w:t>, 2.1. Oak Ridge, Tennessee, United States: Oak Ridge National Laboratory, 1999.</w:t>
      </w:r>
    </w:p>
    <w:p w14:paraId="09CEE873"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[24]</w:t>
      </w:r>
      <w:r w:rsidRPr="00EF4B3C">
        <w:rPr>
          <w:rFonts w:ascii="Calibri" w:hAnsi="Calibri" w:cs="Calibri"/>
          <w:noProof/>
          <w:szCs w:val="24"/>
        </w:rPr>
        <w:tab/>
        <w:t xml:space="preserve">R. J. Swap and J. L. Privette, “Overview of the Southern African Regional Science Initiative - SAFARI 2000,” in </w:t>
      </w:r>
      <w:r w:rsidRPr="00EF4B3C">
        <w:rPr>
          <w:rFonts w:ascii="Calibri" w:hAnsi="Calibri" w:cs="Calibri"/>
          <w:i/>
          <w:iCs/>
          <w:noProof/>
          <w:szCs w:val="24"/>
        </w:rPr>
        <w:t>Proceedings of the 1999 IEEE International Geoscience and Remote Sensing Symposium</w:t>
      </w:r>
      <w:r w:rsidRPr="00EF4B3C">
        <w:rPr>
          <w:rFonts w:ascii="Calibri" w:hAnsi="Calibri" w:cs="Calibri"/>
          <w:noProof/>
          <w:szCs w:val="24"/>
        </w:rPr>
        <w:t>, 1999.</w:t>
      </w:r>
    </w:p>
    <w:p w14:paraId="61B8498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[25]</w:t>
      </w:r>
      <w:r w:rsidRPr="00EF4B3C">
        <w:rPr>
          <w:rFonts w:ascii="Calibri" w:hAnsi="Calibri" w:cs="Calibri"/>
          <w:noProof/>
          <w:szCs w:val="24"/>
        </w:rPr>
        <w:tab/>
        <w:t xml:space="preserve">Y. Tian </w:t>
      </w:r>
      <w:r w:rsidRPr="00EF4B3C">
        <w:rPr>
          <w:rFonts w:ascii="Calibri" w:hAnsi="Calibri" w:cs="Calibri"/>
          <w:i/>
          <w:iCs/>
          <w:noProof/>
          <w:szCs w:val="24"/>
        </w:rPr>
        <w:t>et al.</w:t>
      </w:r>
      <w:r w:rsidRPr="00EF4B3C">
        <w:rPr>
          <w:rFonts w:ascii="Calibri" w:hAnsi="Calibri" w:cs="Calibri"/>
          <w:noProof/>
          <w:szCs w:val="24"/>
        </w:rPr>
        <w:t xml:space="preserve">, “Multiscale analysis and validation of the MODIS LAI product II. Sampling strategy,” </w:t>
      </w:r>
      <w:r w:rsidRPr="00EF4B3C">
        <w:rPr>
          <w:rFonts w:ascii="Calibri" w:hAnsi="Calibri" w:cs="Calibri"/>
          <w:i/>
          <w:iCs/>
          <w:noProof/>
          <w:szCs w:val="24"/>
        </w:rPr>
        <w:t>Remote Sens. Environ.</w:t>
      </w:r>
      <w:r w:rsidRPr="00EF4B3C">
        <w:rPr>
          <w:rFonts w:ascii="Calibri" w:hAnsi="Calibri" w:cs="Calibri"/>
          <w:noProof/>
          <w:szCs w:val="24"/>
        </w:rPr>
        <w:t>, vol. 83, no. 3, pp. 431–441, Dec. 2002.</w:t>
      </w:r>
    </w:p>
    <w:p w14:paraId="75E9EABA" w14:textId="5A51D165"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[26]</w:t>
      </w:r>
      <w:r w:rsidRPr="00EF4B3C">
        <w:rPr>
          <w:rFonts w:ascii="Calibri" w:hAnsi="Calibri" w:cs="Calibri"/>
          <w:noProof/>
          <w:szCs w:val="24"/>
        </w:rPr>
        <w:tab/>
        <w:t xml:space="preserve">S. Garrigues </w:t>
      </w:r>
      <w:r w:rsidRPr="00EF4B3C">
        <w:rPr>
          <w:rFonts w:ascii="Calibri" w:hAnsi="Calibri" w:cs="Calibri"/>
          <w:i/>
          <w:iCs/>
          <w:noProof/>
          <w:szCs w:val="24"/>
        </w:rPr>
        <w:t>et al.</w:t>
      </w:r>
      <w:r w:rsidRPr="00EF4B3C">
        <w:rPr>
          <w:rFonts w:ascii="Calibri" w:hAnsi="Calibri" w:cs="Calibri"/>
          <w:noProof/>
          <w:szCs w:val="24"/>
        </w:rPr>
        <w:t xml:space="preserve">, “Validation and intercomparison of global Leaf Area Index products derived from remote sensing data,” </w:t>
      </w:r>
      <w:r w:rsidRPr="00EF4B3C">
        <w:rPr>
          <w:rFonts w:ascii="Calibri" w:hAnsi="Calibri" w:cs="Calibri"/>
          <w:i/>
          <w:iCs/>
          <w:noProof/>
          <w:szCs w:val="24"/>
        </w:rPr>
        <w:t>J. Geophys. Res.</w:t>
      </w:r>
      <w:r w:rsidRPr="00EF4B3C">
        <w:rPr>
          <w:rFonts w:ascii="Calibri" w:hAnsi="Calibri" w:cs="Calibri"/>
          <w:noProof/>
          <w:szCs w:val="24"/>
        </w:rPr>
        <w:t>, vol. 113, p. G02028, Jun. 2008.</w:t>
      </w:r>
    </w:p>
    <w:p w14:paraId="29DED93C" w14:textId="0FDAEA95"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[27]</w:t>
      </w:r>
      <w:r w:rsidRPr="00EF4B3C">
        <w:rPr>
          <w:rFonts w:ascii="Calibri" w:hAnsi="Calibri" w:cs="Calibri"/>
          <w:noProof/>
          <w:szCs w:val="24"/>
        </w:rPr>
        <w:tab/>
        <w:t xml:space="preserve">F. Camacho, J. Cernicharo, R. Lacaze, F. Baret, and M. Weiss, “GEOV1: LAI, FAPAR essential climate variables and FCOVER global time series capitalizing over existing products. Part 2: Validation and intercomparison with reference products,” </w:t>
      </w:r>
      <w:r w:rsidRPr="00EF4B3C">
        <w:rPr>
          <w:rFonts w:ascii="Calibri" w:hAnsi="Calibri" w:cs="Calibri"/>
          <w:i/>
          <w:iCs/>
          <w:noProof/>
          <w:szCs w:val="24"/>
        </w:rPr>
        <w:t>Remote Sens. Environ.</w:t>
      </w:r>
      <w:r w:rsidRPr="00EF4B3C">
        <w:rPr>
          <w:rFonts w:ascii="Calibri" w:hAnsi="Calibri" w:cs="Calibri"/>
          <w:noProof/>
          <w:szCs w:val="24"/>
        </w:rPr>
        <w:t>, vol. 137, pp. 310–329, Oct. 2013.</w:t>
      </w:r>
    </w:p>
    <w:p w14:paraId="6540896B" w14:textId="5C661644"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[28]</w:t>
      </w:r>
      <w:r w:rsidRPr="00EF4B3C">
        <w:rPr>
          <w:rFonts w:ascii="Calibri" w:hAnsi="Calibri" w:cs="Calibri"/>
          <w:noProof/>
          <w:szCs w:val="24"/>
        </w:rPr>
        <w:tab/>
        <w:t xml:space="preserve">F. Baret </w:t>
      </w:r>
      <w:r w:rsidRPr="00EF4B3C">
        <w:rPr>
          <w:rFonts w:ascii="Calibri" w:hAnsi="Calibri" w:cs="Calibri"/>
          <w:i/>
          <w:iCs/>
          <w:noProof/>
          <w:szCs w:val="24"/>
        </w:rPr>
        <w:t>et al.</w:t>
      </w:r>
      <w:r w:rsidRPr="00EF4B3C">
        <w:rPr>
          <w:rFonts w:ascii="Calibri" w:hAnsi="Calibri" w:cs="Calibri"/>
          <w:noProof/>
          <w:szCs w:val="24"/>
        </w:rPr>
        <w:t xml:space="preserve">, “Evaluation of the representativeness of networks of sites for the global validation and intercomparison of land biophysical products: proposition of the CEOS-BELMANIP,” </w:t>
      </w:r>
      <w:r w:rsidRPr="00EF4B3C">
        <w:rPr>
          <w:rFonts w:ascii="Calibri" w:hAnsi="Calibri" w:cs="Calibri"/>
          <w:i/>
          <w:iCs/>
          <w:noProof/>
          <w:szCs w:val="24"/>
        </w:rPr>
        <w:t>IEEE Trans. Geosci. Remote Sens.</w:t>
      </w:r>
      <w:r w:rsidRPr="00EF4B3C">
        <w:rPr>
          <w:rFonts w:ascii="Calibri" w:hAnsi="Calibri" w:cs="Calibri"/>
          <w:noProof/>
          <w:szCs w:val="24"/>
        </w:rPr>
        <w:t>, vol. 44, no. 7, pp. 1794–1803, Jul. 2006.</w:t>
      </w:r>
    </w:p>
    <w:p w14:paraId="77E4B7A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[29]</w:t>
      </w:r>
      <w:r w:rsidRPr="00EF4B3C">
        <w:rPr>
          <w:rFonts w:ascii="Calibri" w:hAnsi="Calibri" w:cs="Calibri"/>
          <w:noProof/>
          <w:szCs w:val="24"/>
        </w:rPr>
        <w:tab/>
        <w:t xml:space="preserve">M. Weiss, F. Baret, S. Garrigues, and R. Lacaze, “LAI and fAPAR CYCLOPES global products derived from VEGETATION. Part 2: validation and comparison with MODIS collection 4 products,” </w:t>
      </w:r>
      <w:r w:rsidRPr="00EF4B3C">
        <w:rPr>
          <w:rFonts w:ascii="Calibri" w:hAnsi="Calibri" w:cs="Calibri"/>
          <w:i/>
          <w:iCs/>
          <w:noProof/>
          <w:szCs w:val="24"/>
        </w:rPr>
        <w:t>Remote Sens. Environ.</w:t>
      </w:r>
      <w:r w:rsidRPr="00EF4B3C">
        <w:rPr>
          <w:rFonts w:ascii="Calibri" w:hAnsi="Calibri" w:cs="Calibri"/>
          <w:noProof/>
          <w:szCs w:val="24"/>
        </w:rPr>
        <w:t>, vol. 110, no. 3, pp. 317–331, Oct. 2007.</w:t>
      </w:r>
    </w:p>
    <w:p w14:paraId="1C67073F"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[30]</w:t>
      </w:r>
      <w:r w:rsidRPr="00EF4B3C">
        <w:rPr>
          <w:rFonts w:ascii="Calibri" w:hAnsi="Calibri" w:cs="Calibri"/>
          <w:noProof/>
          <w:szCs w:val="24"/>
        </w:rPr>
        <w:tab/>
        <w:t xml:space="preserve">M. Weiss </w:t>
      </w:r>
      <w:r w:rsidRPr="00EF4B3C">
        <w:rPr>
          <w:rFonts w:ascii="Calibri" w:hAnsi="Calibri" w:cs="Calibri"/>
          <w:i/>
          <w:iCs/>
          <w:noProof/>
          <w:szCs w:val="24"/>
        </w:rPr>
        <w:t>et al.</w:t>
      </w:r>
      <w:r w:rsidRPr="00EF4B3C">
        <w:rPr>
          <w:rFonts w:ascii="Calibri" w:hAnsi="Calibri" w:cs="Calibri"/>
          <w:noProof/>
          <w:szCs w:val="24"/>
        </w:rPr>
        <w:t xml:space="preserve">, “On Line Validation Exercise (OLIVE): A Web Based Service for the Validation of Medium Resolution Land Products. Application to FAPAR Products,” </w:t>
      </w:r>
      <w:r w:rsidRPr="00EF4B3C">
        <w:rPr>
          <w:rFonts w:ascii="Calibri" w:hAnsi="Calibri" w:cs="Calibri"/>
          <w:i/>
          <w:iCs/>
          <w:noProof/>
          <w:szCs w:val="24"/>
        </w:rPr>
        <w:t>Remote Sens.</w:t>
      </w:r>
      <w:r w:rsidRPr="00EF4B3C">
        <w:rPr>
          <w:rFonts w:ascii="Calibri" w:hAnsi="Calibri" w:cs="Calibri"/>
          <w:noProof/>
          <w:szCs w:val="24"/>
        </w:rPr>
        <w:t>, vol. 6, no. 5, pp. 4190–4216, May 2014.</w:t>
      </w:r>
    </w:p>
    <w:p w14:paraId="378DB38F"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lastRenderedPageBreak/>
        <w:t>[31]</w:t>
      </w:r>
      <w:r w:rsidRPr="00EF4B3C">
        <w:rPr>
          <w:rFonts w:ascii="Calibri" w:hAnsi="Calibri" w:cs="Calibri"/>
          <w:noProof/>
          <w:szCs w:val="24"/>
        </w:rPr>
        <w:tab/>
        <w:t xml:space="preserve">K. Yan </w:t>
      </w:r>
      <w:r w:rsidRPr="00EF4B3C">
        <w:rPr>
          <w:rFonts w:ascii="Calibri" w:hAnsi="Calibri" w:cs="Calibri"/>
          <w:i/>
          <w:iCs/>
          <w:noProof/>
          <w:szCs w:val="24"/>
        </w:rPr>
        <w:t>et al.</w:t>
      </w:r>
      <w:r w:rsidRPr="00EF4B3C">
        <w:rPr>
          <w:rFonts w:ascii="Calibri" w:hAnsi="Calibri" w:cs="Calibri"/>
          <w:noProof/>
          <w:szCs w:val="24"/>
        </w:rPr>
        <w:t xml:space="preserve">, “Evaluation of MODIS LAI/FPAR Product Collection 6. Part 1: Consistency and Improvements,” </w:t>
      </w:r>
      <w:r w:rsidRPr="00EF4B3C">
        <w:rPr>
          <w:rFonts w:ascii="Calibri" w:hAnsi="Calibri" w:cs="Calibri"/>
          <w:i/>
          <w:iCs/>
          <w:noProof/>
          <w:szCs w:val="24"/>
        </w:rPr>
        <w:t>Remote Sens.</w:t>
      </w:r>
      <w:r w:rsidRPr="00EF4B3C">
        <w:rPr>
          <w:rFonts w:ascii="Calibri" w:hAnsi="Calibri" w:cs="Calibri"/>
          <w:noProof/>
          <w:szCs w:val="24"/>
        </w:rPr>
        <w:t>, vol. 8, no. 5, p. 359, Apr. 2016.</w:t>
      </w:r>
    </w:p>
    <w:p w14:paraId="522E4D37" w14:textId="53711B20"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[32]</w:t>
      </w:r>
      <w:r w:rsidRPr="00EF4B3C">
        <w:rPr>
          <w:rFonts w:ascii="Calibri" w:hAnsi="Calibri" w:cs="Calibri"/>
          <w:noProof/>
          <w:szCs w:val="24"/>
        </w:rPr>
        <w:tab/>
        <w:t xml:space="preserve">S. Garrigues </w:t>
      </w:r>
      <w:r w:rsidRPr="00EF4B3C">
        <w:rPr>
          <w:rFonts w:ascii="Calibri" w:hAnsi="Calibri" w:cs="Calibri"/>
          <w:i/>
          <w:iCs/>
          <w:noProof/>
          <w:szCs w:val="24"/>
        </w:rPr>
        <w:t>et al.</w:t>
      </w:r>
      <w:r w:rsidRPr="00EF4B3C">
        <w:rPr>
          <w:rFonts w:ascii="Calibri" w:hAnsi="Calibri" w:cs="Calibri"/>
          <w:noProof/>
          <w:szCs w:val="24"/>
        </w:rPr>
        <w:t xml:space="preserve">, “Validation and intercomparison of global Leaf Area Index products derived from remote sensing data,” </w:t>
      </w:r>
      <w:r w:rsidRPr="00EF4B3C">
        <w:rPr>
          <w:rFonts w:ascii="Calibri" w:hAnsi="Calibri" w:cs="Calibri"/>
          <w:i/>
          <w:iCs/>
          <w:noProof/>
          <w:szCs w:val="24"/>
        </w:rPr>
        <w:t>J. Geophys. Res. Biogeosciences</w:t>
      </w:r>
      <w:r w:rsidRPr="00EF4B3C">
        <w:rPr>
          <w:rFonts w:ascii="Calibri" w:hAnsi="Calibri" w:cs="Calibri"/>
          <w:noProof/>
          <w:szCs w:val="24"/>
        </w:rPr>
        <w:t>, vol. 113, no. 2, 2008.</w:t>
      </w:r>
    </w:p>
    <w:p w14:paraId="55550FC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[33]</w:t>
      </w:r>
      <w:r w:rsidRPr="00EF4B3C">
        <w:rPr>
          <w:rFonts w:ascii="Calibri" w:hAnsi="Calibri" w:cs="Calibri"/>
          <w:noProof/>
          <w:szCs w:val="24"/>
        </w:rPr>
        <w:tab/>
        <w:t xml:space="preserve">M. Weiss, F. Baret, S. Garrigues, and R. Lacaze, “LAI and fAPAR CYCLOPES global products derived from VEGETATION. Part 2: validation and comparison with MODIS collection 4 products,” </w:t>
      </w:r>
      <w:r w:rsidRPr="00EF4B3C">
        <w:rPr>
          <w:rFonts w:ascii="Calibri" w:hAnsi="Calibri" w:cs="Calibri"/>
          <w:i/>
          <w:iCs/>
          <w:noProof/>
          <w:szCs w:val="24"/>
        </w:rPr>
        <w:t>Remote Sens. Environ.</w:t>
      </w:r>
      <w:r w:rsidRPr="00EF4B3C">
        <w:rPr>
          <w:rFonts w:ascii="Calibri" w:hAnsi="Calibri" w:cs="Calibri"/>
          <w:noProof/>
          <w:szCs w:val="24"/>
        </w:rPr>
        <w:t>, vol. 110, no. 3, pp. 317–331, 2007.</w:t>
      </w:r>
    </w:p>
    <w:p w14:paraId="3B4ADBC6"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[34]</w:t>
      </w:r>
      <w:r w:rsidRPr="00EF4B3C">
        <w:rPr>
          <w:rFonts w:ascii="Calibri" w:hAnsi="Calibri" w:cs="Calibri"/>
          <w:noProof/>
          <w:szCs w:val="24"/>
        </w:rPr>
        <w:tab/>
        <w:t xml:space="preserve">J. T. Morisette </w:t>
      </w:r>
      <w:r w:rsidRPr="00EF4B3C">
        <w:rPr>
          <w:rFonts w:ascii="Calibri" w:hAnsi="Calibri" w:cs="Calibri"/>
          <w:i/>
          <w:iCs/>
          <w:noProof/>
          <w:szCs w:val="24"/>
        </w:rPr>
        <w:t>et al.</w:t>
      </w:r>
      <w:r w:rsidRPr="00EF4B3C">
        <w:rPr>
          <w:rFonts w:ascii="Calibri" w:hAnsi="Calibri" w:cs="Calibri"/>
          <w:noProof/>
          <w:szCs w:val="24"/>
        </w:rPr>
        <w:t xml:space="preserve">, “Validation of global moderate-resolution LAI products: a framework proposed within the CEOS land product validation subgroup,” </w:t>
      </w:r>
      <w:r w:rsidRPr="00EF4B3C">
        <w:rPr>
          <w:rFonts w:ascii="Calibri" w:hAnsi="Calibri" w:cs="Calibri"/>
          <w:i/>
          <w:iCs/>
          <w:noProof/>
          <w:szCs w:val="24"/>
        </w:rPr>
        <w:t>IEEE Trans. Geosci. Remote Sens.</w:t>
      </w:r>
      <w:r w:rsidRPr="00EF4B3C">
        <w:rPr>
          <w:rFonts w:ascii="Calibri" w:hAnsi="Calibri" w:cs="Calibri"/>
          <w:noProof/>
          <w:szCs w:val="24"/>
        </w:rPr>
        <w:t>, vol. 44, no. 7, pp. 1804–1817, Jul. 2006.</w:t>
      </w:r>
    </w:p>
    <w:p w14:paraId="41DE014A"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[35]</w:t>
      </w:r>
      <w:r w:rsidRPr="00EF4B3C">
        <w:rPr>
          <w:rFonts w:ascii="Calibri" w:hAnsi="Calibri" w:cs="Calibri"/>
          <w:noProof/>
          <w:szCs w:val="24"/>
        </w:rPr>
        <w:tab/>
        <w:t xml:space="preserve">K. Fitzpatrick-Lins, “Comparison of sampling procedures and data analysis for a land-use and land-cover map,” </w:t>
      </w:r>
      <w:r w:rsidRPr="00EF4B3C">
        <w:rPr>
          <w:rFonts w:ascii="Calibri" w:hAnsi="Calibri" w:cs="Calibri"/>
          <w:i/>
          <w:iCs/>
          <w:noProof/>
          <w:szCs w:val="24"/>
        </w:rPr>
        <w:t>Photogramm. Eng. Remote Sensing</w:t>
      </w:r>
      <w:r w:rsidRPr="00EF4B3C">
        <w:rPr>
          <w:rFonts w:ascii="Calibri" w:hAnsi="Calibri" w:cs="Calibri"/>
          <w:noProof/>
          <w:szCs w:val="24"/>
        </w:rPr>
        <w:t>, vol. 47, no. 3, pp. 343–351, 1981.</w:t>
      </w:r>
    </w:p>
    <w:p w14:paraId="7CE43CDC"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[36]</w:t>
      </w:r>
      <w:r w:rsidRPr="00EF4B3C">
        <w:rPr>
          <w:rFonts w:ascii="Calibri" w:hAnsi="Calibri" w:cs="Calibri"/>
          <w:noProof/>
          <w:szCs w:val="24"/>
        </w:rPr>
        <w:tab/>
        <w:t xml:space="preserve">F. Camacho, F. Baret, and R. Lacaze, </w:t>
      </w:r>
      <w:r w:rsidRPr="00EF4B3C">
        <w:rPr>
          <w:rFonts w:ascii="Calibri" w:hAnsi="Calibri" w:cs="Calibri"/>
          <w:i/>
          <w:iCs/>
          <w:noProof/>
          <w:szCs w:val="24"/>
        </w:rPr>
        <w:t>Guidelines for a Field Campaign</w:t>
      </w:r>
      <w:r w:rsidRPr="00EF4B3C">
        <w:rPr>
          <w:rFonts w:ascii="Calibri" w:hAnsi="Calibri" w:cs="Calibri"/>
          <w:noProof/>
          <w:szCs w:val="24"/>
        </w:rPr>
        <w:t>, 1.10. Valencia, Spain: EOLAB.</w:t>
      </w:r>
    </w:p>
    <w:p w14:paraId="5AFFC0FA"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[37]</w:t>
      </w:r>
      <w:r w:rsidRPr="00EF4B3C">
        <w:rPr>
          <w:rFonts w:ascii="Calibri" w:hAnsi="Calibri" w:cs="Calibri"/>
          <w:noProof/>
          <w:szCs w:val="24"/>
        </w:rPr>
        <w:tab/>
        <w:t xml:space="preserve">C. O. Justice and J. R. G. Townshend, “Integrating ground data with remote sensing,” in </w:t>
      </w:r>
      <w:r w:rsidRPr="00EF4B3C">
        <w:rPr>
          <w:rFonts w:ascii="Calibri" w:hAnsi="Calibri" w:cs="Calibri"/>
          <w:i/>
          <w:iCs/>
          <w:noProof/>
          <w:szCs w:val="24"/>
        </w:rPr>
        <w:t>Terrain Analysis and Remote Sensing</w:t>
      </w:r>
      <w:r w:rsidRPr="00EF4B3C">
        <w:rPr>
          <w:rFonts w:ascii="Calibri" w:hAnsi="Calibri" w:cs="Calibri"/>
          <w:noProof/>
          <w:szCs w:val="24"/>
        </w:rPr>
        <w:t>, J. R. G. Townshend, Ed. London, United Kingdom: Allen and Unwin, 1981, pp. 35–58.</w:t>
      </w:r>
    </w:p>
    <w:p w14:paraId="209B16CE"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[38]</w:t>
      </w:r>
      <w:r w:rsidRPr="00EF4B3C">
        <w:rPr>
          <w:rFonts w:ascii="Calibri" w:hAnsi="Calibri" w:cs="Calibri"/>
          <w:noProof/>
          <w:szCs w:val="24"/>
        </w:rPr>
        <w:tab/>
        <w:t xml:space="preserve">LI-COR, </w:t>
      </w:r>
      <w:r w:rsidRPr="00EF4B3C">
        <w:rPr>
          <w:rFonts w:ascii="Calibri" w:hAnsi="Calibri" w:cs="Calibri"/>
          <w:i/>
          <w:iCs/>
          <w:noProof/>
          <w:szCs w:val="24"/>
        </w:rPr>
        <w:t>LAI-2200C Plant Canopy Analyser Instruction Manual</w:t>
      </w:r>
      <w:r w:rsidRPr="00EF4B3C">
        <w:rPr>
          <w:rFonts w:ascii="Calibri" w:hAnsi="Calibri" w:cs="Calibri"/>
          <w:noProof/>
          <w:szCs w:val="24"/>
        </w:rPr>
        <w:t>. Lincoln, Nebraska, United States: LI-COR, 2013.</w:t>
      </w:r>
    </w:p>
    <w:p w14:paraId="78C6AA7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[39]</w:t>
      </w:r>
      <w:r w:rsidRPr="00EF4B3C">
        <w:rPr>
          <w:rFonts w:ascii="Calibri" w:hAnsi="Calibri" w:cs="Calibri"/>
          <w:noProof/>
          <w:szCs w:val="24"/>
        </w:rPr>
        <w:tab/>
        <w:t xml:space="preserve">T. Majasalmi, M. Rautiainen, P. Stenberg, and H. Rita, “Optimizing the sampling scheme for LAI-2000 measurements in a boreal forest,” </w:t>
      </w:r>
      <w:r w:rsidRPr="00EF4B3C">
        <w:rPr>
          <w:rFonts w:ascii="Calibri" w:hAnsi="Calibri" w:cs="Calibri"/>
          <w:i/>
          <w:iCs/>
          <w:noProof/>
          <w:szCs w:val="24"/>
        </w:rPr>
        <w:t>Agric. For. Meteorol.</w:t>
      </w:r>
      <w:r w:rsidRPr="00EF4B3C">
        <w:rPr>
          <w:rFonts w:ascii="Calibri" w:hAnsi="Calibri" w:cs="Calibri"/>
          <w:noProof/>
          <w:szCs w:val="24"/>
        </w:rPr>
        <w:t>, vol. 154–155, pp. 38–43, Mar. 2012.</w:t>
      </w:r>
    </w:p>
    <w:p w14:paraId="7886519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[40]</w:t>
      </w:r>
      <w:r w:rsidRPr="00EF4B3C">
        <w:rPr>
          <w:rFonts w:ascii="Calibri" w:hAnsi="Calibri" w:cs="Calibri"/>
          <w:noProof/>
          <w:szCs w:val="24"/>
        </w:rPr>
        <w:tab/>
        <w:t xml:space="preserve">M. Weiss, F. Baret, G. J. Smith, I. Jonckheere, and P. Coppin, “Review of methods for in situ leaf area index (LAI) determination Part II: Estimation of LAI, errors and sampling,” </w:t>
      </w:r>
      <w:r w:rsidRPr="00EF4B3C">
        <w:rPr>
          <w:rFonts w:ascii="Calibri" w:hAnsi="Calibri" w:cs="Calibri"/>
          <w:i/>
          <w:iCs/>
          <w:noProof/>
          <w:szCs w:val="24"/>
        </w:rPr>
        <w:t>Agric. For. Meteorol.</w:t>
      </w:r>
      <w:r w:rsidRPr="00EF4B3C">
        <w:rPr>
          <w:rFonts w:ascii="Calibri" w:hAnsi="Calibri" w:cs="Calibri"/>
          <w:noProof/>
          <w:szCs w:val="24"/>
        </w:rPr>
        <w:t>, vol. 121, no. 1–2, pp. 37–53, Jan. 2004.</w:t>
      </w:r>
    </w:p>
    <w:p w14:paraId="53F5479A"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[41]</w:t>
      </w:r>
      <w:r w:rsidRPr="00EF4B3C">
        <w:rPr>
          <w:rFonts w:ascii="Calibri" w:hAnsi="Calibri" w:cs="Calibri"/>
          <w:noProof/>
          <w:szCs w:val="24"/>
        </w:rPr>
        <w:tab/>
        <w:t xml:space="preserve">R. Fernandes </w:t>
      </w:r>
      <w:r w:rsidRPr="00EF4B3C">
        <w:rPr>
          <w:rFonts w:ascii="Calibri" w:hAnsi="Calibri" w:cs="Calibri"/>
          <w:i/>
          <w:iCs/>
          <w:noProof/>
          <w:szCs w:val="24"/>
        </w:rPr>
        <w:t>et al.</w:t>
      </w:r>
      <w:r w:rsidRPr="00EF4B3C">
        <w:rPr>
          <w:rFonts w:ascii="Calibri" w:hAnsi="Calibri" w:cs="Calibri"/>
          <w:noProof/>
          <w:szCs w:val="24"/>
        </w:rPr>
        <w:t xml:space="preserve">, “Global Leaf Area Index Product Validation Good Practices,” in </w:t>
      </w:r>
      <w:r w:rsidRPr="00EF4B3C">
        <w:rPr>
          <w:rFonts w:ascii="Calibri" w:hAnsi="Calibri" w:cs="Calibri"/>
          <w:i/>
          <w:iCs/>
          <w:noProof/>
          <w:szCs w:val="24"/>
        </w:rPr>
        <w:t>Best Practice for Satellite-Derived Land Product Validation</w:t>
      </w:r>
      <w:r w:rsidRPr="00EF4B3C">
        <w:rPr>
          <w:rFonts w:ascii="Calibri" w:hAnsi="Calibri" w:cs="Calibri"/>
          <w:noProof/>
          <w:szCs w:val="24"/>
        </w:rPr>
        <w:t>, 2.0., R. Fernandes, S. Plummer, and J. Nightingale, Eds. Land Product Validation Subgroup (Committee on Earth Observation Satellites Working Group on Calibration and Validation), 2014.</w:t>
      </w:r>
    </w:p>
    <w:p w14:paraId="03C8C3E1"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[42]</w:t>
      </w:r>
      <w:r w:rsidRPr="00EF4B3C">
        <w:rPr>
          <w:rFonts w:ascii="Calibri" w:hAnsi="Calibri" w:cs="Calibri"/>
          <w:noProof/>
          <w:szCs w:val="24"/>
        </w:rPr>
        <w:tab/>
        <w:t xml:space="preserve">A. Süß, M. Danner, C. Obster, M. Locherer, T. Hank, and K. Richter, </w:t>
      </w:r>
      <w:r w:rsidRPr="00EF4B3C">
        <w:rPr>
          <w:rFonts w:ascii="Calibri" w:hAnsi="Calibri" w:cs="Calibri"/>
          <w:i/>
          <w:iCs/>
          <w:noProof/>
          <w:szCs w:val="24"/>
        </w:rPr>
        <w:t>EnMAP Field Guides: Technical Report: Measuring Leaf Chlorophyll Content with the Konica Minolta SPAD-502 Plus</w:t>
      </w:r>
      <w:r w:rsidRPr="00EF4B3C">
        <w:rPr>
          <w:rFonts w:ascii="Calibri" w:hAnsi="Calibri" w:cs="Calibri"/>
          <w:noProof/>
          <w:szCs w:val="24"/>
        </w:rPr>
        <w:t>. Potsdam, Germany: GeoForschungsZentrum Data Services, 2015.</w:t>
      </w:r>
    </w:p>
    <w:p w14:paraId="480F358D"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[43]</w:t>
      </w:r>
      <w:r w:rsidRPr="00EF4B3C">
        <w:rPr>
          <w:rFonts w:ascii="Calibri" w:hAnsi="Calibri" w:cs="Calibri"/>
          <w:noProof/>
          <w:szCs w:val="24"/>
        </w:rPr>
        <w:tab/>
        <w:t xml:space="preserve">L. A. Brown, J. Dash, A. L. Lidon, E. Lopez-Baeza, and S. Dransfeld, “Synergetic Exploitation of the Sentinel-2 Missions for Validating the Sentinel-3 Ocean and Land Color Instrument Terrestrial Chlorophyll Index Over a Vineyard Dominated Mediterranean Environment,” </w:t>
      </w:r>
      <w:r w:rsidRPr="00EF4B3C">
        <w:rPr>
          <w:rFonts w:ascii="Calibri" w:hAnsi="Calibri" w:cs="Calibri"/>
          <w:i/>
          <w:iCs/>
          <w:noProof/>
          <w:szCs w:val="24"/>
        </w:rPr>
        <w:t>IEEE J. Sel. Top. Appl. Earth Obs. Remote Sens.</w:t>
      </w:r>
      <w:r w:rsidRPr="00EF4B3C">
        <w:rPr>
          <w:rFonts w:ascii="Calibri" w:hAnsi="Calibri" w:cs="Calibri"/>
          <w:noProof/>
          <w:szCs w:val="24"/>
        </w:rPr>
        <w:t>, vol. 12, no. 7, pp. 2244–2251, Jul. 2019.</w:t>
      </w:r>
    </w:p>
    <w:p w14:paraId="0A863F83"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[44]</w:t>
      </w:r>
      <w:r w:rsidRPr="00EF4B3C">
        <w:rPr>
          <w:rFonts w:ascii="Calibri" w:hAnsi="Calibri" w:cs="Calibri"/>
          <w:noProof/>
          <w:szCs w:val="24"/>
        </w:rPr>
        <w:tab/>
        <w:t xml:space="preserve">J. Dash, P. J. Curran, M. J. Tallis, G. M. Llewellyn, G. Taylor, and P. Snoeij, “Validating the MERIS Terrestrial Chlorophyll Index (MTCI) with ground chlorophyll content data at MERIS spatial resolution,” </w:t>
      </w:r>
      <w:r w:rsidRPr="00EF4B3C">
        <w:rPr>
          <w:rFonts w:ascii="Calibri" w:hAnsi="Calibri" w:cs="Calibri"/>
          <w:i/>
          <w:iCs/>
          <w:noProof/>
          <w:szCs w:val="24"/>
        </w:rPr>
        <w:t>Int. J. Remote Sens.</w:t>
      </w:r>
      <w:r w:rsidRPr="00EF4B3C">
        <w:rPr>
          <w:rFonts w:ascii="Calibri" w:hAnsi="Calibri" w:cs="Calibri"/>
          <w:noProof/>
          <w:szCs w:val="24"/>
        </w:rPr>
        <w:t>, vol. 31, no. 20, pp. 5513–5532, Oct. 2010.</w:t>
      </w:r>
    </w:p>
    <w:p w14:paraId="5B3F3D8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[45]</w:t>
      </w:r>
      <w:r w:rsidRPr="00EF4B3C">
        <w:rPr>
          <w:rFonts w:ascii="Calibri" w:hAnsi="Calibri" w:cs="Calibri"/>
          <w:noProof/>
          <w:szCs w:val="24"/>
        </w:rPr>
        <w:tab/>
        <w:t xml:space="preserve">G. Watmough, J. Dash, F. Vuolo, and W. Frampton, </w:t>
      </w:r>
      <w:r w:rsidRPr="00EF4B3C">
        <w:rPr>
          <w:rFonts w:ascii="Calibri" w:hAnsi="Calibri" w:cs="Calibri"/>
          <w:i/>
          <w:iCs/>
          <w:noProof/>
          <w:szCs w:val="24"/>
        </w:rPr>
        <w:t>Technical Note 2 - Validation Protocols</w:t>
      </w:r>
      <w:r w:rsidRPr="00EF4B3C">
        <w:rPr>
          <w:rFonts w:ascii="Calibri" w:hAnsi="Calibri" w:cs="Calibri"/>
          <w:noProof/>
          <w:szCs w:val="24"/>
        </w:rPr>
        <w:t>, 1st ed. Southampton, United Kingdom: University of Southampton, 2011.</w:t>
      </w:r>
    </w:p>
    <w:p w14:paraId="24288C6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[46]</w:t>
      </w:r>
      <w:r w:rsidRPr="00EF4B3C">
        <w:rPr>
          <w:rFonts w:ascii="Calibri" w:hAnsi="Calibri" w:cs="Calibri"/>
          <w:noProof/>
          <w:szCs w:val="24"/>
        </w:rPr>
        <w:tab/>
        <w:t xml:space="preserve">R. Fernandes and S. Leblanc, “Parametric (modified least squares) and non-parametric (Theil–Sen) linear regressions for predicting biophysical parameters in the presence of measurement </w:t>
      </w:r>
      <w:r w:rsidRPr="00EF4B3C">
        <w:rPr>
          <w:rFonts w:ascii="Calibri" w:hAnsi="Calibri" w:cs="Calibri"/>
          <w:noProof/>
          <w:szCs w:val="24"/>
        </w:rPr>
        <w:lastRenderedPageBreak/>
        <w:t xml:space="preserve">errors,” </w:t>
      </w:r>
      <w:r w:rsidRPr="00EF4B3C">
        <w:rPr>
          <w:rFonts w:ascii="Calibri" w:hAnsi="Calibri" w:cs="Calibri"/>
          <w:i/>
          <w:iCs/>
          <w:noProof/>
          <w:szCs w:val="24"/>
        </w:rPr>
        <w:t>Remote Sens. Environ.</w:t>
      </w:r>
      <w:r w:rsidRPr="00EF4B3C">
        <w:rPr>
          <w:rFonts w:ascii="Calibri" w:hAnsi="Calibri" w:cs="Calibri"/>
          <w:noProof/>
          <w:szCs w:val="24"/>
        </w:rPr>
        <w:t>, vol. 95, no. 3, pp. 303–316, Apr. 2005.</w:t>
      </w:r>
    </w:p>
    <w:p w14:paraId="429F513D"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[47]</w:t>
      </w:r>
      <w:r w:rsidRPr="00EF4B3C">
        <w:rPr>
          <w:rFonts w:ascii="Calibri" w:hAnsi="Calibri" w:cs="Calibri"/>
          <w:noProof/>
          <w:szCs w:val="24"/>
        </w:rPr>
        <w:tab/>
        <w:t xml:space="preserve">B. Martínez, F. J. García-Haro, and F. Camacho-de Coca, “Derivation of high-resolution leaf area index maps in support of validation activities: Application to the cropland Barrax site,” </w:t>
      </w:r>
      <w:r w:rsidRPr="00EF4B3C">
        <w:rPr>
          <w:rFonts w:ascii="Calibri" w:hAnsi="Calibri" w:cs="Calibri"/>
          <w:i/>
          <w:iCs/>
          <w:noProof/>
          <w:szCs w:val="24"/>
        </w:rPr>
        <w:t>Agric. For. Meteorol.</w:t>
      </w:r>
      <w:r w:rsidRPr="00EF4B3C">
        <w:rPr>
          <w:rFonts w:ascii="Calibri" w:hAnsi="Calibri" w:cs="Calibri"/>
          <w:noProof/>
          <w:szCs w:val="24"/>
        </w:rPr>
        <w:t>, vol. 149, no. 1, pp. 130–145, Jan. 2009.</w:t>
      </w:r>
    </w:p>
    <w:p w14:paraId="74FC7ABB"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[48]</w:t>
      </w:r>
      <w:r w:rsidRPr="00EF4B3C">
        <w:rPr>
          <w:rFonts w:ascii="Calibri" w:hAnsi="Calibri" w:cs="Calibri"/>
          <w:noProof/>
          <w:szCs w:val="24"/>
        </w:rPr>
        <w:tab/>
        <w:t xml:space="preserve">A. Verger, F. Baret, and F. Camacho, “Optimal modalities for radiative transfer-neural network estimation of canopy biophysical characteristics: Evaluation over an agricultural area with CHRIS/PROBA observations,” </w:t>
      </w:r>
      <w:r w:rsidRPr="00EF4B3C">
        <w:rPr>
          <w:rFonts w:ascii="Calibri" w:hAnsi="Calibri" w:cs="Calibri"/>
          <w:i/>
          <w:iCs/>
          <w:noProof/>
          <w:szCs w:val="24"/>
        </w:rPr>
        <w:t>Remote Sens. Environ.</w:t>
      </w:r>
      <w:r w:rsidRPr="00EF4B3C">
        <w:rPr>
          <w:rFonts w:ascii="Calibri" w:hAnsi="Calibri" w:cs="Calibri"/>
          <w:noProof/>
          <w:szCs w:val="24"/>
        </w:rPr>
        <w:t>, vol. 115, no. 2, pp. 415–426, Feb. 2011.</w:t>
      </w:r>
    </w:p>
    <w:p w14:paraId="14FD5584"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[49]</w:t>
      </w:r>
      <w:r w:rsidRPr="00EF4B3C">
        <w:rPr>
          <w:rFonts w:ascii="Calibri" w:hAnsi="Calibri" w:cs="Calibri"/>
          <w:noProof/>
          <w:szCs w:val="24"/>
        </w:rPr>
        <w:tab/>
        <w:t xml:space="preserve">J. Heiskanen, M. Rautiainen, L. Korhonen, M. Mõttus, and P. Stenberg, “Retrieval of boreal forest LAI using a forest reflectance model and empirical regressions,” </w:t>
      </w:r>
      <w:r w:rsidRPr="00EF4B3C">
        <w:rPr>
          <w:rFonts w:ascii="Calibri" w:hAnsi="Calibri" w:cs="Calibri"/>
          <w:i/>
          <w:iCs/>
          <w:noProof/>
          <w:szCs w:val="24"/>
        </w:rPr>
        <w:t>Int. J. Appl. Earth Obs. Geoinf.</w:t>
      </w:r>
      <w:r w:rsidRPr="00EF4B3C">
        <w:rPr>
          <w:rFonts w:ascii="Calibri" w:hAnsi="Calibri" w:cs="Calibri"/>
          <w:noProof/>
          <w:szCs w:val="24"/>
        </w:rPr>
        <w:t>, vol. 13, no. 4, pp. 595–606, Aug. 2011.</w:t>
      </w:r>
    </w:p>
    <w:p w14:paraId="55C66CE9"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[50]</w:t>
      </w:r>
      <w:r w:rsidRPr="00EF4B3C">
        <w:rPr>
          <w:rFonts w:ascii="Calibri" w:hAnsi="Calibri" w:cs="Calibri"/>
          <w:noProof/>
          <w:szCs w:val="24"/>
        </w:rPr>
        <w:tab/>
        <w:t xml:space="preserve">M. Claverie, E. F. Vermote, M. Weiss, F. Baret, O. Hagolle, and V. Demarez, “Validation of coarse spatial resolution LAI and FAPAR time series over cropland in southwest France,” </w:t>
      </w:r>
      <w:r w:rsidRPr="00EF4B3C">
        <w:rPr>
          <w:rFonts w:ascii="Calibri" w:hAnsi="Calibri" w:cs="Calibri"/>
          <w:i/>
          <w:iCs/>
          <w:noProof/>
          <w:szCs w:val="24"/>
        </w:rPr>
        <w:t>Remote Sens. Environ.</w:t>
      </w:r>
      <w:r w:rsidRPr="00EF4B3C">
        <w:rPr>
          <w:rFonts w:ascii="Calibri" w:hAnsi="Calibri" w:cs="Calibri"/>
          <w:noProof/>
          <w:szCs w:val="24"/>
        </w:rPr>
        <w:t>, vol. 139, pp. 216–230, Dec. 2013.</w:t>
      </w:r>
    </w:p>
    <w:p w14:paraId="384D1D2F"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[51]</w:t>
      </w:r>
      <w:r w:rsidRPr="00EF4B3C">
        <w:rPr>
          <w:rFonts w:ascii="Calibri" w:hAnsi="Calibri" w:cs="Calibri"/>
          <w:noProof/>
          <w:szCs w:val="24"/>
        </w:rPr>
        <w:tab/>
        <w:t xml:space="preserve">K. Richter, C. Atzberger, T. B. Hank, and W. Mauser, “Derivation of biophysical variables from Earth observation data: validation and statistical measures,” </w:t>
      </w:r>
      <w:r w:rsidRPr="00EF4B3C">
        <w:rPr>
          <w:rFonts w:ascii="Calibri" w:hAnsi="Calibri" w:cs="Calibri"/>
          <w:i/>
          <w:iCs/>
          <w:noProof/>
          <w:szCs w:val="24"/>
        </w:rPr>
        <w:t>J. Appl. Remote Sens.</w:t>
      </w:r>
      <w:r w:rsidRPr="00EF4B3C">
        <w:rPr>
          <w:rFonts w:ascii="Calibri" w:hAnsi="Calibri" w:cs="Calibri"/>
          <w:noProof/>
          <w:szCs w:val="24"/>
        </w:rPr>
        <w:t>, vol. 6, no. 1, pp. 063557–1, Sep. 2012.</w:t>
      </w:r>
    </w:p>
    <w:p w14:paraId="01655531"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[52]</w:t>
      </w:r>
      <w:r w:rsidRPr="00EF4B3C">
        <w:rPr>
          <w:rFonts w:ascii="Calibri" w:hAnsi="Calibri" w:cs="Calibri"/>
          <w:noProof/>
          <w:szCs w:val="24"/>
        </w:rPr>
        <w:tab/>
        <w:t>ESA, “S3 Product Notice – OLCI,” 2019. [Online]. Available: https://sentinel.esa.int/documents/247904/2700530/Sentinel-3-Product-Notice-OLCI.pdf.</w:t>
      </w:r>
    </w:p>
    <w:p w14:paraId="2781E65C"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[53]</w:t>
      </w:r>
      <w:r w:rsidRPr="00EF4B3C">
        <w:rPr>
          <w:rFonts w:ascii="Calibri" w:hAnsi="Calibri" w:cs="Calibri"/>
          <w:noProof/>
          <w:szCs w:val="24"/>
        </w:rPr>
        <w:tab/>
        <w:t>ESA, “Data Product Quality Reports.” [Online]. Available: https://sentinels.copernicus.eu/web/sentinel/technical-guides/sentinel-3-olci/data-quality-reports. [Accessed: 18-Mar-2019].</w:t>
      </w:r>
    </w:p>
    <w:p w14:paraId="3D6F1BAF"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[54]</w:t>
      </w:r>
      <w:r w:rsidRPr="00EF4B3C">
        <w:rPr>
          <w:rFonts w:ascii="Calibri" w:hAnsi="Calibri" w:cs="Calibri"/>
          <w:noProof/>
          <w:szCs w:val="24"/>
        </w:rPr>
        <w:tab/>
        <w:t xml:space="preserve">M. G. De Kauwe, M. I. Disney, T. Quaife, P. Lewis, and M. Williams, “An assessment of the MODIS collection 5 leaf area index product for a region of mixed coniferous forest,” </w:t>
      </w:r>
      <w:r w:rsidRPr="00EF4B3C">
        <w:rPr>
          <w:rFonts w:ascii="Calibri" w:hAnsi="Calibri" w:cs="Calibri"/>
          <w:i/>
          <w:iCs/>
          <w:noProof/>
          <w:szCs w:val="24"/>
        </w:rPr>
        <w:t>Remote Sens. Environ.</w:t>
      </w:r>
      <w:r w:rsidRPr="00EF4B3C">
        <w:rPr>
          <w:rFonts w:ascii="Calibri" w:hAnsi="Calibri" w:cs="Calibri"/>
          <w:noProof/>
          <w:szCs w:val="24"/>
        </w:rPr>
        <w:t>, vol. 115, no. 2, pp. 767–780, Feb. 2011.</w:t>
      </w:r>
    </w:p>
    <w:p w14:paraId="6A85D9C2"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szCs w:val="24"/>
        </w:rPr>
      </w:pPr>
      <w:r w:rsidRPr="00EF4B3C">
        <w:rPr>
          <w:rFonts w:ascii="Calibri" w:hAnsi="Calibri" w:cs="Calibri"/>
          <w:noProof/>
          <w:szCs w:val="24"/>
        </w:rPr>
        <w:t>[55]</w:t>
      </w:r>
      <w:r w:rsidRPr="00EF4B3C">
        <w:rPr>
          <w:rFonts w:ascii="Calibri" w:hAnsi="Calibri" w:cs="Calibri"/>
          <w:noProof/>
          <w:szCs w:val="24"/>
        </w:rPr>
        <w:tab/>
        <w:t xml:space="preserve">J. Gorroño </w:t>
      </w:r>
      <w:r w:rsidRPr="00EF4B3C">
        <w:rPr>
          <w:rFonts w:ascii="Calibri" w:hAnsi="Calibri" w:cs="Calibri"/>
          <w:i/>
          <w:iCs/>
          <w:noProof/>
          <w:szCs w:val="24"/>
        </w:rPr>
        <w:t>et al.</w:t>
      </w:r>
      <w:r w:rsidRPr="00EF4B3C">
        <w:rPr>
          <w:rFonts w:ascii="Calibri" w:hAnsi="Calibri" w:cs="Calibri"/>
          <w:noProof/>
          <w:szCs w:val="24"/>
        </w:rPr>
        <w:t xml:space="preserve">, “A Radiometric Uncertainty Tool for the Sentinel 2 Mission,” </w:t>
      </w:r>
      <w:r w:rsidRPr="00EF4B3C">
        <w:rPr>
          <w:rFonts w:ascii="Calibri" w:hAnsi="Calibri" w:cs="Calibri"/>
          <w:i/>
          <w:iCs/>
          <w:noProof/>
          <w:szCs w:val="24"/>
        </w:rPr>
        <w:t>Remote Sens.</w:t>
      </w:r>
      <w:r w:rsidRPr="00EF4B3C">
        <w:rPr>
          <w:rFonts w:ascii="Calibri" w:hAnsi="Calibri" w:cs="Calibri"/>
          <w:noProof/>
          <w:szCs w:val="24"/>
        </w:rPr>
        <w:t>, vol. 9, no. 2, p. 178, Feb. 2017.</w:t>
      </w:r>
    </w:p>
    <w:p w14:paraId="2BFFCD15" w14:textId="77777777" w:rsidR="00EF4B3C" w:rsidRPr="00EF4B3C" w:rsidRDefault="00EF4B3C" w:rsidP="00EF4B3C">
      <w:pPr>
        <w:widowControl w:val="0"/>
        <w:autoSpaceDE w:val="0"/>
        <w:autoSpaceDN w:val="0"/>
        <w:adjustRightInd w:val="0"/>
        <w:spacing w:line="240" w:lineRule="auto"/>
        <w:ind w:left="640" w:hanging="640"/>
        <w:rPr>
          <w:rFonts w:ascii="Calibri" w:hAnsi="Calibri" w:cs="Calibri"/>
          <w:noProof/>
        </w:rPr>
      </w:pPr>
      <w:r w:rsidRPr="00EF4B3C">
        <w:rPr>
          <w:rFonts w:ascii="Calibri" w:hAnsi="Calibri" w:cs="Calibri"/>
          <w:noProof/>
          <w:szCs w:val="24"/>
        </w:rPr>
        <w:t>[56]</w:t>
      </w:r>
      <w:r w:rsidRPr="00EF4B3C">
        <w:rPr>
          <w:rFonts w:ascii="Calibri" w:hAnsi="Calibri" w:cs="Calibri"/>
          <w:noProof/>
          <w:szCs w:val="24"/>
        </w:rPr>
        <w:tab/>
        <w:t xml:space="preserve">J. Gorroño </w:t>
      </w:r>
      <w:r w:rsidRPr="00EF4B3C">
        <w:rPr>
          <w:rFonts w:ascii="Calibri" w:hAnsi="Calibri" w:cs="Calibri"/>
          <w:i/>
          <w:iCs/>
          <w:noProof/>
          <w:szCs w:val="24"/>
        </w:rPr>
        <w:t>et al.</w:t>
      </w:r>
      <w:r w:rsidRPr="00EF4B3C">
        <w:rPr>
          <w:rFonts w:ascii="Calibri" w:hAnsi="Calibri" w:cs="Calibri"/>
          <w:noProof/>
          <w:szCs w:val="24"/>
        </w:rPr>
        <w:t xml:space="preserve">, “Providing uncertainty estimates of the Sentinel-2 top-of-atmosphere measurements for radiometric validation activities,” </w:t>
      </w:r>
      <w:r w:rsidRPr="00EF4B3C">
        <w:rPr>
          <w:rFonts w:ascii="Calibri" w:hAnsi="Calibri" w:cs="Calibri"/>
          <w:i/>
          <w:iCs/>
          <w:noProof/>
          <w:szCs w:val="24"/>
        </w:rPr>
        <w:t>Eur. J. Remote Sens.</w:t>
      </w:r>
      <w:r w:rsidRPr="00EF4B3C">
        <w:rPr>
          <w:rFonts w:ascii="Calibri" w:hAnsi="Calibri" w:cs="Calibri"/>
          <w:noProof/>
          <w:szCs w:val="24"/>
        </w:rPr>
        <w:t>, vol. 51, no. 1, pp. 650–666, Jan. 2018.</w:t>
      </w:r>
    </w:p>
    <w:p w14:paraId="549223F9" w14:textId="0D826261" w:rsidR="00FE36D8" w:rsidRDefault="00FE36D8" w:rsidP="00FE36D8">
      <w:pPr>
        <w:spacing w:line="360" w:lineRule="auto"/>
      </w:pPr>
      <w:r>
        <w:fldChar w:fldCharType="end"/>
      </w:r>
    </w:p>
    <w:p w14:paraId="7B5204D1" w14:textId="77777777" w:rsidR="00476577" w:rsidRDefault="00476577" w:rsidP="00476577">
      <w:pPr>
        <w:pStyle w:val="Heading6"/>
        <w:sectPr w:rsidR="00476577" w:rsidSect="00024274">
          <w:pgSz w:w="11906" w:h="16838"/>
          <w:pgMar w:top="1440" w:right="1440" w:bottom="1440" w:left="1440" w:header="708" w:footer="708" w:gutter="0"/>
          <w:cols w:space="708"/>
          <w:docGrid w:linePitch="360"/>
        </w:sectPr>
      </w:pPr>
    </w:p>
    <w:p w14:paraId="5E04D42A" w14:textId="449AA252" w:rsidR="005226EB" w:rsidRDefault="00476577" w:rsidP="00476577">
      <w:pPr>
        <w:pStyle w:val="Heading6"/>
      </w:pPr>
      <w:bookmarkStart w:id="57" w:name="_Toc43388075"/>
      <w:r>
        <w:lastRenderedPageBreak/>
        <w:t>Appendix</w:t>
      </w:r>
      <w:bookmarkEnd w:id="57"/>
    </w:p>
    <w:p w14:paraId="305AD1A0" w14:textId="2728AAB6" w:rsidR="00476577" w:rsidRDefault="00476577" w:rsidP="00476577">
      <w:pPr>
        <w:spacing w:after="0"/>
      </w:pPr>
    </w:p>
    <w:p w14:paraId="3CC5EC34" w14:textId="77777777" w:rsidR="00476577" w:rsidRDefault="00476577" w:rsidP="00476577">
      <w:pPr>
        <w:rPr>
          <w:i/>
          <w:iCs/>
          <w:sz w:val="32"/>
          <w:szCs w:val="32"/>
        </w:rPr>
      </w:pPr>
      <w:r>
        <w:rPr>
          <w:i/>
          <w:iCs/>
          <w:sz w:val="32"/>
          <w:szCs w:val="32"/>
        </w:rPr>
        <w:t xml:space="preserve">This section is pending further development </w:t>
      </w:r>
      <w:proofErr w:type="gramStart"/>
      <w:r>
        <w:rPr>
          <w:i/>
          <w:iCs/>
          <w:sz w:val="32"/>
          <w:szCs w:val="32"/>
        </w:rPr>
        <w:t>during the course of</w:t>
      </w:r>
      <w:proofErr w:type="gramEnd"/>
      <w:r>
        <w:rPr>
          <w:i/>
          <w:iCs/>
          <w:sz w:val="32"/>
          <w:szCs w:val="32"/>
        </w:rPr>
        <w:t xml:space="preserve"> FRM4VEG Phase 2</w:t>
      </w:r>
    </w:p>
    <w:p w14:paraId="5E29DBD0" w14:textId="77777777" w:rsidR="00476577" w:rsidRPr="00476577" w:rsidRDefault="00476577" w:rsidP="00476577"/>
    <w:sectPr w:rsidR="00476577" w:rsidRPr="00476577" w:rsidSect="00024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97373" w14:textId="77777777" w:rsidR="00DF5694" w:rsidRDefault="00DF5694" w:rsidP="0041691B">
      <w:r>
        <w:separator/>
      </w:r>
    </w:p>
  </w:endnote>
  <w:endnote w:type="continuationSeparator" w:id="0">
    <w:p w14:paraId="3BA0D4D4" w14:textId="77777777" w:rsidR="00DF5694" w:rsidRDefault="00DF5694" w:rsidP="0041691B">
      <w:r>
        <w:continuationSeparator/>
      </w:r>
    </w:p>
  </w:endnote>
  <w:endnote w:type="continuationNotice" w:id="1">
    <w:p w14:paraId="50D2DD90" w14:textId="77777777" w:rsidR="00DF5694" w:rsidRDefault="00DF5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JIKHD+TimesNewRoman,Bold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639C8" w14:textId="77777777" w:rsidR="000306CA" w:rsidRDefault="0003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612378"/>
      <w:docPartObj>
        <w:docPartGallery w:val="Page Numbers (Bottom of Page)"/>
        <w:docPartUnique/>
      </w:docPartObj>
    </w:sdtPr>
    <w:sdtEndPr>
      <w:rPr>
        <w:color w:val="7F7F7F" w:themeColor="background1" w:themeShade="7F"/>
        <w:spacing w:val="60"/>
      </w:rPr>
    </w:sdtEndPr>
    <w:sdtContent>
      <w:p w14:paraId="20023A62" w14:textId="717186AC" w:rsidR="000306CA" w:rsidRDefault="000306CA">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108683D7" w14:textId="77777777" w:rsidR="000306CA" w:rsidRDefault="000306CA" w:rsidP="00416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0306CA" w14:paraId="31DB351F" w14:textId="77777777" w:rsidTr="5FAD32C6">
      <w:tc>
        <w:tcPr>
          <w:tcW w:w="3009" w:type="dxa"/>
        </w:tcPr>
        <w:p w14:paraId="5551F2D4" w14:textId="49EEC654" w:rsidR="000306CA" w:rsidRDefault="000306CA" w:rsidP="5FAD32C6">
          <w:pPr>
            <w:pStyle w:val="Header"/>
            <w:ind w:left="-115"/>
          </w:pPr>
        </w:p>
      </w:tc>
      <w:tc>
        <w:tcPr>
          <w:tcW w:w="3009" w:type="dxa"/>
        </w:tcPr>
        <w:p w14:paraId="1F08EDAD" w14:textId="2D9578BC" w:rsidR="000306CA" w:rsidRDefault="000306CA" w:rsidP="5FAD32C6">
          <w:pPr>
            <w:pStyle w:val="Header"/>
            <w:jc w:val="center"/>
          </w:pPr>
        </w:p>
      </w:tc>
      <w:tc>
        <w:tcPr>
          <w:tcW w:w="3009" w:type="dxa"/>
        </w:tcPr>
        <w:p w14:paraId="644526EB" w14:textId="1C2A25B5" w:rsidR="000306CA" w:rsidRDefault="000306CA" w:rsidP="5FAD32C6">
          <w:pPr>
            <w:pStyle w:val="Header"/>
            <w:ind w:right="-115"/>
            <w:jc w:val="right"/>
          </w:pPr>
        </w:p>
      </w:tc>
    </w:tr>
  </w:tbl>
  <w:p w14:paraId="34262C9B" w14:textId="34DCEB2E" w:rsidR="000306CA" w:rsidRDefault="000306CA" w:rsidP="003571E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599936"/>
      <w:docPartObj>
        <w:docPartGallery w:val="Page Numbers (Bottom of Page)"/>
        <w:docPartUnique/>
      </w:docPartObj>
    </w:sdtPr>
    <w:sdtEndPr>
      <w:rPr>
        <w:color w:val="7F7F7F" w:themeColor="background1" w:themeShade="7F"/>
        <w:spacing w:val="60"/>
      </w:rPr>
    </w:sdtEndPr>
    <w:sdtContent>
      <w:p w14:paraId="4556471F" w14:textId="2954F5C5" w:rsidR="000306CA" w:rsidRDefault="000306CA">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Pr>
            <w:noProof/>
          </w:rPr>
          <w:t>39</w:t>
        </w:r>
        <w:r>
          <w:rPr>
            <w:noProof/>
          </w:rPr>
          <w:fldChar w:fldCharType="end"/>
        </w:r>
        <w:r>
          <w:t xml:space="preserve"> | </w:t>
        </w:r>
        <w:r>
          <w:rPr>
            <w:color w:val="7F7F7F" w:themeColor="background1" w:themeShade="7F"/>
            <w:spacing w:val="60"/>
          </w:rPr>
          <w:t>Page</w:t>
        </w:r>
      </w:p>
    </w:sdtContent>
  </w:sdt>
  <w:p w14:paraId="19F355DE" w14:textId="77777777" w:rsidR="000306CA" w:rsidRDefault="000306CA" w:rsidP="004169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0306CA" w14:paraId="42E45436" w14:textId="77777777" w:rsidTr="5FAD32C6">
      <w:tc>
        <w:tcPr>
          <w:tcW w:w="3009" w:type="dxa"/>
        </w:tcPr>
        <w:p w14:paraId="52C9B484" w14:textId="77777777" w:rsidR="000306CA" w:rsidRDefault="000306CA" w:rsidP="5FAD32C6">
          <w:pPr>
            <w:pStyle w:val="Header"/>
            <w:ind w:left="-115"/>
          </w:pPr>
        </w:p>
      </w:tc>
      <w:tc>
        <w:tcPr>
          <w:tcW w:w="3009" w:type="dxa"/>
        </w:tcPr>
        <w:p w14:paraId="1F1EFEFA" w14:textId="77777777" w:rsidR="000306CA" w:rsidRDefault="000306CA" w:rsidP="5FAD32C6">
          <w:pPr>
            <w:pStyle w:val="Header"/>
            <w:jc w:val="center"/>
          </w:pPr>
        </w:p>
      </w:tc>
      <w:tc>
        <w:tcPr>
          <w:tcW w:w="3009" w:type="dxa"/>
        </w:tcPr>
        <w:p w14:paraId="03287A31" w14:textId="77777777" w:rsidR="000306CA" w:rsidRDefault="000306CA" w:rsidP="5FAD32C6">
          <w:pPr>
            <w:pStyle w:val="Header"/>
            <w:ind w:right="-115"/>
            <w:jc w:val="right"/>
          </w:pPr>
        </w:p>
      </w:tc>
    </w:tr>
  </w:tbl>
  <w:p w14:paraId="4C7F6E1D" w14:textId="77777777" w:rsidR="000306CA" w:rsidRDefault="000306CA"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DD3DA" w14:textId="77777777" w:rsidR="00DF5694" w:rsidRDefault="00DF5694" w:rsidP="0041691B">
      <w:r>
        <w:separator/>
      </w:r>
    </w:p>
  </w:footnote>
  <w:footnote w:type="continuationSeparator" w:id="0">
    <w:p w14:paraId="3E7198DD" w14:textId="77777777" w:rsidR="00DF5694" w:rsidRDefault="00DF5694" w:rsidP="0041691B">
      <w:r>
        <w:continuationSeparator/>
      </w:r>
    </w:p>
  </w:footnote>
  <w:footnote w:type="continuationNotice" w:id="1">
    <w:p w14:paraId="16D83183" w14:textId="77777777" w:rsidR="00DF5694" w:rsidRDefault="00DF5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70980" w14:textId="77777777" w:rsidR="000306CA" w:rsidRDefault="00030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Title"/>
      <w:tag w:val=""/>
      <w:id w:val="1673992423"/>
      <w:dataBinding w:prefixMappings="xmlns:ns0='http://purl.org/dc/elements/1.1/' xmlns:ns1='http://schemas.openxmlformats.org/package/2006/metadata/core-properties' " w:xpath="/ns1:coreProperties[1]/ns0:title[1]" w:storeItemID="{6C3C8BC8-F283-45AE-878A-BAB7291924A1}"/>
      <w:text/>
    </w:sdtPr>
    <w:sdtContent>
      <w:p w14:paraId="775C7F9C" w14:textId="371A12D4" w:rsidR="000306CA" w:rsidRDefault="000306CA" w:rsidP="0041691B">
        <w:pPr>
          <w:pStyle w:val="Header"/>
        </w:pPr>
        <w:r>
          <w:t>Validation Methodology (VM)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0306CA" w14:paraId="0766C437" w14:textId="77777777" w:rsidTr="5FAD32C6">
      <w:tc>
        <w:tcPr>
          <w:tcW w:w="3009" w:type="dxa"/>
        </w:tcPr>
        <w:p w14:paraId="1FBC0772" w14:textId="0DD5AD1C" w:rsidR="000306CA" w:rsidRDefault="000306CA" w:rsidP="5FAD32C6">
          <w:pPr>
            <w:pStyle w:val="Header"/>
            <w:ind w:left="-115"/>
          </w:pPr>
        </w:p>
      </w:tc>
      <w:tc>
        <w:tcPr>
          <w:tcW w:w="3009" w:type="dxa"/>
        </w:tcPr>
        <w:p w14:paraId="6D00A7A2" w14:textId="4E5D6411" w:rsidR="000306CA" w:rsidRDefault="000306CA" w:rsidP="5FAD32C6">
          <w:pPr>
            <w:pStyle w:val="Header"/>
            <w:jc w:val="center"/>
          </w:pPr>
        </w:p>
      </w:tc>
      <w:tc>
        <w:tcPr>
          <w:tcW w:w="3009" w:type="dxa"/>
        </w:tcPr>
        <w:p w14:paraId="6851BF08" w14:textId="43BA3A75" w:rsidR="000306CA" w:rsidRDefault="000306CA" w:rsidP="5FAD32C6">
          <w:pPr>
            <w:pStyle w:val="Header"/>
            <w:ind w:right="-115"/>
            <w:jc w:val="right"/>
          </w:pPr>
        </w:p>
      </w:tc>
    </w:tr>
  </w:tbl>
  <w:p w14:paraId="1C9BB5ED" w14:textId="15A82188" w:rsidR="000306CA" w:rsidRDefault="000306CA"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ED3"/>
    <w:multiLevelType w:val="hybridMultilevel"/>
    <w:tmpl w:val="1FD22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F5EAE"/>
    <w:multiLevelType w:val="hybridMultilevel"/>
    <w:tmpl w:val="E8CEA7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6EB9"/>
    <w:multiLevelType w:val="hybridMultilevel"/>
    <w:tmpl w:val="41DE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54A"/>
    <w:multiLevelType w:val="multilevel"/>
    <w:tmpl w:val="2AAA41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565"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4" w15:restartNumberingAfterBreak="0">
    <w:nsid w:val="0E7C4F8A"/>
    <w:multiLevelType w:val="hybridMultilevel"/>
    <w:tmpl w:val="319EF142"/>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B6726"/>
    <w:multiLevelType w:val="hybridMultilevel"/>
    <w:tmpl w:val="0A40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D64C7"/>
    <w:multiLevelType w:val="hybridMultilevel"/>
    <w:tmpl w:val="E48EA16E"/>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E70EF"/>
    <w:multiLevelType w:val="hybridMultilevel"/>
    <w:tmpl w:val="36E4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51CBE"/>
    <w:multiLevelType w:val="hybridMultilevel"/>
    <w:tmpl w:val="AB5C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D3242"/>
    <w:multiLevelType w:val="hybridMultilevel"/>
    <w:tmpl w:val="A5A083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77128"/>
    <w:multiLevelType w:val="hybridMultilevel"/>
    <w:tmpl w:val="A6963A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C1D97"/>
    <w:multiLevelType w:val="hybridMultilevel"/>
    <w:tmpl w:val="88FA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47B7B"/>
    <w:multiLevelType w:val="hybridMultilevel"/>
    <w:tmpl w:val="F124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4943AC"/>
    <w:multiLevelType w:val="hybridMultilevel"/>
    <w:tmpl w:val="D2B037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645D4"/>
    <w:multiLevelType w:val="hybridMultilevel"/>
    <w:tmpl w:val="2E168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086944"/>
    <w:multiLevelType w:val="hybridMultilevel"/>
    <w:tmpl w:val="2CB211E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25A320A0"/>
    <w:multiLevelType w:val="hybridMultilevel"/>
    <w:tmpl w:val="B0C86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00DCF"/>
    <w:multiLevelType w:val="hybridMultilevel"/>
    <w:tmpl w:val="C2BEAB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2EA401D2"/>
    <w:multiLevelType w:val="hybridMultilevel"/>
    <w:tmpl w:val="FD5C4D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050A8"/>
    <w:multiLevelType w:val="hybridMultilevel"/>
    <w:tmpl w:val="FF04E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BD28DC"/>
    <w:multiLevelType w:val="hybridMultilevel"/>
    <w:tmpl w:val="6DE6AB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32A"/>
    <w:multiLevelType w:val="hybridMultilevel"/>
    <w:tmpl w:val="F558E436"/>
    <w:lvl w:ilvl="0" w:tplc="C55E4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03E14"/>
    <w:multiLevelType w:val="hybridMultilevel"/>
    <w:tmpl w:val="895E795C"/>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24" w15:restartNumberingAfterBreak="0">
    <w:nsid w:val="433D33D7"/>
    <w:multiLevelType w:val="hybridMultilevel"/>
    <w:tmpl w:val="FF2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608DB"/>
    <w:multiLevelType w:val="hybridMultilevel"/>
    <w:tmpl w:val="B338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54136B"/>
    <w:multiLevelType w:val="hybridMultilevel"/>
    <w:tmpl w:val="9414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D2EED"/>
    <w:multiLevelType w:val="multilevel"/>
    <w:tmpl w:val="DC624F1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28" w15:restartNumberingAfterBreak="0">
    <w:nsid w:val="4B856820"/>
    <w:multiLevelType w:val="hybridMultilevel"/>
    <w:tmpl w:val="09DA512E"/>
    <w:lvl w:ilvl="0" w:tplc="08090001">
      <w:start w:val="1"/>
      <w:numFmt w:val="bullet"/>
      <w:lvlText w:val=""/>
      <w:lvlJc w:val="left"/>
      <w:pPr>
        <w:ind w:left="720" w:hanging="360"/>
      </w:pPr>
      <w:rPr>
        <w:rFonts w:ascii="Symbol" w:hAnsi="Symbol" w:hint="default"/>
      </w:rPr>
    </w:lvl>
    <w:lvl w:ilvl="1" w:tplc="E342D95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80C39"/>
    <w:multiLevelType w:val="hybridMultilevel"/>
    <w:tmpl w:val="1890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C4A63"/>
    <w:multiLevelType w:val="hybridMultilevel"/>
    <w:tmpl w:val="E8D8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224DB3"/>
    <w:multiLevelType w:val="hybridMultilevel"/>
    <w:tmpl w:val="2FF8A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17350C"/>
    <w:multiLevelType w:val="hybridMultilevel"/>
    <w:tmpl w:val="A5F2A16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3" w15:restartNumberingAfterBreak="0">
    <w:nsid w:val="58685863"/>
    <w:multiLevelType w:val="hybridMultilevel"/>
    <w:tmpl w:val="2410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42052"/>
    <w:multiLevelType w:val="multilevel"/>
    <w:tmpl w:val="4B1A89E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35" w15:restartNumberingAfterBreak="0">
    <w:nsid w:val="5C544A0C"/>
    <w:multiLevelType w:val="hybridMultilevel"/>
    <w:tmpl w:val="F3F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440B9"/>
    <w:multiLevelType w:val="hybridMultilevel"/>
    <w:tmpl w:val="1340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629F2"/>
    <w:multiLevelType w:val="hybridMultilevel"/>
    <w:tmpl w:val="B2F8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9275D6"/>
    <w:multiLevelType w:val="hybridMultilevel"/>
    <w:tmpl w:val="AC6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727F6"/>
    <w:multiLevelType w:val="hybridMultilevel"/>
    <w:tmpl w:val="91E4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57512"/>
    <w:multiLevelType w:val="hybridMultilevel"/>
    <w:tmpl w:val="9122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9542D5"/>
    <w:multiLevelType w:val="hybridMultilevel"/>
    <w:tmpl w:val="446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F3DA7"/>
    <w:multiLevelType w:val="hybridMultilevel"/>
    <w:tmpl w:val="2C1820EE"/>
    <w:lvl w:ilvl="0" w:tplc="5FCEE2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6B7FED"/>
    <w:multiLevelType w:val="hybridMultilevel"/>
    <w:tmpl w:val="0BBE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964C7A"/>
    <w:multiLevelType w:val="hybridMultilevel"/>
    <w:tmpl w:val="6A7A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D4634"/>
    <w:multiLevelType w:val="hybridMultilevel"/>
    <w:tmpl w:val="8834C3C6"/>
    <w:lvl w:ilvl="0" w:tplc="08090001">
      <w:start w:val="1"/>
      <w:numFmt w:val="bullet"/>
      <w:lvlText w:val=""/>
      <w:lvlJc w:val="left"/>
      <w:pPr>
        <w:ind w:left="720" w:hanging="360"/>
      </w:pPr>
      <w:rPr>
        <w:rFonts w:ascii="Symbol" w:hAnsi="Symbol" w:hint="default"/>
      </w:rPr>
    </w:lvl>
    <w:lvl w:ilvl="1" w:tplc="EFE0139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E7F3A"/>
    <w:multiLevelType w:val="hybridMultilevel"/>
    <w:tmpl w:val="60B80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
  </w:num>
  <w:num w:numId="3">
    <w:abstractNumId w:val="39"/>
  </w:num>
  <w:num w:numId="4">
    <w:abstractNumId w:val="14"/>
  </w:num>
  <w:num w:numId="5">
    <w:abstractNumId w:val="31"/>
  </w:num>
  <w:num w:numId="6">
    <w:abstractNumId w:val="12"/>
  </w:num>
  <w:num w:numId="7">
    <w:abstractNumId w:val="25"/>
  </w:num>
  <w:num w:numId="8">
    <w:abstractNumId w:val="37"/>
  </w:num>
  <w:num w:numId="9">
    <w:abstractNumId w:val="0"/>
  </w:num>
  <w:num w:numId="10">
    <w:abstractNumId w:val="46"/>
  </w:num>
  <w:num w:numId="11">
    <w:abstractNumId w:val="19"/>
  </w:num>
  <w:num w:numId="12">
    <w:abstractNumId w:val="45"/>
  </w:num>
  <w:num w:numId="13">
    <w:abstractNumId w:val="6"/>
  </w:num>
  <w:num w:numId="14">
    <w:abstractNumId w:val="21"/>
  </w:num>
  <w:num w:numId="15">
    <w:abstractNumId w:val="42"/>
  </w:num>
  <w:num w:numId="16">
    <w:abstractNumId w:val="5"/>
  </w:num>
  <w:num w:numId="17">
    <w:abstractNumId w:val="28"/>
  </w:num>
  <w:num w:numId="18">
    <w:abstractNumId w:val="24"/>
  </w:num>
  <w:num w:numId="19">
    <w:abstractNumId w:val="7"/>
  </w:num>
  <w:num w:numId="20">
    <w:abstractNumId w:val="36"/>
  </w:num>
  <w:num w:numId="21">
    <w:abstractNumId w:val="26"/>
  </w:num>
  <w:num w:numId="22">
    <w:abstractNumId w:val="27"/>
  </w:num>
  <w:num w:numId="23">
    <w:abstractNumId w:val="3"/>
    <w:lvlOverride w:ilvl="0">
      <w:startOverride w:val="1"/>
    </w:lvlOverride>
  </w:num>
  <w:num w:numId="24">
    <w:abstractNumId w:val="13"/>
  </w:num>
  <w:num w:numId="25">
    <w:abstractNumId w:val="34"/>
  </w:num>
  <w:num w:numId="26">
    <w:abstractNumId w:val="32"/>
  </w:num>
  <w:num w:numId="27">
    <w:abstractNumId w:val="20"/>
  </w:num>
  <w:num w:numId="28">
    <w:abstractNumId w:val="44"/>
  </w:num>
  <w:num w:numId="29">
    <w:abstractNumId w:val="1"/>
  </w:num>
  <w:num w:numId="30">
    <w:abstractNumId w:val="11"/>
  </w:num>
  <w:num w:numId="31">
    <w:abstractNumId w:val="41"/>
  </w:num>
  <w:num w:numId="32">
    <w:abstractNumId w:val="30"/>
  </w:num>
  <w:num w:numId="33">
    <w:abstractNumId w:val="38"/>
  </w:num>
  <w:num w:numId="34">
    <w:abstractNumId w:val="33"/>
  </w:num>
  <w:num w:numId="35">
    <w:abstractNumId w:val="16"/>
  </w:num>
  <w:num w:numId="36">
    <w:abstractNumId w:val="18"/>
  </w:num>
  <w:num w:numId="37">
    <w:abstractNumId w:val="15"/>
  </w:num>
  <w:num w:numId="38">
    <w:abstractNumId w:val="8"/>
  </w:num>
  <w:num w:numId="39">
    <w:abstractNumId w:val="40"/>
  </w:num>
  <w:num w:numId="40">
    <w:abstractNumId w:val="17"/>
  </w:num>
  <w:num w:numId="41">
    <w:abstractNumId w:val="29"/>
  </w:num>
  <w:num w:numId="42">
    <w:abstractNumId w:val="2"/>
  </w:num>
  <w:num w:numId="43">
    <w:abstractNumId w:val="9"/>
  </w:num>
  <w:num w:numId="44">
    <w:abstractNumId w:val="22"/>
  </w:num>
  <w:num w:numId="45">
    <w:abstractNumId w:val="4"/>
  </w:num>
  <w:num w:numId="46">
    <w:abstractNumId w:val="43"/>
  </w:num>
  <w:num w:numId="47">
    <w:abstractNumId w:val="10"/>
  </w:num>
  <w:num w:numId="48">
    <w:abstractNumId w:val="35"/>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273"/>
    <w:rsid w:val="0000198F"/>
    <w:rsid w:val="00001C2D"/>
    <w:rsid w:val="00002DAE"/>
    <w:rsid w:val="000048C2"/>
    <w:rsid w:val="00004B30"/>
    <w:rsid w:val="00004E8F"/>
    <w:rsid w:val="000058F8"/>
    <w:rsid w:val="000059C7"/>
    <w:rsid w:val="00007118"/>
    <w:rsid w:val="00007DC3"/>
    <w:rsid w:val="000103AF"/>
    <w:rsid w:val="00010B0A"/>
    <w:rsid w:val="00012FD2"/>
    <w:rsid w:val="00013A9E"/>
    <w:rsid w:val="000143A8"/>
    <w:rsid w:val="0001544F"/>
    <w:rsid w:val="000157AF"/>
    <w:rsid w:val="000158D3"/>
    <w:rsid w:val="000170B7"/>
    <w:rsid w:val="00021A26"/>
    <w:rsid w:val="00024274"/>
    <w:rsid w:val="00025A17"/>
    <w:rsid w:val="00026D2D"/>
    <w:rsid w:val="0002739D"/>
    <w:rsid w:val="000275D2"/>
    <w:rsid w:val="000306CA"/>
    <w:rsid w:val="00030889"/>
    <w:rsid w:val="00030B93"/>
    <w:rsid w:val="00032880"/>
    <w:rsid w:val="00032FD7"/>
    <w:rsid w:val="000347DB"/>
    <w:rsid w:val="00037A4E"/>
    <w:rsid w:val="0004011E"/>
    <w:rsid w:val="00040D8E"/>
    <w:rsid w:val="00041516"/>
    <w:rsid w:val="00042A28"/>
    <w:rsid w:val="00042B72"/>
    <w:rsid w:val="0004462D"/>
    <w:rsid w:val="000453D4"/>
    <w:rsid w:val="0004591B"/>
    <w:rsid w:val="0005189C"/>
    <w:rsid w:val="00051B88"/>
    <w:rsid w:val="0005390B"/>
    <w:rsid w:val="00053A8E"/>
    <w:rsid w:val="000563F4"/>
    <w:rsid w:val="000573DA"/>
    <w:rsid w:val="000609C2"/>
    <w:rsid w:val="00061D8F"/>
    <w:rsid w:val="00062133"/>
    <w:rsid w:val="0006283D"/>
    <w:rsid w:val="00063D5D"/>
    <w:rsid w:val="000659ED"/>
    <w:rsid w:val="000679E4"/>
    <w:rsid w:val="00070782"/>
    <w:rsid w:val="00070E37"/>
    <w:rsid w:val="00072B87"/>
    <w:rsid w:val="00075BAF"/>
    <w:rsid w:val="00075E26"/>
    <w:rsid w:val="000765C3"/>
    <w:rsid w:val="00077AE4"/>
    <w:rsid w:val="0008047A"/>
    <w:rsid w:val="00080E22"/>
    <w:rsid w:val="000829EB"/>
    <w:rsid w:val="00085080"/>
    <w:rsid w:val="000858E8"/>
    <w:rsid w:val="000860D1"/>
    <w:rsid w:val="000862E4"/>
    <w:rsid w:val="000874C9"/>
    <w:rsid w:val="000907A1"/>
    <w:rsid w:val="00091966"/>
    <w:rsid w:val="00092224"/>
    <w:rsid w:val="00092DB8"/>
    <w:rsid w:val="00094710"/>
    <w:rsid w:val="00094F18"/>
    <w:rsid w:val="00095102"/>
    <w:rsid w:val="000952DC"/>
    <w:rsid w:val="00095880"/>
    <w:rsid w:val="00096CA4"/>
    <w:rsid w:val="00096DF3"/>
    <w:rsid w:val="0009752A"/>
    <w:rsid w:val="00097FA4"/>
    <w:rsid w:val="000A0F58"/>
    <w:rsid w:val="000A1534"/>
    <w:rsid w:val="000A2014"/>
    <w:rsid w:val="000A36FB"/>
    <w:rsid w:val="000A3C2C"/>
    <w:rsid w:val="000A64F7"/>
    <w:rsid w:val="000A6721"/>
    <w:rsid w:val="000A6C24"/>
    <w:rsid w:val="000B0EB9"/>
    <w:rsid w:val="000B2245"/>
    <w:rsid w:val="000B2817"/>
    <w:rsid w:val="000B4F94"/>
    <w:rsid w:val="000B5D76"/>
    <w:rsid w:val="000B63E5"/>
    <w:rsid w:val="000B7ED3"/>
    <w:rsid w:val="000C090F"/>
    <w:rsid w:val="000C0F32"/>
    <w:rsid w:val="000C1135"/>
    <w:rsid w:val="000C17F5"/>
    <w:rsid w:val="000C2539"/>
    <w:rsid w:val="000C2DC0"/>
    <w:rsid w:val="000C47AB"/>
    <w:rsid w:val="000C48B4"/>
    <w:rsid w:val="000C75BE"/>
    <w:rsid w:val="000C7D2C"/>
    <w:rsid w:val="000D2F18"/>
    <w:rsid w:val="000D3E8A"/>
    <w:rsid w:val="000D3F1E"/>
    <w:rsid w:val="000D44EC"/>
    <w:rsid w:val="000D48DA"/>
    <w:rsid w:val="000D4DED"/>
    <w:rsid w:val="000D51BE"/>
    <w:rsid w:val="000D59A5"/>
    <w:rsid w:val="000D603A"/>
    <w:rsid w:val="000E07B6"/>
    <w:rsid w:val="000E1FA4"/>
    <w:rsid w:val="000E4892"/>
    <w:rsid w:val="000E53AD"/>
    <w:rsid w:val="000E540F"/>
    <w:rsid w:val="000E57C9"/>
    <w:rsid w:val="000E58C4"/>
    <w:rsid w:val="000E6F85"/>
    <w:rsid w:val="000E7E34"/>
    <w:rsid w:val="000F081B"/>
    <w:rsid w:val="000F0D3A"/>
    <w:rsid w:val="000F0DF3"/>
    <w:rsid w:val="000F1832"/>
    <w:rsid w:val="000F1C68"/>
    <w:rsid w:val="000F23DF"/>
    <w:rsid w:val="000F2BF9"/>
    <w:rsid w:val="000F5084"/>
    <w:rsid w:val="000F6CE6"/>
    <w:rsid w:val="001006D4"/>
    <w:rsid w:val="001022B7"/>
    <w:rsid w:val="00102D24"/>
    <w:rsid w:val="00102EF0"/>
    <w:rsid w:val="001033B1"/>
    <w:rsid w:val="00103D0C"/>
    <w:rsid w:val="001041C5"/>
    <w:rsid w:val="00105456"/>
    <w:rsid w:val="00105B3B"/>
    <w:rsid w:val="00105CE4"/>
    <w:rsid w:val="00106031"/>
    <w:rsid w:val="0010613E"/>
    <w:rsid w:val="00106768"/>
    <w:rsid w:val="00107910"/>
    <w:rsid w:val="00110339"/>
    <w:rsid w:val="00111C68"/>
    <w:rsid w:val="00112E70"/>
    <w:rsid w:val="001131BD"/>
    <w:rsid w:val="0011325F"/>
    <w:rsid w:val="00113881"/>
    <w:rsid w:val="00113BFC"/>
    <w:rsid w:val="001143CD"/>
    <w:rsid w:val="001158AB"/>
    <w:rsid w:val="00117DA4"/>
    <w:rsid w:val="00120263"/>
    <w:rsid w:val="00121571"/>
    <w:rsid w:val="00122587"/>
    <w:rsid w:val="00122DE9"/>
    <w:rsid w:val="001234B2"/>
    <w:rsid w:val="00123AE8"/>
    <w:rsid w:val="00123FE6"/>
    <w:rsid w:val="0012602C"/>
    <w:rsid w:val="0012684E"/>
    <w:rsid w:val="00130970"/>
    <w:rsid w:val="00130C74"/>
    <w:rsid w:val="0013177D"/>
    <w:rsid w:val="00131D87"/>
    <w:rsid w:val="001323A7"/>
    <w:rsid w:val="00134A8E"/>
    <w:rsid w:val="001359B3"/>
    <w:rsid w:val="00135ED8"/>
    <w:rsid w:val="00136897"/>
    <w:rsid w:val="00136E13"/>
    <w:rsid w:val="00140CBA"/>
    <w:rsid w:val="00140CC5"/>
    <w:rsid w:val="001415DE"/>
    <w:rsid w:val="00143463"/>
    <w:rsid w:val="001436FB"/>
    <w:rsid w:val="00144403"/>
    <w:rsid w:val="00145D75"/>
    <w:rsid w:val="001467B2"/>
    <w:rsid w:val="0015062B"/>
    <w:rsid w:val="00151F43"/>
    <w:rsid w:val="001524A9"/>
    <w:rsid w:val="00152AEF"/>
    <w:rsid w:val="00154320"/>
    <w:rsid w:val="00154E3C"/>
    <w:rsid w:val="00155563"/>
    <w:rsid w:val="00155A07"/>
    <w:rsid w:val="001631C6"/>
    <w:rsid w:val="0016370B"/>
    <w:rsid w:val="0016398B"/>
    <w:rsid w:val="00163BC5"/>
    <w:rsid w:val="001649B2"/>
    <w:rsid w:val="00164C84"/>
    <w:rsid w:val="00165FE8"/>
    <w:rsid w:val="00167138"/>
    <w:rsid w:val="0017076E"/>
    <w:rsid w:val="001722F7"/>
    <w:rsid w:val="001733C4"/>
    <w:rsid w:val="00173E40"/>
    <w:rsid w:val="0017466D"/>
    <w:rsid w:val="001754E1"/>
    <w:rsid w:val="00175EB9"/>
    <w:rsid w:val="00176665"/>
    <w:rsid w:val="00176E02"/>
    <w:rsid w:val="00180B0E"/>
    <w:rsid w:val="00182C7D"/>
    <w:rsid w:val="00183ABF"/>
    <w:rsid w:val="0018423B"/>
    <w:rsid w:val="00184240"/>
    <w:rsid w:val="0018561B"/>
    <w:rsid w:val="00185AA8"/>
    <w:rsid w:val="00186B87"/>
    <w:rsid w:val="00186D00"/>
    <w:rsid w:val="00191CDC"/>
    <w:rsid w:val="00191EFD"/>
    <w:rsid w:val="001921F1"/>
    <w:rsid w:val="001935FD"/>
    <w:rsid w:val="0019447C"/>
    <w:rsid w:val="00194721"/>
    <w:rsid w:val="00194FD1"/>
    <w:rsid w:val="00195D5F"/>
    <w:rsid w:val="00196196"/>
    <w:rsid w:val="00196CE0"/>
    <w:rsid w:val="00197839"/>
    <w:rsid w:val="00197B8F"/>
    <w:rsid w:val="001A01B0"/>
    <w:rsid w:val="001A125E"/>
    <w:rsid w:val="001A288D"/>
    <w:rsid w:val="001A4899"/>
    <w:rsid w:val="001A7C1D"/>
    <w:rsid w:val="001B0BC0"/>
    <w:rsid w:val="001B1AE6"/>
    <w:rsid w:val="001B355B"/>
    <w:rsid w:val="001B38BC"/>
    <w:rsid w:val="001B4639"/>
    <w:rsid w:val="001B4DD2"/>
    <w:rsid w:val="001B7E46"/>
    <w:rsid w:val="001B7FF5"/>
    <w:rsid w:val="001C0AFC"/>
    <w:rsid w:val="001C1120"/>
    <w:rsid w:val="001C3E14"/>
    <w:rsid w:val="001C585D"/>
    <w:rsid w:val="001C5B6B"/>
    <w:rsid w:val="001D05CD"/>
    <w:rsid w:val="001D412C"/>
    <w:rsid w:val="001D44D5"/>
    <w:rsid w:val="001D6094"/>
    <w:rsid w:val="001D60F4"/>
    <w:rsid w:val="001D6944"/>
    <w:rsid w:val="001D79B4"/>
    <w:rsid w:val="001E09B3"/>
    <w:rsid w:val="001E1279"/>
    <w:rsid w:val="001E1BB0"/>
    <w:rsid w:val="001E234B"/>
    <w:rsid w:val="001E24F3"/>
    <w:rsid w:val="001E2D61"/>
    <w:rsid w:val="001E43CF"/>
    <w:rsid w:val="001E489B"/>
    <w:rsid w:val="001E5775"/>
    <w:rsid w:val="001F05EA"/>
    <w:rsid w:val="001F0BE4"/>
    <w:rsid w:val="001F2B83"/>
    <w:rsid w:val="001F2D54"/>
    <w:rsid w:val="001F2FF8"/>
    <w:rsid w:val="001F4280"/>
    <w:rsid w:val="001F5663"/>
    <w:rsid w:val="001F570E"/>
    <w:rsid w:val="001F7028"/>
    <w:rsid w:val="00201384"/>
    <w:rsid w:val="00202F4F"/>
    <w:rsid w:val="00204287"/>
    <w:rsid w:val="002051C5"/>
    <w:rsid w:val="002052B2"/>
    <w:rsid w:val="00212D35"/>
    <w:rsid w:val="00212E59"/>
    <w:rsid w:val="002151B2"/>
    <w:rsid w:val="00215602"/>
    <w:rsid w:val="00215C46"/>
    <w:rsid w:val="002169D9"/>
    <w:rsid w:val="002176AA"/>
    <w:rsid w:val="00217748"/>
    <w:rsid w:val="00217FED"/>
    <w:rsid w:val="002209D3"/>
    <w:rsid w:val="002234C4"/>
    <w:rsid w:val="002236AB"/>
    <w:rsid w:val="002255EE"/>
    <w:rsid w:val="002260B6"/>
    <w:rsid w:val="00226911"/>
    <w:rsid w:val="0022744F"/>
    <w:rsid w:val="00227C2A"/>
    <w:rsid w:val="002321E7"/>
    <w:rsid w:val="0023340C"/>
    <w:rsid w:val="002343F3"/>
    <w:rsid w:val="002405D3"/>
    <w:rsid w:val="00241436"/>
    <w:rsid w:val="00242368"/>
    <w:rsid w:val="00242D9E"/>
    <w:rsid w:val="00244AAD"/>
    <w:rsid w:val="0024513C"/>
    <w:rsid w:val="00245642"/>
    <w:rsid w:val="002466BE"/>
    <w:rsid w:val="00247572"/>
    <w:rsid w:val="00247A4F"/>
    <w:rsid w:val="00250620"/>
    <w:rsid w:val="00250BAF"/>
    <w:rsid w:val="002519DD"/>
    <w:rsid w:val="00251B47"/>
    <w:rsid w:val="00253B65"/>
    <w:rsid w:val="00255C56"/>
    <w:rsid w:val="0025668B"/>
    <w:rsid w:val="00257EC8"/>
    <w:rsid w:val="00262151"/>
    <w:rsid w:val="002657FF"/>
    <w:rsid w:val="00266160"/>
    <w:rsid w:val="00266449"/>
    <w:rsid w:val="00267FF6"/>
    <w:rsid w:val="00270570"/>
    <w:rsid w:val="00270AB1"/>
    <w:rsid w:val="00270C7E"/>
    <w:rsid w:val="002731BC"/>
    <w:rsid w:val="0027656B"/>
    <w:rsid w:val="0028022E"/>
    <w:rsid w:val="00281007"/>
    <w:rsid w:val="00285262"/>
    <w:rsid w:val="0028682E"/>
    <w:rsid w:val="00287EBE"/>
    <w:rsid w:val="00290165"/>
    <w:rsid w:val="00290892"/>
    <w:rsid w:val="00290CB7"/>
    <w:rsid w:val="0029331A"/>
    <w:rsid w:val="00294FA9"/>
    <w:rsid w:val="0029510D"/>
    <w:rsid w:val="00295210"/>
    <w:rsid w:val="00295D96"/>
    <w:rsid w:val="00296712"/>
    <w:rsid w:val="002A0C29"/>
    <w:rsid w:val="002A0DA2"/>
    <w:rsid w:val="002A193D"/>
    <w:rsid w:val="002A2F35"/>
    <w:rsid w:val="002A2FF1"/>
    <w:rsid w:val="002A3C12"/>
    <w:rsid w:val="002A473A"/>
    <w:rsid w:val="002A48DD"/>
    <w:rsid w:val="002A519C"/>
    <w:rsid w:val="002B0DE3"/>
    <w:rsid w:val="002B1B15"/>
    <w:rsid w:val="002B1C0E"/>
    <w:rsid w:val="002B21C7"/>
    <w:rsid w:val="002B2205"/>
    <w:rsid w:val="002B2ECA"/>
    <w:rsid w:val="002B366E"/>
    <w:rsid w:val="002B4215"/>
    <w:rsid w:val="002B5449"/>
    <w:rsid w:val="002B64B0"/>
    <w:rsid w:val="002B65F7"/>
    <w:rsid w:val="002B6D1D"/>
    <w:rsid w:val="002B74E8"/>
    <w:rsid w:val="002B79B9"/>
    <w:rsid w:val="002C05F7"/>
    <w:rsid w:val="002C112C"/>
    <w:rsid w:val="002C12F6"/>
    <w:rsid w:val="002C1A5A"/>
    <w:rsid w:val="002C1F27"/>
    <w:rsid w:val="002C4E7D"/>
    <w:rsid w:val="002C5A56"/>
    <w:rsid w:val="002C64A9"/>
    <w:rsid w:val="002C6D0A"/>
    <w:rsid w:val="002D05FA"/>
    <w:rsid w:val="002D1A9A"/>
    <w:rsid w:val="002D37E4"/>
    <w:rsid w:val="002D3831"/>
    <w:rsid w:val="002D47D0"/>
    <w:rsid w:val="002D4AAD"/>
    <w:rsid w:val="002D5C01"/>
    <w:rsid w:val="002D680B"/>
    <w:rsid w:val="002E2788"/>
    <w:rsid w:val="002E2ADE"/>
    <w:rsid w:val="002E3777"/>
    <w:rsid w:val="002E454D"/>
    <w:rsid w:val="002E4E2F"/>
    <w:rsid w:val="002E57B1"/>
    <w:rsid w:val="002E581D"/>
    <w:rsid w:val="002E70EC"/>
    <w:rsid w:val="002E768F"/>
    <w:rsid w:val="002E7F46"/>
    <w:rsid w:val="002F0388"/>
    <w:rsid w:val="002F199C"/>
    <w:rsid w:val="002F28C2"/>
    <w:rsid w:val="002F30F5"/>
    <w:rsid w:val="002F32D5"/>
    <w:rsid w:val="002F4D12"/>
    <w:rsid w:val="002F5570"/>
    <w:rsid w:val="002F5796"/>
    <w:rsid w:val="002F5D7A"/>
    <w:rsid w:val="002F6AE9"/>
    <w:rsid w:val="002F7504"/>
    <w:rsid w:val="002F7765"/>
    <w:rsid w:val="002F7EC7"/>
    <w:rsid w:val="0030137D"/>
    <w:rsid w:val="00302294"/>
    <w:rsid w:val="003041F8"/>
    <w:rsid w:val="0030449D"/>
    <w:rsid w:val="00304D0D"/>
    <w:rsid w:val="00305F1F"/>
    <w:rsid w:val="00306B0A"/>
    <w:rsid w:val="00310276"/>
    <w:rsid w:val="003103C0"/>
    <w:rsid w:val="00310462"/>
    <w:rsid w:val="0031127D"/>
    <w:rsid w:val="00311B39"/>
    <w:rsid w:val="003127BB"/>
    <w:rsid w:val="00313014"/>
    <w:rsid w:val="0031449C"/>
    <w:rsid w:val="00314BC4"/>
    <w:rsid w:val="00315027"/>
    <w:rsid w:val="003150BB"/>
    <w:rsid w:val="0031584F"/>
    <w:rsid w:val="00317A13"/>
    <w:rsid w:val="0032330A"/>
    <w:rsid w:val="00323776"/>
    <w:rsid w:val="00324898"/>
    <w:rsid w:val="0032580E"/>
    <w:rsid w:val="003259F4"/>
    <w:rsid w:val="003305D2"/>
    <w:rsid w:val="00332934"/>
    <w:rsid w:val="003335EE"/>
    <w:rsid w:val="0033385B"/>
    <w:rsid w:val="00336E3E"/>
    <w:rsid w:val="003408DC"/>
    <w:rsid w:val="00342BD4"/>
    <w:rsid w:val="00343647"/>
    <w:rsid w:val="00343EDD"/>
    <w:rsid w:val="0034542B"/>
    <w:rsid w:val="0034550D"/>
    <w:rsid w:val="00346314"/>
    <w:rsid w:val="003465AE"/>
    <w:rsid w:val="003467FD"/>
    <w:rsid w:val="00347A45"/>
    <w:rsid w:val="00351AE4"/>
    <w:rsid w:val="0035262C"/>
    <w:rsid w:val="00352D50"/>
    <w:rsid w:val="00353AB1"/>
    <w:rsid w:val="00353CFB"/>
    <w:rsid w:val="003543D0"/>
    <w:rsid w:val="003558E1"/>
    <w:rsid w:val="0035683C"/>
    <w:rsid w:val="003571EF"/>
    <w:rsid w:val="00357AA2"/>
    <w:rsid w:val="0036533C"/>
    <w:rsid w:val="00365C37"/>
    <w:rsid w:val="00367892"/>
    <w:rsid w:val="003679BA"/>
    <w:rsid w:val="00370CE2"/>
    <w:rsid w:val="00372A58"/>
    <w:rsid w:val="00372A84"/>
    <w:rsid w:val="00375166"/>
    <w:rsid w:val="00376583"/>
    <w:rsid w:val="00376AF2"/>
    <w:rsid w:val="0037720E"/>
    <w:rsid w:val="003778C3"/>
    <w:rsid w:val="00377E4A"/>
    <w:rsid w:val="00380021"/>
    <w:rsid w:val="00380A63"/>
    <w:rsid w:val="00381554"/>
    <w:rsid w:val="00384C6D"/>
    <w:rsid w:val="00385B4B"/>
    <w:rsid w:val="00385D6C"/>
    <w:rsid w:val="00385D75"/>
    <w:rsid w:val="0038637C"/>
    <w:rsid w:val="00387B92"/>
    <w:rsid w:val="00390AC1"/>
    <w:rsid w:val="00390E55"/>
    <w:rsid w:val="00392954"/>
    <w:rsid w:val="00393BEE"/>
    <w:rsid w:val="00395D51"/>
    <w:rsid w:val="00396933"/>
    <w:rsid w:val="00396C3E"/>
    <w:rsid w:val="0039784D"/>
    <w:rsid w:val="003A0BF7"/>
    <w:rsid w:val="003A1B11"/>
    <w:rsid w:val="003A23E1"/>
    <w:rsid w:val="003A325D"/>
    <w:rsid w:val="003A4BC5"/>
    <w:rsid w:val="003A6E61"/>
    <w:rsid w:val="003A768F"/>
    <w:rsid w:val="003B316B"/>
    <w:rsid w:val="003B3EA3"/>
    <w:rsid w:val="003B4982"/>
    <w:rsid w:val="003B4E3C"/>
    <w:rsid w:val="003B529C"/>
    <w:rsid w:val="003B597A"/>
    <w:rsid w:val="003C006E"/>
    <w:rsid w:val="003C1FCB"/>
    <w:rsid w:val="003C3C06"/>
    <w:rsid w:val="003C3F9F"/>
    <w:rsid w:val="003C564B"/>
    <w:rsid w:val="003C5962"/>
    <w:rsid w:val="003C7204"/>
    <w:rsid w:val="003C776A"/>
    <w:rsid w:val="003C797D"/>
    <w:rsid w:val="003D039A"/>
    <w:rsid w:val="003D083A"/>
    <w:rsid w:val="003D4E11"/>
    <w:rsid w:val="003D6EFC"/>
    <w:rsid w:val="003E0076"/>
    <w:rsid w:val="003E0329"/>
    <w:rsid w:val="003E0371"/>
    <w:rsid w:val="003E17D9"/>
    <w:rsid w:val="003E2E50"/>
    <w:rsid w:val="003E39A9"/>
    <w:rsid w:val="003E3CD9"/>
    <w:rsid w:val="003E437C"/>
    <w:rsid w:val="003E5005"/>
    <w:rsid w:val="003E51B2"/>
    <w:rsid w:val="003E641F"/>
    <w:rsid w:val="003E78ED"/>
    <w:rsid w:val="003E7DCE"/>
    <w:rsid w:val="003F2175"/>
    <w:rsid w:val="003F2BC2"/>
    <w:rsid w:val="003F4609"/>
    <w:rsid w:val="003F4A1D"/>
    <w:rsid w:val="003F4E70"/>
    <w:rsid w:val="003F625F"/>
    <w:rsid w:val="003F6C30"/>
    <w:rsid w:val="003F7008"/>
    <w:rsid w:val="003F7D3B"/>
    <w:rsid w:val="004012C7"/>
    <w:rsid w:val="004014C8"/>
    <w:rsid w:val="004023CE"/>
    <w:rsid w:val="0040296E"/>
    <w:rsid w:val="00402C5E"/>
    <w:rsid w:val="00403C3A"/>
    <w:rsid w:val="0040674B"/>
    <w:rsid w:val="004068B8"/>
    <w:rsid w:val="00406B63"/>
    <w:rsid w:val="0040736B"/>
    <w:rsid w:val="00407B23"/>
    <w:rsid w:val="00407F2A"/>
    <w:rsid w:val="00411189"/>
    <w:rsid w:val="004115D1"/>
    <w:rsid w:val="00412A5C"/>
    <w:rsid w:val="00413A10"/>
    <w:rsid w:val="00413AE7"/>
    <w:rsid w:val="004145EE"/>
    <w:rsid w:val="0041691B"/>
    <w:rsid w:val="00416DD5"/>
    <w:rsid w:val="00417733"/>
    <w:rsid w:val="00421B0A"/>
    <w:rsid w:val="00422CD8"/>
    <w:rsid w:val="00424968"/>
    <w:rsid w:val="0042533E"/>
    <w:rsid w:val="004254D0"/>
    <w:rsid w:val="00425642"/>
    <w:rsid w:val="00425A7E"/>
    <w:rsid w:val="004267EE"/>
    <w:rsid w:val="00426C3F"/>
    <w:rsid w:val="004309E4"/>
    <w:rsid w:val="00430A1D"/>
    <w:rsid w:val="004315A7"/>
    <w:rsid w:val="00431719"/>
    <w:rsid w:val="00432E59"/>
    <w:rsid w:val="00433324"/>
    <w:rsid w:val="004347C5"/>
    <w:rsid w:val="00434DEA"/>
    <w:rsid w:val="0043580F"/>
    <w:rsid w:val="00435EC1"/>
    <w:rsid w:val="00436A5C"/>
    <w:rsid w:val="00436DBD"/>
    <w:rsid w:val="004411F7"/>
    <w:rsid w:val="0044282B"/>
    <w:rsid w:val="00445137"/>
    <w:rsid w:val="00445333"/>
    <w:rsid w:val="0044586D"/>
    <w:rsid w:val="00446F55"/>
    <w:rsid w:val="0044740B"/>
    <w:rsid w:val="00447970"/>
    <w:rsid w:val="00447C2F"/>
    <w:rsid w:val="004509DC"/>
    <w:rsid w:val="004509E3"/>
    <w:rsid w:val="0045210A"/>
    <w:rsid w:val="0045329C"/>
    <w:rsid w:val="004543F8"/>
    <w:rsid w:val="00456D15"/>
    <w:rsid w:val="004575E9"/>
    <w:rsid w:val="004603E9"/>
    <w:rsid w:val="004615BD"/>
    <w:rsid w:val="004628C7"/>
    <w:rsid w:val="00463A0F"/>
    <w:rsid w:val="004644EF"/>
    <w:rsid w:val="004653FF"/>
    <w:rsid w:val="0046568B"/>
    <w:rsid w:val="0046570D"/>
    <w:rsid w:val="0046592B"/>
    <w:rsid w:val="004659E1"/>
    <w:rsid w:val="00465AFF"/>
    <w:rsid w:val="00465DF7"/>
    <w:rsid w:val="00466091"/>
    <w:rsid w:val="00471F28"/>
    <w:rsid w:val="00474221"/>
    <w:rsid w:val="004745F6"/>
    <w:rsid w:val="00476577"/>
    <w:rsid w:val="0047781B"/>
    <w:rsid w:val="004811BA"/>
    <w:rsid w:val="004817B9"/>
    <w:rsid w:val="0048225B"/>
    <w:rsid w:val="004842C0"/>
    <w:rsid w:val="00484C5F"/>
    <w:rsid w:val="0048766A"/>
    <w:rsid w:val="00491C2E"/>
    <w:rsid w:val="00491F1D"/>
    <w:rsid w:val="004941FB"/>
    <w:rsid w:val="004945A0"/>
    <w:rsid w:val="00494F7B"/>
    <w:rsid w:val="004978C5"/>
    <w:rsid w:val="004A138E"/>
    <w:rsid w:val="004A3A80"/>
    <w:rsid w:val="004A4299"/>
    <w:rsid w:val="004B03CF"/>
    <w:rsid w:val="004B191E"/>
    <w:rsid w:val="004B238C"/>
    <w:rsid w:val="004B2E3D"/>
    <w:rsid w:val="004B3069"/>
    <w:rsid w:val="004B3B7F"/>
    <w:rsid w:val="004B73AB"/>
    <w:rsid w:val="004C14C4"/>
    <w:rsid w:val="004C1AD5"/>
    <w:rsid w:val="004C2381"/>
    <w:rsid w:val="004C392B"/>
    <w:rsid w:val="004C3AE3"/>
    <w:rsid w:val="004C468D"/>
    <w:rsid w:val="004C55EC"/>
    <w:rsid w:val="004C6D6D"/>
    <w:rsid w:val="004C75DE"/>
    <w:rsid w:val="004D1198"/>
    <w:rsid w:val="004D13CD"/>
    <w:rsid w:val="004D2028"/>
    <w:rsid w:val="004D3812"/>
    <w:rsid w:val="004D390F"/>
    <w:rsid w:val="004D5AC7"/>
    <w:rsid w:val="004D62B8"/>
    <w:rsid w:val="004D7816"/>
    <w:rsid w:val="004D7C0F"/>
    <w:rsid w:val="004E07DE"/>
    <w:rsid w:val="004E08BA"/>
    <w:rsid w:val="004E0B8F"/>
    <w:rsid w:val="004E1091"/>
    <w:rsid w:val="004E2761"/>
    <w:rsid w:val="004E34B8"/>
    <w:rsid w:val="004E38C1"/>
    <w:rsid w:val="004E3C9C"/>
    <w:rsid w:val="004E4DAD"/>
    <w:rsid w:val="004E7DAE"/>
    <w:rsid w:val="004F1A07"/>
    <w:rsid w:val="004F1EAB"/>
    <w:rsid w:val="004F2CD7"/>
    <w:rsid w:val="004F4BBF"/>
    <w:rsid w:val="00500B18"/>
    <w:rsid w:val="0050120C"/>
    <w:rsid w:val="00501D98"/>
    <w:rsid w:val="0050348C"/>
    <w:rsid w:val="005045D2"/>
    <w:rsid w:val="00507258"/>
    <w:rsid w:val="005078C6"/>
    <w:rsid w:val="005116A1"/>
    <w:rsid w:val="00511C1E"/>
    <w:rsid w:val="005155D0"/>
    <w:rsid w:val="00520788"/>
    <w:rsid w:val="005226EB"/>
    <w:rsid w:val="0052274B"/>
    <w:rsid w:val="00522956"/>
    <w:rsid w:val="00522B3E"/>
    <w:rsid w:val="00522CCB"/>
    <w:rsid w:val="00524B40"/>
    <w:rsid w:val="005331A7"/>
    <w:rsid w:val="00533B09"/>
    <w:rsid w:val="00535FAE"/>
    <w:rsid w:val="00536777"/>
    <w:rsid w:val="00536A98"/>
    <w:rsid w:val="005379ED"/>
    <w:rsid w:val="00540AFF"/>
    <w:rsid w:val="00542603"/>
    <w:rsid w:val="00544500"/>
    <w:rsid w:val="0054609B"/>
    <w:rsid w:val="00551DBE"/>
    <w:rsid w:val="00552CC2"/>
    <w:rsid w:val="00554877"/>
    <w:rsid w:val="005559AD"/>
    <w:rsid w:val="00556DD5"/>
    <w:rsid w:val="005572EC"/>
    <w:rsid w:val="00560CF0"/>
    <w:rsid w:val="00561470"/>
    <w:rsid w:val="005633EF"/>
    <w:rsid w:val="0056344F"/>
    <w:rsid w:val="005656FC"/>
    <w:rsid w:val="00565F6E"/>
    <w:rsid w:val="005672EE"/>
    <w:rsid w:val="0056739D"/>
    <w:rsid w:val="00570C9A"/>
    <w:rsid w:val="00570CD4"/>
    <w:rsid w:val="00571501"/>
    <w:rsid w:val="00571FF9"/>
    <w:rsid w:val="005729B2"/>
    <w:rsid w:val="005741F9"/>
    <w:rsid w:val="005750E0"/>
    <w:rsid w:val="00575E87"/>
    <w:rsid w:val="005762FB"/>
    <w:rsid w:val="00581951"/>
    <w:rsid w:val="00582290"/>
    <w:rsid w:val="0058367C"/>
    <w:rsid w:val="005850F8"/>
    <w:rsid w:val="00586295"/>
    <w:rsid w:val="00586489"/>
    <w:rsid w:val="00586F8F"/>
    <w:rsid w:val="005878FE"/>
    <w:rsid w:val="00587EB2"/>
    <w:rsid w:val="00591F08"/>
    <w:rsid w:val="00592591"/>
    <w:rsid w:val="00593ADA"/>
    <w:rsid w:val="00593BA3"/>
    <w:rsid w:val="0059409D"/>
    <w:rsid w:val="00594E00"/>
    <w:rsid w:val="0059766A"/>
    <w:rsid w:val="00597872"/>
    <w:rsid w:val="005A0332"/>
    <w:rsid w:val="005A1E98"/>
    <w:rsid w:val="005A3E81"/>
    <w:rsid w:val="005A51D9"/>
    <w:rsid w:val="005A6693"/>
    <w:rsid w:val="005B0075"/>
    <w:rsid w:val="005B01E1"/>
    <w:rsid w:val="005B04B1"/>
    <w:rsid w:val="005B1416"/>
    <w:rsid w:val="005B1BD4"/>
    <w:rsid w:val="005B4404"/>
    <w:rsid w:val="005B5E09"/>
    <w:rsid w:val="005B6B2A"/>
    <w:rsid w:val="005B72B7"/>
    <w:rsid w:val="005B784C"/>
    <w:rsid w:val="005B7F0A"/>
    <w:rsid w:val="005B7F1C"/>
    <w:rsid w:val="005C02A0"/>
    <w:rsid w:val="005C1D34"/>
    <w:rsid w:val="005C26B6"/>
    <w:rsid w:val="005C2842"/>
    <w:rsid w:val="005C2D10"/>
    <w:rsid w:val="005C6534"/>
    <w:rsid w:val="005C6A18"/>
    <w:rsid w:val="005C6E1A"/>
    <w:rsid w:val="005C73FA"/>
    <w:rsid w:val="005D26EF"/>
    <w:rsid w:val="005D50B4"/>
    <w:rsid w:val="005D7D5E"/>
    <w:rsid w:val="005E07CB"/>
    <w:rsid w:val="005E32FC"/>
    <w:rsid w:val="005E3A94"/>
    <w:rsid w:val="005E7275"/>
    <w:rsid w:val="005F03CC"/>
    <w:rsid w:val="005F0BDF"/>
    <w:rsid w:val="005F1306"/>
    <w:rsid w:val="005F1406"/>
    <w:rsid w:val="005F1823"/>
    <w:rsid w:val="005F1CB3"/>
    <w:rsid w:val="005F2F9B"/>
    <w:rsid w:val="005F3CBF"/>
    <w:rsid w:val="005F43A1"/>
    <w:rsid w:val="005F4CD5"/>
    <w:rsid w:val="005F75CA"/>
    <w:rsid w:val="006003A7"/>
    <w:rsid w:val="0060064B"/>
    <w:rsid w:val="00602806"/>
    <w:rsid w:val="00602BD8"/>
    <w:rsid w:val="006033A2"/>
    <w:rsid w:val="00605178"/>
    <w:rsid w:val="0060577F"/>
    <w:rsid w:val="0060580A"/>
    <w:rsid w:val="00606335"/>
    <w:rsid w:val="00610519"/>
    <w:rsid w:val="006114B5"/>
    <w:rsid w:val="00611D7B"/>
    <w:rsid w:val="006120F0"/>
    <w:rsid w:val="0061389F"/>
    <w:rsid w:val="0061437A"/>
    <w:rsid w:val="00614E3E"/>
    <w:rsid w:val="00615285"/>
    <w:rsid w:val="00615EAE"/>
    <w:rsid w:val="00615FE0"/>
    <w:rsid w:val="006174E3"/>
    <w:rsid w:val="00617F9E"/>
    <w:rsid w:val="006205E8"/>
    <w:rsid w:val="006206ED"/>
    <w:rsid w:val="00621798"/>
    <w:rsid w:val="006222A3"/>
    <w:rsid w:val="00623270"/>
    <w:rsid w:val="00623476"/>
    <w:rsid w:val="00625B67"/>
    <w:rsid w:val="00626039"/>
    <w:rsid w:val="0063084E"/>
    <w:rsid w:val="00636598"/>
    <w:rsid w:val="006369DE"/>
    <w:rsid w:val="00636FC2"/>
    <w:rsid w:val="006371BA"/>
    <w:rsid w:val="006412C0"/>
    <w:rsid w:val="006417B0"/>
    <w:rsid w:val="00642BC4"/>
    <w:rsid w:val="006455F1"/>
    <w:rsid w:val="0064563E"/>
    <w:rsid w:val="0064682C"/>
    <w:rsid w:val="006470FD"/>
    <w:rsid w:val="00650212"/>
    <w:rsid w:val="00652506"/>
    <w:rsid w:val="00652636"/>
    <w:rsid w:val="00652AF3"/>
    <w:rsid w:val="00653710"/>
    <w:rsid w:val="00653EA9"/>
    <w:rsid w:val="00655282"/>
    <w:rsid w:val="006572C4"/>
    <w:rsid w:val="006613F8"/>
    <w:rsid w:val="00661BE6"/>
    <w:rsid w:val="00664D2B"/>
    <w:rsid w:val="00666933"/>
    <w:rsid w:val="00667B97"/>
    <w:rsid w:val="00671B1F"/>
    <w:rsid w:val="0067464D"/>
    <w:rsid w:val="00674C53"/>
    <w:rsid w:val="006758BA"/>
    <w:rsid w:val="00675E46"/>
    <w:rsid w:val="00676CF5"/>
    <w:rsid w:val="00677ABC"/>
    <w:rsid w:val="00677B01"/>
    <w:rsid w:val="0068112E"/>
    <w:rsid w:val="00681369"/>
    <w:rsid w:val="00681ED4"/>
    <w:rsid w:val="00682279"/>
    <w:rsid w:val="00685D0A"/>
    <w:rsid w:val="00686119"/>
    <w:rsid w:val="00686F71"/>
    <w:rsid w:val="00690C13"/>
    <w:rsid w:val="00691A12"/>
    <w:rsid w:val="00691AE9"/>
    <w:rsid w:val="00691B08"/>
    <w:rsid w:val="006923BF"/>
    <w:rsid w:val="00692735"/>
    <w:rsid w:val="00694A1B"/>
    <w:rsid w:val="00694E05"/>
    <w:rsid w:val="006964F0"/>
    <w:rsid w:val="00697C91"/>
    <w:rsid w:val="00697F95"/>
    <w:rsid w:val="006A2E0A"/>
    <w:rsid w:val="006A31B6"/>
    <w:rsid w:val="006A3E7D"/>
    <w:rsid w:val="006A7B7E"/>
    <w:rsid w:val="006A7D07"/>
    <w:rsid w:val="006B019B"/>
    <w:rsid w:val="006B06DD"/>
    <w:rsid w:val="006B4D22"/>
    <w:rsid w:val="006B5267"/>
    <w:rsid w:val="006B588A"/>
    <w:rsid w:val="006B60A5"/>
    <w:rsid w:val="006B69F9"/>
    <w:rsid w:val="006B7E4C"/>
    <w:rsid w:val="006C0582"/>
    <w:rsid w:val="006C1C45"/>
    <w:rsid w:val="006C28BA"/>
    <w:rsid w:val="006C2926"/>
    <w:rsid w:val="006C3770"/>
    <w:rsid w:val="006C3919"/>
    <w:rsid w:val="006C5383"/>
    <w:rsid w:val="006C5B1E"/>
    <w:rsid w:val="006C6BDC"/>
    <w:rsid w:val="006C7D2D"/>
    <w:rsid w:val="006D015E"/>
    <w:rsid w:val="006D03E1"/>
    <w:rsid w:val="006D3258"/>
    <w:rsid w:val="006D3B44"/>
    <w:rsid w:val="006D5CFD"/>
    <w:rsid w:val="006D67A6"/>
    <w:rsid w:val="006D6A29"/>
    <w:rsid w:val="006D7513"/>
    <w:rsid w:val="006E2211"/>
    <w:rsid w:val="006E557C"/>
    <w:rsid w:val="006E56C9"/>
    <w:rsid w:val="006E7669"/>
    <w:rsid w:val="006F0079"/>
    <w:rsid w:val="006F0232"/>
    <w:rsid w:val="006F0969"/>
    <w:rsid w:val="006F3352"/>
    <w:rsid w:val="006F4200"/>
    <w:rsid w:val="006F4C6A"/>
    <w:rsid w:val="006F5C2B"/>
    <w:rsid w:val="006F5C83"/>
    <w:rsid w:val="006F5D5C"/>
    <w:rsid w:val="006F7483"/>
    <w:rsid w:val="00700153"/>
    <w:rsid w:val="007001D1"/>
    <w:rsid w:val="00701C5E"/>
    <w:rsid w:val="00701E0D"/>
    <w:rsid w:val="00701F88"/>
    <w:rsid w:val="00702759"/>
    <w:rsid w:val="0070398A"/>
    <w:rsid w:val="007045F8"/>
    <w:rsid w:val="00704867"/>
    <w:rsid w:val="00707011"/>
    <w:rsid w:val="00707746"/>
    <w:rsid w:val="0071091C"/>
    <w:rsid w:val="007117D1"/>
    <w:rsid w:val="007146C0"/>
    <w:rsid w:val="00714D51"/>
    <w:rsid w:val="00716831"/>
    <w:rsid w:val="00717EB0"/>
    <w:rsid w:val="00717EF2"/>
    <w:rsid w:val="007204CB"/>
    <w:rsid w:val="00720C71"/>
    <w:rsid w:val="00722B1C"/>
    <w:rsid w:val="007243FC"/>
    <w:rsid w:val="00727852"/>
    <w:rsid w:val="00727BAF"/>
    <w:rsid w:val="00727D9F"/>
    <w:rsid w:val="00727E5C"/>
    <w:rsid w:val="00727F6E"/>
    <w:rsid w:val="00730362"/>
    <w:rsid w:val="007328F1"/>
    <w:rsid w:val="00732967"/>
    <w:rsid w:val="00733D8A"/>
    <w:rsid w:val="0073592D"/>
    <w:rsid w:val="0073654F"/>
    <w:rsid w:val="0074003B"/>
    <w:rsid w:val="007422DA"/>
    <w:rsid w:val="00742308"/>
    <w:rsid w:val="007425A1"/>
    <w:rsid w:val="007439C5"/>
    <w:rsid w:val="0074429A"/>
    <w:rsid w:val="00744EE2"/>
    <w:rsid w:val="00745410"/>
    <w:rsid w:val="00746D34"/>
    <w:rsid w:val="00751933"/>
    <w:rsid w:val="0075284A"/>
    <w:rsid w:val="00753DAA"/>
    <w:rsid w:val="00755F2D"/>
    <w:rsid w:val="00756E97"/>
    <w:rsid w:val="00757D1C"/>
    <w:rsid w:val="00757F16"/>
    <w:rsid w:val="007636C8"/>
    <w:rsid w:val="0076491C"/>
    <w:rsid w:val="00765360"/>
    <w:rsid w:val="00765511"/>
    <w:rsid w:val="00765777"/>
    <w:rsid w:val="00766C9F"/>
    <w:rsid w:val="00767032"/>
    <w:rsid w:val="0077130D"/>
    <w:rsid w:val="007714A0"/>
    <w:rsid w:val="00772245"/>
    <w:rsid w:val="00772380"/>
    <w:rsid w:val="007724BC"/>
    <w:rsid w:val="007736A1"/>
    <w:rsid w:val="00773ACF"/>
    <w:rsid w:val="00773EB9"/>
    <w:rsid w:val="0077406B"/>
    <w:rsid w:val="0077594B"/>
    <w:rsid w:val="00776A6D"/>
    <w:rsid w:val="00782EEF"/>
    <w:rsid w:val="00782F66"/>
    <w:rsid w:val="00783458"/>
    <w:rsid w:val="00783CE4"/>
    <w:rsid w:val="00783F45"/>
    <w:rsid w:val="007841EC"/>
    <w:rsid w:val="00785630"/>
    <w:rsid w:val="0078639E"/>
    <w:rsid w:val="007872CC"/>
    <w:rsid w:val="007906B0"/>
    <w:rsid w:val="00791638"/>
    <w:rsid w:val="007950C3"/>
    <w:rsid w:val="00795CDA"/>
    <w:rsid w:val="00795FF5"/>
    <w:rsid w:val="007A1E3B"/>
    <w:rsid w:val="007A20D5"/>
    <w:rsid w:val="007A4E62"/>
    <w:rsid w:val="007A6626"/>
    <w:rsid w:val="007A7295"/>
    <w:rsid w:val="007B0706"/>
    <w:rsid w:val="007B09BF"/>
    <w:rsid w:val="007B0D3D"/>
    <w:rsid w:val="007B29A3"/>
    <w:rsid w:val="007B38B1"/>
    <w:rsid w:val="007B3CD9"/>
    <w:rsid w:val="007B3E94"/>
    <w:rsid w:val="007B478A"/>
    <w:rsid w:val="007B4945"/>
    <w:rsid w:val="007B5136"/>
    <w:rsid w:val="007B65CD"/>
    <w:rsid w:val="007B69E5"/>
    <w:rsid w:val="007C0382"/>
    <w:rsid w:val="007C19DF"/>
    <w:rsid w:val="007C1BC7"/>
    <w:rsid w:val="007C1C98"/>
    <w:rsid w:val="007C5BFF"/>
    <w:rsid w:val="007C6E4B"/>
    <w:rsid w:val="007E1A1B"/>
    <w:rsid w:val="007E2A98"/>
    <w:rsid w:val="007E4005"/>
    <w:rsid w:val="007E4FBD"/>
    <w:rsid w:val="007E535C"/>
    <w:rsid w:val="007E6228"/>
    <w:rsid w:val="007E695F"/>
    <w:rsid w:val="007E72DD"/>
    <w:rsid w:val="007F0653"/>
    <w:rsid w:val="007F2B4A"/>
    <w:rsid w:val="007F344F"/>
    <w:rsid w:val="007F406A"/>
    <w:rsid w:val="007F4634"/>
    <w:rsid w:val="007F53B0"/>
    <w:rsid w:val="007F6593"/>
    <w:rsid w:val="007F6908"/>
    <w:rsid w:val="007F7DB1"/>
    <w:rsid w:val="00800429"/>
    <w:rsid w:val="008004FC"/>
    <w:rsid w:val="0080054C"/>
    <w:rsid w:val="00800F5E"/>
    <w:rsid w:val="008023BD"/>
    <w:rsid w:val="0080241D"/>
    <w:rsid w:val="00804DDA"/>
    <w:rsid w:val="00806A2D"/>
    <w:rsid w:val="00810FBD"/>
    <w:rsid w:val="008112E5"/>
    <w:rsid w:val="00812AC4"/>
    <w:rsid w:val="00814597"/>
    <w:rsid w:val="00815D98"/>
    <w:rsid w:val="008178C9"/>
    <w:rsid w:val="00823885"/>
    <w:rsid w:val="008246D9"/>
    <w:rsid w:val="00824719"/>
    <w:rsid w:val="0082634B"/>
    <w:rsid w:val="00826D05"/>
    <w:rsid w:val="00826F01"/>
    <w:rsid w:val="0083073C"/>
    <w:rsid w:val="00831FAE"/>
    <w:rsid w:val="0083359B"/>
    <w:rsid w:val="0083365D"/>
    <w:rsid w:val="00833BCE"/>
    <w:rsid w:val="00836873"/>
    <w:rsid w:val="00836FCC"/>
    <w:rsid w:val="008377D7"/>
    <w:rsid w:val="00840792"/>
    <w:rsid w:val="00840C8C"/>
    <w:rsid w:val="00842172"/>
    <w:rsid w:val="0084395B"/>
    <w:rsid w:val="0084474D"/>
    <w:rsid w:val="0084768E"/>
    <w:rsid w:val="0084799A"/>
    <w:rsid w:val="00847F16"/>
    <w:rsid w:val="0085166B"/>
    <w:rsid w:val="00851CB4"/>
    <w:rsid w:val="00851D1A"/>
    <w:rsid w:val="00852C5C"/>
    <w:rsid w:val="0085303B"/>
    <w:rsid w:val="0085399E"/>
    <w:rsid w:val="00855032"/>
    <w:rsid w:val="0085603C"/>
    <w:rsid w:val="008563DA"/>
    <w:rsid w:val="00856D20"/>
    <w:rsid w:val="0085770B"/>
    <w:rsid w:val="008600D9"/>
    <w:rsid w:val="00860FB1"/>
    <w:rsid w:val="00862038"/>
    <w:rsid w:val="00865468"/>
    <w:rsid w:val="0086678A"/>
    <w:rsid w:val="00866BA0"/>
    <w:rsid w:val="00866EF4"/>
    <w:rsid w:val="00867E8D"/>
    <w:rsid w:val="00871232"/>
    <w:rsid w:val="00874CCA"/>
    <w:rsid w:val="008751A1"/>
    <w:rsid w:val="00875725"/>
    <w:rsid w:val="0087600E"/>
    <w:rsid w:val="00876DE5"/>
    <w:rsid w:val="00877DAF"/>
    <w:rsid w:val="00880225"/>
    <w:rsid w:val="008816D7"/>
    <w:rsid w:val="0088205B"/>
    <w:rsid w:val="00882F31"/>
    <w:rsid w:val="008831E5"/>
    <w:rsid w:val="00885D5E"/>
    <w:rsid w:val="0088672D"/>
    <w:rsid w:val="00890CEF"/>
    <w:rsid w:val="00891514"/>
    <w:rsid w:val="008918C7"/>
    <w:rsid w:val="00893BE1"/>
    <w:rsid w:val="00894B53"/>
    <w:rsid w:val="00895C5D"/>
    <w:rsid w:val="00896C65"/>
    <w:rsid w:val="00897722"/>
    <w:rsid w:val="008A0C95"/>
    <w:rsid w:val="008A1056"/>
    <w:rsid w:val="008A282C"/>
    <w:rsid w:val="008A2981"/>
    <w:rsid w:val="008A3D25"/>
    <w:rsid w:val="008A4B3D"/>
    <w:rsid w:val="008A5727"/>
    <w:rsid w:val="008A6219"/>
    <w:rsid w:val="008B0391"/>
    <w:rsid w:val="008B084B"/>
    <w:rsid w:val="008B09D2"/>
    <w:rsid w:val="008B21D8"/>
    <w:rsid w:val="008B5784"/>
    <w:rsid w:val="008B5F88"/>
    <w:rsid w:val="008B6059"/>
    <w:rsid w:val="008B7167"/>
    <w:rsid w:val="008B7DF5"/>
    <w:rsid w:val="008B7FCD"/>
    <w:rsid w:val="008C0564"/>
    <w:rsid w:val="008C0580"/>
    <w:rsid w:val="008C0CB2"/>
    <w:rsid w:val="008C1B27"/>
    <w:rsid w:val="008C279A"/>
    <w:rsid w:val="008C28C9"/>
    <w:rsid w:val="008C2A22"/>
    <w:rsid w:val="008C3666"/>
    <w:rsid w:val="008C46E3"/>
    <w:rsid w:val="008C55CD"/>
    <w:rsid w:val="008C58F7"/>
    <w:rsid w:val="008C5CBE"/>
    <w:rsid w:val="008C5F32"/>
    <w:rsid w:val="008C6C61"/>
    <w:rsid w:val="008C721F"/>
    <w:rsid w:val="008D04BC"/>
    <w:rsid w:val="008D0994"/>
    <w:rsid w:val="008D259D"/>
    <w:rsid w:val="008D31E0"/>
    <w:rsid w:val="008D4A19"/>
    <w:rsid w:val="008D5E21"/>
    <w:rsid w:val="008D6648"/>
    <w:rsid w:val="008D69CE"/>
    <w:rsid w:val="008D6CB8"/>
    <w:rsid w:val="008E0998"/>
    <w:rsid w:val="008E141E"/>
    <w:rsid w:val="008E2986"/>
    <w:rsid w:val="008E3691"/>
    <w:rsid w:val="008E3751"/>
    <w:rsid w:val="008E4B9A"/>
    <w:rsid w:val="008E5A04"/>
    <w:rsid w:val="008E5C95"/>
    <w:rsid w:val="008F003B"/>
    <w:rsid w:val="008F0F20"/>
    <w:rsid w:val="008F0FCA"/>
    <w:rsid w:val="008F16BF"/>
    <w:rsid w:val="008F27E0"/>
    <w:rsid w:val="008F6070"/>
    <w:rsid w:val="00900461"/>
    <w:rsid w:val="0090051A"/>
    <w:rsid w:val="00900BE9"/>
    <w:rsid w:val="0090105F"/>
    <w:rsid w:val="009024FA"/>
    <w:rsid w:val="00902631"/>
    <w:rsid w:val="00903B67"/>
    <w:rsid w:val="00903FF7"/>
    <w:rsid w:val="0090496D"/>
    <w:rsid w:val="0090588C"/>
    <w:rsid w:val="00905BFA"/>
    <w:rsid w:val="00906678"/>
    <w:rsid w:val="00907347"/>
    <w:rsid w:val="00907D06"/>
    <w:rsid w:val="00911A96"/>
    <w:rsid w:val="00912988"/>
    <w:rsid w:val="009150FC"/>
    <w:rsid w:val="00916459"/>
    <w:rsid w:val="00916DF0"/>
    <w:rsid w:val="00917175"/>
    <w:rsid w:val="009208CA"/>
    <w:rsid w:val="0092201B"/>
    <w:rsid w:val="009226AE"/>
    <w:rsid w:val="00923858"/>
    <w:rsid w:val="009247D9"/>
    <w:rsid w:val="00924A36"/>
    <w:rsid w:val="0092709F"/>
    <w:rsid w:val="00927DA9"/>
    <w:rsid w:val="0093050F"/>
    <w:rsid w:val="00932EF9"/>
    <w:rsid w:val="00933FC0"/>
    <w:rsid w:val="0093481A"/>
    <w:rsid w:val="00934C57"/>
    <w:rsid w:val="00935F14"/>
    <w:rsid w:val="009409FC"/>
    <w:rsid w:val="009411A6"/>
    <w:rsid w:val="009425A9"/>
    <w:rsid w:val="00943491"/>
    <w:rsid w:val="009435D4"/>
    <w:rsid w:val="00943DF7"/>
    <w:rsid w:val="00943E03"/>
    <w:rsid w:val="00944C6D"/>
    <w:rsid w:val="00947171"/>
    <w:rsid w:val="0094724E"/>
    <w:rsid w:val="009514C5"/>
    <w:rsid w:val="00952BAB"/>
    <w:rsid w:val="00953C06"/>
    <w:rsid w:val="0095467D"/>
    <w:rsid w:val="00954974"/>
    <w:rsid w:val="00955B4A"/>
    <w:rsid w:val="0095620E"/>
    <w:rsid w:val="00956336"/>
    <w:rsid w:val="00957D51"/>
    <w:rsid w:val="009653B4"/>
    <w:rsid w:val="009657CF"/>
    <w:rsid w:val="00965957"/>
    <w:rsid w:val="00966371"/>
    <w:rsid w:val="00967994"/>
    <w:rsid w:val="00967DCF"/>
    <w:rsid w:val="009705A8"/>
    <w:rsid w:val="00971FCE"/>
    <w:rsid w:val="0097243D"/>
    <w:rsid w:val="00972B11"/>
    <w:rsid w:val="00972D1A"/>
    <w:rsid w:val="00975C2C"/>
    <w:rsid w:val="009772E8"/>
    <w:rsid w:val="00977F6A"/>
    <w:rsid w:val="009836A3"/>
    <w:rsid w:val="009849ED"/>
    <w:rsid w:val="009852D1"/>
    <w:rsid w:val="00985DB1"/>
    <w:rsid w:val="00985DD4"/>
    <w:rsid w:val="00990656"/>
    <w:rsid w:val="00992D2F"/>
    <w:rsid w:val="00993FAB"/>
    <w:rsid w:val="0099412C"/>
    <w:rsid w:val="00994BFF"/>
    <w:rsid w:val="00997B9F"/>
    <w:rsid w:val="009A0F85"/>
    <w:rsid w:val="009A3EBE"/>
    <w:rsid w:val="009A41C7"/>
    <w:rsid w:val="009A5AF0"/>
    <w:rsid w:val="009A691D"/>
    <w:rsid w:val="009A6953"/>
    <w:rsid w:val="009A7E8D"/>
    <w:rsid w:val="009B0CC0"/>
    <w:rsid w:val="009B11DA"/>
    <w:rsid w:val="009B5060"/>
    <w:rsid w:val="009B5DB6"/>
    <w:rsid w:val="009B63D2"/>
    <w:rsid w:val="009B796B"/>
    <w:rsid w:val="009C11A3"/>
    <w:rsid w:val="009C1215"/>
    <w:rsid w:val="009C2774"/>
    <w:rsid w:val="009C46B0"/>
    <w:rsid w:val="009C4ADE"/>
    <w:rsid w:val="009C5B02"/>
    <w:rsid w:val="009C7DD1"/>
    <w:rsid w:val="009D1670"/>
    <w:rsid w:val="009D2E69"/>
    <w:rsid w:val="009D47CD"/>
    <w:rsid w:val="009D5C55"/>
    <w:rsid w:val="009D7D82"/>
    <w:rsid w:val="009E12AD"/>
    <w:rsid w:val="009E3A18"/>
    <w:rsid w:val="009E41F2"/>
    <w:rsid w:val="009E49C4"/>
    <w:rsid w:val="009E56F7"/>
    <w:rsid w:val="009E5930"/>
    <w:rsid w:val="009E7FBC"/>
    <w:rsid w:val="009F1ADB"/>
    <w:rsid w:val="009F1DDB"/>
    <w:rsid w:val="009F209B"/>
    <w:rsid w:val="009F496B"/>
    <w:rsid w:val="00A00C08"/>
    <w:rsid w:val="00A0170F"/>
    <w:rsid w:val="00A01E62"/>
    <w:rsid w:val="00A02326"/>
    <w:rsid w:val="00A025B9"/>
    <w:rsid w:val="00A04682"/>
    <w:rsid w:val="00A049EA"/>
    <w:rsid w:val="00A05879"/>
    <w:rsid w:val="00A061D2"/>
    <w:rsid w:val="00A104EB"/>
    <w:rsid w:val="00A10F14"/>
    <w:rsid w:val="00A11795"/>
    <w:rsid w:val="00A1474B"/>
    <w:rsid w:val="00A15D26"/>
    <w:rsid w:val="00A17542"/>
    <w:rsid w:val="00A200A0"/>
    <w:rsid w:val="00A202DC"/>
    <w:rsid w:val="00A20396"/>
    <w:rsid w:val="00A211D9"/>
    <w:rsid w:val="00A2155E"/>
    <w:rsid w:val="00A22023"/>
    <w:rsid w:val="00A22252"/>
    <w:rsid w:val="00A225E1"/>
    <w:rsid w:val="00A22A84"/>
    <w:rsid w:val="00A23D0F"/>
    <w:rsid w:val="00A243BE"/>
    <w:rsid w:val="00A24B44"/>
    <w:rsid w:val="00A25163"/>
    <w:rsid w:val="00A30AF2"/>
    <w:rsid w:val="00A312CC"/>
    <w:rsid w:val="00A3156A"/>
    <w:rsid w:val="00A31A44"/>
    <w:rsid w:val="00A33792"/>
    <w:rsid w:val="00A342CB"/>
    <w:rsid w:val="00A343B8"/>
    <w:rsid w:val="00A3518B"/>
    <w:rsid w:val="00A35B29"/>
    <w:rsid w:val="00A36291"/>
    <w:rsid w:val="00A36A41"/>
    <w:rsid w:val="00A37785"/>
    <w:rsid w:val="00A37EB6"/>
    <w:rsid w:val="00A37FE9"/>
    <w:rsid w:val="00A40C12"/>
    <w:rsid w:val="00A42B33"/>
    <w:rsid w:val="00A43223"/>
    <w:rsid w:val="00A433C5"/>
    <w:rsid w:val="00A43AC4"/>
    <w:rsid w:val="00A43FF1"/>
    <w:rsid w:val="00A448B0"/>
    <w:rsid w:val="00A4776B"/>
    <w:rsid w:val="00A5115A"/>
    <w:rsid w:val="00A512CA"/>
    <w:rsid w:val="00A519D5"/>
    <w:rsid w:val="00A5500D"/>
    <w:rsid w:val="00A5659E"/>
    <w:rsid w:val="00A565F8"/>
    <w:rsid w:val="00A57333"/>
    <w:rsid w:val="00A579A8"/>
    <w:rsid w:val="00A60E11"/>
    <w:rsid w:val="00A614AF"/>
    <w:rsid w:val="00A623EA"/>
    <w:rsid w:val="00A62E2B"/>
    <w:rsid w:val="00A641F7"/>
    <w:rsid w:val="00A650E7"/>
    <w:rsid w:val="00A66D39"/>
    <w:rsid w:val="00A67199"/>
    <w:rsid w:val="00A673B8"/>
    <w:rsid w:val="00A67620"/>
    <w:rsid w:val="00A70678"/>
    <w:rsid w:val="00A708DD"/>
    <w:rsid w:val="00A7093A"/>
    <w:rsid w:val="00A71448"/>
    <w:rsid w:val="00A72BB6"/>
    <w:rsid w:val="00A72EAB"/>
    <w:rsid w:val="00A75473"/>
    <w:rsid w:val="00A7729E"/>
    <w:rsid w:val="00A7764E"/>
    <w:rsid w:val="00A77861"/>
    <w:rsid w:val="00A77D5B"/>
    <w:rsid w:val="00A820F1"/>
    <w:rsid w:val="00A8266B"/>
    <w:rsid w:val="00A82FD3"/>
    <w:rsid w:val="00A834F2"/>
    <w:rsid w:val="00A8510C"/>
    <w:rsid w:val="00A85D5A"/>
    <w:rsid w:val="00A86FFE"/>
    <w:rsid w:val="00A87C1B"/>
    <w:rsid w:val="00A90FA2"/>
    <w:rsid w:val="00A91FCE"/>
    <w:rsid w:val="00A94E1D"/>
    <w:rsid w:val="00A95362"/>
    <w:rsid w:val="00A95730"/>
    <w:rsid w:val="00A95F59"/>
    <w:rsid w:val="00A96139"/>
    <w:rsid w:val="00A96534"/>
    <w:rsid w:val="00A9657E"/>
    <w:rsid w:val="00AA133E"/>
    <w:rsid w:val="00AA180C"/>
    <w:rsid w:val="00AA7D8A"/>
    <w:rsid w:val="00AB0C6C"/>
    <w:rsid w:val="00AB1DFF"/>
    <w:rsid w:val="00AB3342"/>
    <w:rsid w:val="00AB3F3C"/>
    <w:rsid w:val="00AB4971"/>
    <w:rsid w:val="00AB5115"/>
    <w:rsid w:val="00AB713F"/>
    <w:rsid w:val="00AC0112"/>
    <w:rsid w:val="00AC02E2"/>
    <w:rsid w:val="00AC040B"/>
    <w:rsid w:val="00AC0895"/>
    <w:rsid w:val="00AC0DF3"/>
    <w:rsid w:val="00AC1EA5"/>
    <w:rsid w:val="00AC2839"/>
    <w:rsid w:val="00AC3498"/>
    <w:rsid w:val="00AC36E5"/>
    <w:rsid w:val="00AC38EC"/>
    <w:rsid w:val="00AC3B8B"/>
    <w:rsid w:val="00AC6DB2"/>
    <w:rsid w:val="00AC7CB6"/>
    <w:rsid w:val="00AD1F71"/>
    <w:rsid w:val="00AD4D3C"/>
    <w:rsid w:val="00AD4E53"/>
    <w:rsid w:val="00AD7EBA"/>
    <w:rsid w:val="00AE0C77"/>
    <w:rsid w:val="00AE0E47"/>
    <w:rsid w:val="00AE4591"/>
    <w:rsid w:val="00AE4A57"/>
    <w:rsid w:val="00AE5ECD"/>
    <w:rsid w:val="00AE61AC"/>
    <w:rsid w:val="00AE75B4"/>
    <w:rsid w:val="00AE7E14"/>
    <w:rsid w:val="00AF131A"/>
    <w:rsid w:val="00AF1CE1"/>
    <w:rsid w:val="00AF2B91"/>
    <w:rsid w:val="00AF3EBA"/>
    <w:rsid w:val="00AF43B1"/>
    <w:rsid w:val="00AF6CF7"/>
    <w:rsid w:val="00B01BD6"/>
    <w:rsid w:val="00B0277B"/>
    <w:rsid w:val="00B03D48"/>
    <w:rsid w:val="00B047EC"/>
    <w:rsid w:val="00B06868"/>
    <w:rsid w:val="00B10CA5"/>
    <w:rsid w:val="00B11867"/>
    <w:rsid w:val="00B124A7"/>
    <w:rsid w:val="00B13D79"/>
    <w:rsid w:val="00B13E5D"/>
    <w:rsid w:val="00B153EE"/>
    <w:rsid w:val="00B1581A"/>
    <w:rsid w:val="00B16403"/>
    <w:rsid w:val="00B201F1"/>
    <w:rsid w:val="00B20B87"/>
    <w:rsid w:val="00B216FF"/>
    <w:rsid w:val="00B21DF0"/>
    <w:rsid w:val="00B22C78"/>
    <w:rsid w:val="00B241A0"/>
    <w:rsid w:val="00B2454F"/>
    <w:rsid w:val="00B25A2F"/>
    <w:rsid w:val="00B26232"/>
    <w:rsid w:val="00B27B19"/>
    <w:rsid w:val="00B27FE8"/>
    <w:rsid w:val="00B30091"/>
    <w:rsid w:val="00B30B7C"/>
    <w:rsid w:val="00B30FDE"/>
    <w:rsid w:val="00B31779"/>
    <w:rsid w:val="00B3256A"/>
    <w:rsid w:val="00B33D05"/>
    <w:rsid w:val="00B343CC"/>
    <w:rsid w:val="00B35C28"/>
    <w:rsid w:val="00B36AF8"/>
    <w:rsid w:val="00B37A95"/>
    <w:rsid w:val="00B41B41"/>
    <w:rsid w:val="00B41DF3"/>
    <w:rsid w:val="00B46641"/>
    <w:rsid w:val="00B46822"/>
    <w:rsid w:val="00B47E84"/>
    <w:rsid w:val="00B50C12"/>
    <w:rsid w:val="00B5142F"/>
    <w:rsid w:val="00B51805"/>
    <w:rsid w:val="00B518C6"/>
    <w:rsid w:val="00B521D1"/>
    <w:rsid w:val="00B531B6"/>
    <w:rsid w:val="00B55012"/>
    <w:rsid w:val="00B5580E"/>
    <w:rsid w:val="00B56FCC"/>
    <w:rsid w:val="00B616B4"/>
    <w:rsid w:val="00B621FD"/>
    <w:rsid w:val="00B644A7"/>
    <w:rsid w:val="00B67032"/>
    <w:rsid w:val="00B67D47"/>
    <w:rsid w:val="00B70630"/>
    <w:rsid w:val="00B710A8"/>
    <w:rsid w:val="00B73282"/>
    <w:rsid w:val="00B75F59"/>
    <w:rsid w:val="00B76443"/>
    <w:rsid w:val="00B77830"/>
    <w:rsid w:val="00B81498"/>
    <w:rsid w:val="00B8258E"/>
    <w:rsid w:val="00B85693"/>
    <w:rsid w:val="00B85C36"/>
    <w:rsid w:val="00B85DA6"/>
    <w:rsid w:val="00B91C93"/>
    <w:rsid w:val="00B920AD"/>
    <w:rsid w:val="00B94128"/>
    <w:rsid w:val="00B96042"/>
    <w:rsid w:val="00B962B5"/>
    <w:rsid w:val="00B96F5C"/>
    <w:rsid w:val="00BA0419"/>
    <w:rsid w:val="00BA41F5"/>
    <w:rsid w:val="00BA45B6"/>
    <w:rsid w:val="00BA53B6"/>
    <w:rsid w:val="00BA64C0"/>
    <w:rsid w:val="00BA7E69"/>
    <w:rsid w:val="00BB0E3F"/>
    <w:rsid w:val="00BB1032"/>
    <w:rsid w:val="00BB1D69"/>
    <w:rsid w:val="00BB2E02"/>
    <w:rsid w:val="00BB58C2"/>
    <w:rsid w:val="00BB5BB3"/>
    <w:rsid w:val="00BB798C"/>
    <w:rsid w:val="00BC29E1"/>
    <w:rsid w:val="00BC3BF2"/>
    <w:rsid w:val="00BC4893"/>
    <w:rsid w:val="00BC71E4"/>
    <w:rsid w:val="00BD01AC"/>
    <w:rsid w:val="00BD124E"/>
    <w:rsid w:val="00BD3C01"/>
    <w:rsid w:val="00BD5772"/>
    <w:rsid w:val="00BD5A4B"/>
    <w:rsid w:val="00BD5E2B"/>
    <w:rsid w:val="00BD6089"/>
    <w:rsid w:val="00BD626B"/>
    <w:rsid w:val="00BD79EF"/>
    <w:rsid w:val="00BE159E"/>
    <w:rsid w:val="00BE48D1"/>
    <w:rsid w:val="00BE494F"/>
    <w:rsid w:val="00BE5890"/>
    <w:rsid w:val="00BE5D61"/>
    <w:rsid w:val="00BE688E"/>
    <w:rsid w:val="00BF2073"/>
    <w:rsid w:val="00BF2219"/>
    <w:rsid w:val="00BF2738"/>
    <w:rsid w:val="00BF283B"/>
    <w:rsid w:val="00BF4355"/>
    <w:rsid w:val="00BF6630"/>
    <w:rsid w:val="00BF7FC6"/>
    <w:rsid w:val="00C0054A"/>
    <w:rsid w:val="00C009F5"/>
    <w:rsid w:val="00C01CB3"/>
    <w:rsid w:val="00C04834"/>
    <w:rsid w:val="00C05131"/>
    <w:rsid w:val="00C05A7C"/>
    <w:rsid w:val="00C07F79"/>
    <w:rsid w:val="00C11BC0"/>
    <w:rsid w:val="00C11D06"/>
    <w:rsid w:val="00C11FB9"/>
    <w:rsid w:val="00C12EA8"/>
    <w:rsid w:val="00C13B5F"/>
    <w:rsid w:val="00C15059"/>
    <w:rsid w:val="00C15686"/>
    <w:rsid w:val="00C1663C"/>
    <w:rsid w:val="00C17A82"/>
    <w:rsid w:val="00C17D29"/>
    <w:rsid w:val="00C21940"/>
    <w:rsid w:val="00C219E9"/>
    <w:rsid w:val="00C226A6"/>
    <w:rsid w:val="00C2304A"/>
    <w:rsid w:val="00C2325F"/>
    <w:rsid w:val="00C23C5F"/>
    <w:rsid w:val="00C248D7"/>
    <w:rsid w:val="00C27440"/>
    <w:rsid w:val="00C306AC"/>
    <w:rsid w:val="00C30E08"/>
    <w:rsid w:val="00C31686"/>
    <w:rsid w:val="00C31B63"/>
    <w:rsid w:val="00C31C11"/>
    <w:rsid w:val="00C33785"/>
    <w:rsid w:val="00C3486C"/>
    <w:rsid w:val="00C35175"/>
    <w:rsid w:val="00C3657D"/>
    <w:rsid w:val="00C36FA7"/>
    <w:rsid w:val="00C40527"/>
    <w:rsid w:val="00C409D7"/>
    <w:rsid w:val="00C40ADF"/>
    <w:rsid w:val="00C43A22"/>
    <w:rsid w:val="00C440EB"/>
    <w:rsid w:val="00C44C02"/>
    <w:rsid w:val="00C5038A"/>
    <w:rsid w:val="00C50A88"/>
    <w:rsid w:val="00C50D6E"/>
    <w:rsid w:val="00C5288D"/>
    <w:rsid w:val="00C552EB"/>
    <w:rsid w:val="00C57446"/>
    <w:rsid w:val="00C577E8"/>
    <w:rsid w:val="00C60233"/>
    <w:rsid w:val="00C618EE"/>
    <w:rsid w:val="00C63B13"/>
    <w:rsid w:val="00C65A60"/>
    <w:rsid w:val="00C661EB"/>
    <w:rsid w:val="00C679F4"/>
    <w:rsid w:val="00C67FD6"/>
    <w:rsid w:val="00C70727"/>
    <w:rsid w:val="00C7219D"/>
    <w:rsid w:val="00C72577"/>
    <w:rsid w:val="00C72B12"/>
    <w:rsid w:val="00C73EC4"/>
    <w:rsid w:val="00C742A8"/>
    <w:rsid w:val="00C74606"/>
    <w:rsid w:val="00C77581"/>
    <w:rsid w:val="00C80353"/>
    <w:rsid w:val="00C81E0C"/>
    <w:rsid w:val="00C821EA"/>
    <w:rsid w:val="00C83B4E"/>
    <w:rsid w:val="00C84030"/>
    <w:rsid w:val="00C84C47"/>
    <w:rsid w:val="00C85190"/>
    <w:rsid w:val="00C85FEA"/>
    <w:rsid w:val="00C91918"/>
    <w:rsid w:val="00C92118"/>
    <w:rsid w:val="00C92616"/>
    <w:rsid w:val="00C92CC5"/>
    <w:rsid w:val="00C93166"/>
    <w:rsid w:val="00C9357A"/>
    <w:rsid w:val="00C94C80"/>
    <w:rsid w:val="00C95F1D"/>
    <w:rsid w:val="00C9747A"/>
    <w:rsid w:val="00CA057C"/>
    <w:rsid w:val="00CA22E4"/>
    <w:rsid w:val="00CA27AC"/>
    <w:rsid w:val="00CA3AB1"/>
    <w:rsid w:val="00CA6664"/>
    <w:rsid w:val="00CA7CF0"/>
    <w:rsid w:val="00CB0A6E"/>
    <w:rsid w:val="00CB1179"/>
    <w:rsid w:val="00CB158A"/>
    <w:rsid w:val="00CB3812"/>
    <w:rsid w:val="00CB3A90"/>
    <w:rsid w:val="00CB57D1"/>
    <w:rsid w:val="00CB5F19"/>
    <w:rsid w:val="00CB7176"/>
    <w:rsid w:val="00CB76D2"/>
    <w:rsid w:val="00CC0B6F"/>
    <w:rsid w:val="00CC3EB0"/>
    <w:rsid w:val="00CD0289"/>
    <w:rsid w:val="00CD1BF8"/>
    <w:rsid w:val="00CD253C"/>
    <w:rsid w:val="00CD27BA"/>
    <w:rsid w:val="00CD2950"/>
    <w:rsid w:val="00CD3C52"/>
    <w:rsid w:val="00CD3EC7"/>
    <w:rsid w:val="00CD5C25"/>
    <w:rsid w:val="00CD708F"/>
    <w:rsid w:val="00CE075F"/>
    <w:rsid w:val="00CE44D7"/>
    <w:rsid w:val="00CE56FF"/>
    <w:rsid w:val="00CE674A"/>
    <w:rsid w:val="00CF0E38"/>
    <w:rsid w:val="00CF1018"/>
    <w:rsid w:val="00CF1EAF"/>
    <w:rsid w:val="00CF4D2F"/>
    <w:rsid w:val="00CF5B08"/>
    <w:rsid w:val="00CF6447"/>
    <w:rsid w:val="00CF68E7"/>
    <w:rsid w:val="00D029DE"/>
    <w:rsid w:val="00D03302"/>
    <w:rsid w:val="00D0344C"/>
    <w:rsid w:val="00D03768"/>
    <w:rsid w:val="00D05878"/>
    <w:rsid w:val="00D06510"/>
    <w:rsid w:val="00D10B26"/>
    <w:rsid w:val="00D10C47"/>
    <w:rsid w:val="00D2102C"/>
    <w:rsid w:val="00D23868"/>
    <w:rsid w:val="00D25DE8"/>
    <w:rsid w:val="00D26DC4"/>
    <w:rsid w:val="00D27227"/>
    <w:rsid w:val="00D2762E"/>
    <w:rsid w:val="00D27BE6"/>
    <w:rsid w:val="00D31EFA"/>
    <w:rsid w:val="00D347B8"/>
    <w:rsid w:val="00D349B5"/>
    <w:rsid w:val="00D361E9"/>
    <w:rsid w:val="00D363B0"/>
    <w:rsid w:val="00D36792"/>
    <w:rsid w:val="00D404F0"/>
    <w:rsid w:val="00D4096D"/>
    <w:rsid w:val="00D41753"/>
    <w:rsid w:val="00D42A78"/>
    <w:rsid w:val="00D435EF"/>
    <w:rsid w:val="00D4660C"/>
    <w:rsid w:val="00D501D3"/>
    <w:rsid w:val="00D524A9"/>
    <w:rsid w:val="00D5277C"/>
    <w:rsid w:val="00D531F0"/>
    <w:rsid w:val="00D533BE"/>
    <w:rsid w:val="00D548F3"/>
    <w:rsid w:val="00D56129"/>
    <w:rsid w:val="00D56EE3"/>
    <w:rsid w:val="00D60EA6"/>
    <w:rsid w:val="00D60F20"/>
    <w:rsid w:val="00D626EF"/>
    <w:rsid w:val="00D628E1"/>
    <w:rsid w:val="00D629E2"/>
    <w:rsid w:val="00D62C94"/>
    <w:rsid w:val="00D62D2C"/>
    <w:rsid w:val="00D62E28"/>
    <w:rsid w:val="00D63F20"/>
    <w:rsid w:val="00D65867"/>
    <w:rsid w:val="00D6717D"/>
    <w:rsid w:val="00D671C6"/>
    <w:rsid w:val="00D67F6F"/>
    <w:rsid w:val="00D702BA"/>
    <w:rsid w:val="00D709DF"/>
    <w:rsid w:val="00D711AC"/>
    <w:rsid w:val="00D7184F"/>
    <w:rsid w:val="00D73E82"/>
    <w:rsid w:val="00D76E9F"/>
    <w:rsid w:val="00D77809"/>
    <w:rsid w:val="00D7796A"/>
    <w:rsid w:val="00D77F16"/>
    <w:rsid w:val="00D77FBF"/>
    <w:rsid w:val="00D8064F"/>
    <w:rsid w:val="00D8096D"/>
    <w:rsid w:val="00D80EBE"/>
    <w:rsid w:val="00D8122D"/>
    <w:rsid w:val="00D827B3"/>
    <w:rsid w:val="00D83071"/>
    <w:rsid w:val="00D83234"/>
    <w:rsid w:val="00D83514"/>
    <w:rsid w:val="00D8486A"/>
    <w:rsid w:val="00D84CC5"/>
    <w:rsid w:val="00D85432"/>
    <w:rsid w:val="00D87832"/>
    <w:rsid w:val="00D90491"/>
    <w:rsid w:val="00D90CA6"/>
    <w:rsid w:val="00D91618"/>
    <w:rsid w:val="00D95126"/>
    <w:rsid w:val="00D9557A"/>
    <w:rsid w:val="00D955FF"/>
    <w:rsid w:val="00D95D62"/>
    <w:rsid w:val="00D96966"/>
    <w:rsid w:val="00D96B69"/>
    <w:rsid w:val="00D97626"/>
    <w:rsid w:val="00DA1760"/>
    <w:rsid w:val="00DA3E4A"/>
    <w:rsid w:val="00DA4A7A"/>
    <w:rsid w:val="00DA55CC"/>
    <w:rsid w:val="00DB006C"/>
    <w:rsid w:val="00DB1978"/>
    <w:rsid w:val="00DB32D6"/>
    <w:rsid w:val="00DB3466"/>
    <w:rsid w:val="00DB5322"/>
    <w:rsid w:val="00DB5FC4"/>
    <w:rsid w:val="00DB7ACD"/>
    <w:rsid w:val="00DC1EB8"/>
    <w:rsid w:val="00DC2175"/>
    <w:rsid w:val="00DC286A"/>
    <w:rsid w:val="00DC4A6D"/>
    <w:rsid w:val="00DC6F74"/>
    <w:rsid w:val="00DC78FD"/>
    <w:rsid w:val="00DD2459"/>
    <w:rsid w:val="00DD2F72"/>
    <w:rsid w:val="00DD3918"/>
    <w:rsid w:val="00DD3AC9"/>
    <w:rsid w:val="00DD4BB7"/>
    <w:rsid w:val="00DD51B8"/>
    <w:rsid w:val="00DD567A"/>
    <w:rsid w:val="00DD6251"/>
    <w:rsid w:val="00DD6994"/>
    <w:rsid w:val="00DE001B"/>
    <w:rsid w:val="00DE2A5C"/>
    <w:rsid w:val="00DE402C"/>
    <w:rsid w:val="00DE42D0"/>
    <w:rsid w:val="00DE51E1"/>
    <w:rsid w:val="00DE6411"/>
    <w:rsid w:val="00DF0A27"/>
    <w:rsid w:val="00DF1BB7"/>
    <w:rsid w:val="00DF2311"/>
    <w:rsid w:val="00DF3141"/>
    <w:rsid w:val="00DF395A"/>
    <w:rsid w:val="00DF5694"/>
    <w:rsid w:val="00DF572E"/>
    <w:rsid w:val="00E00014"/>
    <w:rsid w:val="00E025D0"/>
    <w:rsid w:val="00E03776"/>
    <w:rsid w:val="00E04500"/>
    <w:rsid w:val="00E04708"/>
    <w:rsid w:val="00E05F37"/>
    <w:rsid w:val="00E071A0"/>
    <w:rsid w:val="00E07995"/>
    <w:rsid w:val="00E079E6"/>
    <w:rsid w:val="00E104F7"/>
    <w:rsid w:val="00E10845"/>
    <w:rsid w:val="00E114CC"/>
    <w:rsid w:val="00E129A4"/>
    <w:rsid w:val="00E13164"/>
    <w:rsid w:val="00E13B78"/>
    <w:rsid w:val="00E14015"/>
    <w:rsid w:val="00E1482A"/>
    <w:rsid w:val="00E15C10"/>
    <w:rsid w:val="00E15F11"/>
    <w:rsid w:val="00E17424"/>
    <w:rsid w:val="00E17DD2"/>
    <w:rsid w:val="00E200B6"/>
    <w:rsid w:val="00E21497"/>
    <w:rsid w:val="00E214D5"/>
    <w:rsid w:val="00E22D75"/>
    <w:rsid w:val="00E23E46"/>
    <w:rsid w:val="00E25672"/>
    <w:rsid w:val="00E26A78"/>
    <w:rsid w:val="00E26AA6"/>
    <w:rsid w:val="00E27960"/>
    <w:rsid w:val="00E30BB8"/>
    <w:rsid w:val="00E32BD5"/>
    <w:rsid w:val="00E36C7C"/>
    <w:rsid w:val="00E413DE"/>
    <w:rsid w:val="00E42686"/>
    <w:rsid w:val="00E431EA"/>
    <w:rsid w:val="00E458AB"/>
    <w:rsid w:val="00E516A9"/>
    <w:rsid w:val="00E519B3"/>
    <w:rsid w:val="00E51F33"/>
    <w:rsid w:val="00E528DB"/>
    <w:rsid w:val="00E52B0F"/>
    <w:rsid w:val="00E52E7B"/>
    <w:rsid w:val="00E5311D"/>
    <w:rsid w:val="00E54BD9"/>
    <w:rsid w:val="00E54EBA"/>
    <w:rsid w:val="00E56100"/>
    <w:rsid w:val="00E57528"/>
    <w:rsid w:val="00E575B2"/>
    <w:rsid w:val="00E60081"/>
    <w:rsid w:val="00E60625"/>
    <w:rsid w:val="00E608E7"/>
    <w:rsid w:val="00E621D4"/>
    <w:rsid w:val="00E634DD"/>
    <w:rsid w:val="00E65793"/>
    <w:rsid w:val="00E662BD"/>
    <w:rsid w:val="00E66865"/>
    <w:rsid w:val="00E70545"/>
    <w:rsid w:val="00E7069D"/>
    <w:rsid w:val="00E72D3E"/>
    <w:rsid w:val="00E73FBA"/>
    <w:rsid w:val="00E75EFA"/>
    <w:rsid w:val="00E776DA"/>
    <w:rsid w:val="00E80D51"/>
    <w:rsid w:val="00E81645"/>
    <w:rsid w:val="00E81674"/>
    <w:rsid w:val="00E81F73"/>
    <w:rsid w:val="00E82291"/>
    <w:rsid w:val="00E82EB3"/>
    <w:rsid w:val="00E83B8C"/>
    <w:rsid w:val="00E84F1B"/>
    <w:rsid w:val="00E84F49"/>
    <w:rsid w:val="00E852C5"/>
    <w:rsid w:val="00E8611D"/>
    <w:rsid w:val="00E87BF3"/>
    <w:rsid w:val="00E90D01"/>
    <w:rsid w:val="00E914B0"/>
    <w:rsid w:val="00E914C0"/>
    <w:rsid w:val="00E91588"/>
    <w:rsid w:val="00E9287A"/>
    <w:rsid w:val="00E92A5B"/>
    <w:rsid w:val="00E932D9"/>
    <w:rsid w:val="00E93AAD"/>
    <w:rsid w:val="00E94652"/>
    <w:rsid w:val="00E97766"/>
    <w:rsid w:val="00EA02EF"/>
    <w:rsid w:val="00EA24F9"/>
    <w:rsid w:val="00EA2760"/>
    <w:rsid w:val="00EA29BC"/>
    <w:rsid w:val="00EA3306"/>
    <w:rsid w:val="00EA375F"/>
    <w:rsid w:val="00EA408D"/>
    <w:rsid w:val="00EA4C3F"/>
    <w:rsid w:val="00EA74B8"/>
    <w:rsid w:val="00EA7DA3"/>
    <w:rsid w:val="00EB355A"/>
    <w:rsid w:val="00EB42CF"/>
    <w:rsid w:val="00EB45FB"/>
    <w:rsid w:val="00EB5211"/>
    <w:rsid w:val="00EB5918"/>
    <w:rsid w:val="00EB6157"/>
    <w:rsid w:val="00EB6788"/>
    <w:rsid w:val="00EB6D60"/>
    <w:rsid w:val="00EB71E4"/>
    <w:rsid w:val="00EB79F2"/>
    <w:rsid w:val="00EC088E"/>
    <w:rsid w:val="00EC1683"/>
    <w:rsid w:val="00EC1EC7"/>
    <w:rsid w:val="00EC2BC2"/>
    <w:rsid w:val="00EC3910"/>
    <w:rsid w:val="00EC58AE"/>
    <w:rsid w:val="00EC7DD2"/>
    <w:rsid w:val="00ED338F"/>
    <w:rsid w:val="00ED38D7"/>
    <w:rsid w:val="00ED3DEB"/>
    <w:rsid w:val="00ED44EC"/>
    <w:rsid w:val="00ED4E17"/>
    <w:rsid w:val="00ED7183"/>
    <w:rsid w:val="00EE0E89"/>
    <w:rsid w:val="00EE0F2A"/>
    <w:rsid w:val="00EE1BFA"/>
    <w:rsid w:val="00EE1C2F"/>
    <w:rsid w:val="00EE2B5B"/>
    <w:rsid w:val="00EF0081"/>
    <w:rsid w:val="00EF2B7D"/>
    <w:rsid w:val="00EF35DA"/>
    <w:rsid w:val="00EF39AE"/>
    <w:rsid w:val="00EF43B8"/>
    <w:rsid w:val="00EF4429"/>
    <w:rsid w:val="00EF4B3C"/>
    <w:rsid w:val="00EF7025"/>
    <w:rsid w:val="00EF76DF"/>
    <w:rsid w:val="00F00838"/>
    <w:rsid w:val="00F00A83"/>
    <w:rsid w:val="00F00E97"/>
    <w:rsid w:val="00F02A5B"/>
    <w:rsid w:val="00F06018"/>
    <w:rsid w:val="00F06185"/>
    <w:rsid w:val="00F061F7"/>
    <w:rsid w:val="00F1550F"/>
    <w:rsid w:val="00F15637"/>
    <w:rsid w:val="00F162C7"/>
    <w:rsid w:val="00F17442"/>
    <w:rsid w:val="00F17B96"/>
    <w:rsid w:val="00F208A4"/>
    <w:rsid w:val="00F21B90"/>
    <w:rsid w:val="00F22D48"/>
    <w:rsid w:val="00F23128"/>
    <w:rsid w:val="00F231E0"/>
    <w:rsid w:val="00F24608"/>
    <w:rsid w:val="00F252B9"/>
    <w:rsid w:val="00F263C2"/>
    <w:rsid w:val="00F269D5"/>
    <w:rsid w:val="00F3249A"/>
    <w:rsid w:val="00F327C4"/>
    <w:rsid w:val="00F32C68"/>
    <w:rsid w:val="00F34324"/>
    <w:rsid w:val="00F34655"/>
    <w:rsid w:val="00F34FF1"/>
    <w:rsid w:val="00F36DAB"/>
    <w:rsid w:val="00F36E38"/>
    <w:rsid w:val="00F40884"/>
    <w:rsid w:val="00F42EAC"/>
    <w:rsid w:val="00F4390B"/>
    <w:rsid w:val="00F4678E"/>
    <w:rsid w:val="00F47B8E"/>
    <w:rsid w:val="00F504EA"/>
    <w:rsid w:val="00F5092B"/>
    <w:rsid w:val="00F50C32"/>
    <w:rsid w:val="00F52A7B"/>
    <w:rsid w:val="00F52C3F"/>
    <w:rsid w:val="00F52FC1"/>
    <w:rsid w:val="00F5310D"/>
    <w:rsid w:val="00F53E47"/>
    <w:rsid w:val="00F54ABC"/>
    <w:rsid w:val="00F5593A"/>
    <w:rsid w:val="00F5594F"/>
    <w:rsid w:val="00F55CD7"/>
    <w:rsid w:val="00F55FFF"/>
    <w:rsid w:val="00F5641B"/>
    <w:rsid w:val="00F5709C"/>
    <w:rsid w:val="00F574C4"/>
    <w:rsid w:val="00F6174E"/>
    <w:rsid w:val="00F618C6"/>
    <w:rsid w:val="00F61910"/>
    <w:rsid w:val="00F61BA8"/>
    <w:rsid w:val="00F640DD"/>
    <w:rsid w:val="00F64936"/>
    <w:rsid w:val="00F64D10"/>
    <w:rsid w:val="00F64DB6"/>
    <w:rsid w:val="00F66A79"/>
    <w:rsid w:val="00F66EFF"/>
    <w:rsid w:val="00F66FDF"/>
    <w:rsid w:val="00F6784A"/>
    <w:rsid w:val="00F70213"/>
    <w:rsid w:val="00F7050C"/>
    <w:rsid w:val="00F71FF2"/>
    <w:rsid w:val="00F72564"/>
    <w:rsid w:val="00F73958"/>
    <w:rsid w:val="00F73B3C"/>
    <w:rsid w:val="00F74715"/>
    <w:rsid w:val="00F75839"/>
    <w:rsid w:val="00F764F8"/>
    <w:rsid w:val="00F768C9"/>
    <w:rsid w:val="00F779F8"/>
    <w:rsid w:val="00F81A4A"/>
    <w:rsid w:val="00F81AF3"/>
    <w:rsid w:val="00F81D3B"/>
    <w:rsid w:val="00F82CFC"/>
    <w:rsid w:val="00F85D8A"/>
    <w:rsid w:val="00F87FF6"/>
    <w:rsid w:val="00F90B54"/>
    <w:rsid w:val="00F91AB5"/>
    <w:rsid w:val="00F92F9B"/>
    <w:rsid w:val="00F95B8E"/>
    <w:rsid w:val="00FA0035"/>
    <w:rsid w:val="00FA0129"/>
    <w:rsid w:val="00FA0EEA"/>
    <w:rsid w:val="00FA19D9"/>
    <w:rsid w:val="00FA4046"/>
    <w:rsid w:val="00FA5979"/>
    <w:rsid w:val="00FA6CB3"/>
    <w:rsid w:val="00FA700F"/>
    <w:rsid w:val="00FA7788"/>
    <w:rsid w:val="00FB17D3"/>
    <w:rsid w:val="00FB18A5"/>
    <w:rsid w:val="00FB2633"/>
    <w:rsid w:val="00FB275B"/>
    <w:rsid w:val="00FB36B7"/>
    <w:rsid w:val="00FB3CC3"/>
    <w:rsid w:val="00FB4293"/>
    <w:rsid w:val="00FB45E8"/>
    <w:rsid w:val="00FB6004"/>
    <w:rsid w:val="00FC049F"/>
    <w:rsid w:val="00FC0E34"/>
    <w:rsid w:val="00FC39E6"/>
    <w:rsid w:val="00FC7567"/>
    <w:rsid w:val="00FD0CB9"/>
    <w:rsid w:val="00FD0FC8"/>
    <w:rsid w:val="00FD1F5F"/>
    <w:rsid w:val="00FD2986"/>
    <w:rsid w:val="00FD5D0B"/>
    <w:rsid w:val="00FD60F2"/>
    <w:rsid w:val="00FD62F6"/>
    <w:rsid w:val="00FD63DC"/>
    <w:rsid w:val="00FD725A"/>
    <w:rsid w:val="00FE0896"/>
    <w:rsid w:val="00FE0FC4"/>
    <w:rsid w:val="00FE12F7"/>
    <w:rsid w:val="00FE171E"/>
    <w:rsid w:val="00FE1AAB"/>
    <w:rsid w:val="00FE1CE2"/>
    <w:rsid w:val="00FE311B"/>
    <w:rsid w:val="00FE36D8"/>
    <w:rsid w:val="00FE4CFE"/>
    <w:rsid w:val="00FE5103"/>
    <w:rsid w:val="00FE5FF0"/>
    <w:rsid w:val="00FF12F0"/>
    <w:rsid w:val="00FF25CC"/>
    <w:rsid w:val="00FF44B1"/>
    <w:rsid w:val="00FF49AC"/>
    <w:rsid w:val="00FF4D3F"/>
    <w:rsid w:val="00FF5368"/>
    <w:rsid w:val="00FF573B"/>
    <w:rsid w:val="00FF6384"/>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2"/>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2"/>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2"/>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2"/>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2"/>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2"/>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2"/>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2"/>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2"/>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83359B"/>
    <w:pPr>
      <w:tabs>
        <w:tab w:val="right" w:leader="dot" w:pos="9016"/>
      </w:tabs>
      <w:spacing w:before="120" w:after="120"/>
    </w:pPr>
    <w:rPr>
      <w:b/>
      <w:bCs/>
      <w:caps/>
      <w:sz w:val="20"/>
      <w:szCs w:val="20"/>
    </w:rPr>
  </w:style>
  <w:style w:type="paragraph" w:styleId="TOC2">
    <w:name w:val="toc 2"/>
    <w:basedOn w:val="Normal"/>
    <w:next w:val="Normal"/>
    <w:autoRedefine/>
    <w:uiPriority w:val="39"/>
    <w:unhideWhenUsed/>
    <w:rsid w:val="00691B08"/>
    <w:pPr>
      <w:spacing w:after="0"/>
      <w:ind w:left="220"/>
    </w:pPr>
    <w:rPr>
      <w:smallCaps/>
      <w:sz w:val="20"/>
      <w:szCs w:val="20"/>
    </w:rPr>
  </w:style>
  <w:style w:type="paragraph" w:styleId="TOC3">
    <w:name w:val="toc 3"/>
    <w:basedOn w:val="Normal"/>
    <w:next w:val="Normal"/>
    <w:autoRedefine/>
    <w:uiPriority w:val="39"/>
    <w:unhideWhenUsed/>
    <w:rsid w:val="00691B08"/>
    <w:pPr>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itle">
    <w:name w:val="Title"/>
    <w:basedOn w:val="Normal"/>
    <w:next w:val="Normal"/>
    <w:link w:val="TitleChar"/>
    <w:uiPriority w:val="10"/>
    <w:qFormat/>
    <w:rsid w:val="00C230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4A"/>
    <w:rPr>
      <w:rFonts w:asciiTheme="majorHAnsi" w:eastAsiaTheme="majorEastAsia" w:hAnsiTheme="majorHAnsi" w:cstheme="majorBidi"/>
      <w:spacing w:val="-10"/>
      <w:kern w:val="28"/>
      <w:sz w:val="56"/>
      <w:szCs w:val="56"/>
    </w:rPr>
  </w:style>
  <w:style w:type="paragraph" w:customStyle="1" w:styleId="Default">
    <w:name w:val="Default"/>
    <w:rsid w:val="00552CC2"/>
    <w:pPr>
      <w:autoSpaceDE w:val="0"/>
      <w:autoSpaceDN w:val="0"/>
      <w:adjustRightInd w:val="0"/>
      <w:spacing w:after="0" w:line="240" w:lineRule="auto"/>
    </w:pPr>
    <w:rPr>
      <w:rFonts w:ascii="IJIKHD+TimesNewRoman,BoldItalic" w:hAnsi="IJIKHD+TimesNewRoman,BoldItalic" w:cs="IJIKHD+TimesNewRoman,BoldItalic"/>
      <w:color w:val="000000"/>
      <w:sz w:val="24"/>
      <w:szCs w:val="24"/>
    </w:rPr>
  </w:style>
  <w:style w:type="paragraph" w:styleId="Bibliography">
    <w:name w:val="Bibliography"/>
    <w:basedOn w:val="Normal"/>
    <w:next w:val="Normal"/>
    <w:uiPriority w:val="37"/>
    <w:unhideWhenUsed/>
    <w:rsid w:val="00B153EE"/>
  </w:style>
  <w:style w:type="paragraph" w:styleId="TableofFigures">
    <w:name w:val="table of figures"/>
    <w:basedOn w:val="Normal"/>
    <w:next w:val="Normal"/>
    <w:uiPriority w:val="99"/>
    <w:unhideWhenUsed/>
    <w:rsid w:val="00716831"/>
    <w:pPr>
      <w:spacing w:after="0"/>
    </w:pPr>
  </w:style>
  <w:style w:type="table" w:customStyle="1" w:styleId="TableGridLight1">
    <w:name w:val="Table Grid Light1"/>
    <w:basedOn w:val="TableNormal"/>
    <w:uiPriority w:val="40"/>
    <w:rsid w:val="006365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47249">
      <w:bodyDiv w:val="1"/>
      <w:marLeft w:val="0"/>
      <w:marRight w:val="0"/>
      <w:marTop w:val="0"/>
      <w:marBottom w:val="0"/>
      <w:divBdr>
        <w:top w:val="none" w:sz="0" w:space="0" w:color="auto"/>
        <w:left w:val="none" w:sz="0" w:space="0" w:color="auto"/>
        <w:bottom w:val="none" w:sz="0" w:space="0" w:color="auto"/>
        <w:right w:val="none" w:sz="0" w:space="0" w:color="auto"/>
      </w:divBdr>
    </w:div>
    <w:div w:id="48234853">
      <w:bodyDiv w:val="1"/>
      <w:marLeft w:val="0"/>
      <w:marRight w:val="0"/>
      <w:marTop w:val="0"/>
      <w:marBottom w:val="0"/>
      <w:divBdr>
        <w:top w:val="none" w:sz="0" w:space="0" w:color="auto"/>
        <w:left w:val="none" w:sz="0" w:space="0" w:color="auto"/>
        <w:bottom w:val="none" w:sz="0" w:space="0" w:color="auto"/>
        <w:right w:val="none" w:sz="0" w:space="0" w:color="auto"/>
      </w:divBdr>
    </w:div>
    <w:div w:id="122428787">
      <w:bodyDiv w:val="1"/>
      <w:marLeft w:val="0"/>
      <w:marRight w:val="0"/>
      <w:marTop w:val="0"/>
      <w:marBottom w:val="0"/>
      <w:divBdr>
        <w:top w:val="none" w:sz="0" w:space="0" w:color="auto"/>
        <w:left w:val="none" w:sz="0" w:space="0" w:color="auto"/>
        <w:bottom w:val="none" w:sz="0" w:space="0" w:color="auto"/>
        <w:right w:val="none" w:sz="0" w:space="0" w:color="auto"/>
      </w:divBdr>
    </w:div>
    <w:div w:id="201020479">
      <w:bodyDiv w:val="1"/>
      <w:marLeft w:val="0"/>
      <w:marRight w:val="0"/>
      <w:marTop w:val="0"/>
      <w:marBottom w:val="0"/>
      <w:divBdr>
        <w:top w:val="none" w:sz="0" w:space="0" w:color="auto"/>
        <w:left w:val="none" w:sz="0" w:space="0" w:color="auto"/>
        <w:bottom w:val="none" w:sz="0" w:space="0" w:color="auto"/>
        <w:right w:val="none" w:sz="0" w:space="0" w:color="auto"/>
      </w:divBdr>
    </w:div>
    <w:div w:id="258221472">
      <w:bodyDiv w:val="1"/>
      <w:marLeft w:val="0"/>
      <w:marRight w:val="0"/>
      <w:marTop w:val="0"/>
      <w:marBottom w:val="0"/>
      <w:divBdr>
        <w:top w:val="none" w:sz="0" w:space="0" w:color="auto"/>
        <w:left w:val="none" w:sz="0" w:space="0" w:color="auto"/>
        <w:bottom w:val="none" w:sz="0" w:space="0" w:color="auto"/>
        <w:right w:val="none" w:sz="0" w:space="0" w:color="auto"/>
      </w:divBdr>
    </w:div>
    <w:div w:id="261228216">
      <w:bodyDiv w:val="1"/>
      <w:marLeft w:val="0"/>
      <w:marRight w:val="0"/>
      <w:marTop w:val="0"/>
      <w:marBottom w:val="0"/>
      <w:divBdr>
        <w:top w:val="none" w:sz="0" w:space="0" w:color="auto"/>
        <w:left w:val="none" w:sz="0" w:space="0" w:color="auto"/>
        <w:bottom w:val="none" w:sz="0" w:space="0" w:color="auto"/>
        <w:right w:val="none" w:sz="0" w:space="0" w:color="auto"/>
      </w:divBdr>
    </w:div>
    <w:div w:id="271596940">
      <w:bodyDiv w:val="1"/>
      <w:marLeft w:val="0"/>
      <w:marRight w:val="0"/>
      <w:marTop w:val="0"/>
      <w:marBottom w:val="0"/>
      <w:divBdr>
        <w:top w:val="none" w:sz="0" w:space="0" w:color="auto"/>
        <w:left w:val="none" w:sz="0" w:space="0" w:color="auto"/>
        <w:bottom w:val="none" w:sz="0" w:space="0" w:color="auto"/>
        <w:right w:val="none" w:sz="0" w:space="0" w:color="auto"/>
      </w:divBdr>
    </w:div>
    <w:div w:id="310646904">
      <w:bodyDiv w:val="1"/>
      <w:marLeft w:val="0"/>
      <w:marRight w:val="0"/>
      <w:marTop w:val="0"/>
      <w:marBottom w:val="0"/>
      <w:divBdr>
        <w:top w:val="none" w:sz="0" w:space="0" w:color="auto"/>
        <w:left w:val="none" w:sz="0" w:space="0" w:color="auto"/>
        <w:bottom w:val="none" w:sz="0" w:space="0" w:color="auto"/>
        <w:right w:val="none" w:sz="0" w:space="0" w:color="auto"/>
      </w:divBdr>
    </w:div>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349642994">
      <w:bodyDiv w:val="1"/>
      <w:marLeft w:val="0"/>
      <w:marRight w:val="0"/>
      <w:marTop w:val="0"/>
      <w:marBottom w:val="0"/>
      <w:divBdr>
        <w:top w:val="none" w:sz="0" w:space="0" w:color="auto"/>
        <w:left w:val="none" w:sz="0" w:space="0" w:color="auto"/>
        <w:bottom w:val="none" w:sz="0" w:space="0" w:color="auto"/>
        <w:right w:val="none" w:sz="0" w:space="0" w:color="auto"/>
      </w:divBdr>
    </w:div>
    <w:div w:id="407075797">
      <w:bodyDiv w:val="1"/>
      <w:marLeft w:val="0"/>
      <w:marRight w:val="0"/>
      <w:marTop w:val="0"/>
      <w:marBottom w:val="0"/>
      <w:divBdr>
        <w:top w:val="none" w:sz="0" w:space="0" w:color="auto"/>
        <w:left w:val="none" w:sz="0" w:space="0" w:color="auto"/>
        <w:bottom w:val="none" w:sz="0" w:space="0" w:color="auto"/>
        <w:right w:val="none" w:sz="0" w:space="0" w:color="auto"/>
      </w:divBdr>
    </w:div>
    <w:div w:id="453911980">
      <w:bodyDiv w:val="1"/>
      <w:marLeft w:val="0"/>
      <w:marRight w:val="0"/>
      <w:marTop w:val="0"/>
      <w:marBottom w:val="0"/>
      <w:divBdr>
        <w:top w:val="none" w:sz="0" w:space="0" w:color="auto"/>
        <w:left w:val="none" w:sz="0" w:space="0" w:color="auto"/>
        <w:bottom w:val="none" w:sz="0" w:space="0" w:color="auto"/>
        <w:right w:val="none" w:sz="0" w:space="0" w:color="auto"/>
      </w:divBdr>
    </w:div>
    <w:div w:id="508713045">
      <w:bodyDiv w:val="1"/>
      <w:marLeft w:val="0"/>
      <w:marRight w:val="0"/>
      <w:marTop w:val="0"/>
      <w:marBottom w:val="0"/>
      <w:divBdr>
        <w:top w:val="none" w:sz="0" w:space="0" w:color="auto"/>
        <w:left w:val="none" w:sz="0" w:space="0" w:color="auto"/>
        <w:bottom w:val="none" w:sz="0" w:space="0" w:color="auto"/>
        <w:right w:val="none" w:sz="0" w:space="0" w:color="auto"/>
      </w:divBdr>
    </w:div>
    <w:div w:id="510681406">
      <w:bodyDiv w:val="1"/>
      <w:marLeft w:val="0"/>
      <w:marRight w:val="0"/>
      <w:marTop w:val="0"/>
      <w:marBottom w:val="0"/>
      <w:divBdr>
        <w:top w:val="none" w:sz="0" w:space="0" w:color="auto"/>
        <w:left w:val="none" w:sz="0" w:space="0" w:color="auto"/>
        <w:bottom w:val="none" w:sz="0" w:space="0" w:color="auto"/>
        <w:right w:val="none" w:sz="0" w:space="0" w:color="auto"/>
      </w:divBdr>
    </w:div>
    <w:div w:id="541479281">
      <w:bodyDiv w:val="1"/>
      <w:marLeft w:val="0"/>
      <w:marRight w:val="0"/>
      <w:marTop w:val="0"/>
      <w:marBottom w:val="0"/>
      <w:divBdr>
        <w:top w:val="none" w:sz="0" w:space="0" w:color="auto"/>
        <w:left w:val="none" w:sz="0" w:space="0" w:color="auto"/>
        <w:bottom w:val="none" w:sz="0" w:space="0" w:color="auto"/>
        <w:right w:val="none" w:sz="0" w:space="0" w:color="auto"/>
      </w:divBdr>
    </w:div>
    <w:div w:id="551573137">
      <w:bodyDiv w:val="1"/>
      <w:marLeft w:val="0"/>
      <w:marRight w:val="0"/>
      <w:marTop w:val="0"/>
      <w:marBottom w:val="0"/>
      <w:divBdr>
        <w:top w:val="none" w:sz="0" w:space="0" w:color="auto"/>
        <w:left w:val="none" w:sz="0" w:space="0" w:color="auto"/>
        <w:bottom w:val="none" w:sz="0" w:space="0" w:color="auto"/>
        <w:right w:val="none" w:sz="0" w:space="0" w:color="auto"/>
      </w:divBdr>
    </w:div>
    <w:div w:id="583876499">
      <w:bodyDiv w:val="1"/>
      <w:marLeft w:val="0"/>
      <w:marRight w:val="0"/>
      <w:marTop w:val="0"/>
      <w:marBottom w:val="0"/>
      <w:divBdr>
        <w:top w:val="none" w:sz="0" w:space="0" w:color="auto"/>
        <w:left w:val="none" w:sz="0" w:space="0" w:color="auto"/>
        <w:bottom w:val="none" w:sz="0" w:space="0" w:color="auto"/>
        <w:right w:val="none" w:sz="0" w:space="0" w:color="auto"/>
      </w:divBdr>
    </w:div>
    <w:div w:id="588735330">
      <w:bodyDiv w:val="1"/>
      <w:marLeft w:val="0"/>
      <w:marRight w:val="0"/>
      <w:marTop w:val="0"/>
      <w:marBottom w:val="0"/>
      <w:divBdr>
        <w:top w:val="none" w:sz="0" w:space="0" w:color="auto"/>
        <w:left w:val="none" w:sz="0" w:space="0" w:color="auto"/>
        <w:bottom w:val="none" w:sz="0" w:space="0" w:color="auto"/>
        <w:right w:val="none" w:sz="0" w:space="0" w:color="auto"/>
      </w:divBdr>
    </w:div>
    <w:div w:id="603617055">
      <w:bodyDiv w:val="1"/>
      <w:marLeft w:val="0"/>
      <w:marRight w:val="0"/>
      <w:marTop w:val="0"/>
      <w:marBottom w:val="0"/>
      <w:divBdr>
        <w:top w:val="none" w:sz="0" w:space="0" w:color="auto"/>
        <w:left w:val="none" w:sz="0" w:space="0" w:color="auto"/>
        <w:bottom w:val="none" w:sz="0" w:space="0" w:color="auto"/>
        <w:right w:val="none" w:sz="0" w:space="0" w:color="auto"/>
      </w:divBdr>
    </w:div>
    <w:div w:id="642737069">
      <w:bodyDiv w:val="1"/>
      <w:marLeft w:val="0"/>
      <w:marRight w:val="0"/>
      <w:marTop w:val="0"/>
      <w:marBottom w:val="0"/>
      <w:divBdr>
        <w:top w:val="none" w:sz="0" w:space="0" w:color="auto"/>
        <w:left w:val="none" w:sz="0" w:space="0" w:color="auto"/>
        <w:bottom w:val="none" w:sz="0" w:space="0" w:color="auto"/>
        <w:right w:val="none" w:sz="0" w:space="0" w:color="auto"/>
      </w:divBdr>
    </w:div>
    <w:div w:id="683673380">
      <w:bodyDiv w:val="1"/>
      <w:marLeft w:val="0"/>
      <w:marRight w:val="0"/>
      <w:marTop w:val="0"/>
      <w:marBottom w:val="0"/>
      <w:divBdr>
        <w:top w:val="none" w:sz="0" w:space="0" w:color="auto"/>
        <w:left w:val="none" w:sz="0" w:space="0" w:color="auto"/>
        <w:bottom w:val="none" w:sz="0" w:space="0" w:color="auto"/>
        <w:right w:val="none" w:sz="0" w:space="0" w:color="auto"/>
      </w:divBdr>
    </w:div>
    <w:div w:id="704599283">
      <w:bodyDiv w:val="1"/>
      <w:marLeft w:val="0"/>
      <w:marRight w:val="0"/>
      <w:marTop w:val="0"/>
      <w:marBottom w:val="0"/>
      <w:divBdr>
        <w:top w:val="none" w:sz="0" w:space="0" w:color="auto"/>
        <w:left w:val="none" w:sz="0" w:space="0" w:color="auto"/>
        <w:bottom w:val="none" w:sz="0" w:space="0" w:color="auto"/>
        <w:right w:val="none" w:sz="0" w:space="0" w:color="auto"/>
      </w:divBdr>
    </w:div>
    <w:div w:id="728654088">
      <w:bodyDiv w:val="1"/>
      <w:marLeft w:val="0"/>
      <w:marRight w:val="0"/>
      <w:marTop w:val="0"/>
      <w:marBottom w:val="0"/>
      <w:divBdr>
        <w:top w:val="none" w:sz="0" w:space="0" w:color="auto"/>
        <w:left w:val="none" w:sz="0" w:space="0" w:color="auto"/>
        <w:bottom w:val="none" w:sz="0" w:space="0" w:color="auto"/>
        <w:right w:val="none" w:sz="0" w:space="0" w:color="auto"/>
      </w:divBdr>
    </w:div>
    <w:div w:id="753210274">
      <w:bodyDiv w:val="1"/>
      <w:marLeft w:val="0"/>
      <w:marRight w:val="0"/>
      <w:marTop w:val="0"/>
      <w:marBottom w:val="0"/>
      <w:divBdr>
        <w:top w:val="none" w:sz="0" w:space="0" w:color="auto"/>
        <w:left w:val="none" w:sz="0" w:space="0" w:color="auto"/>
        <w:bottom w:val="none" w:sz="0" w:space="0" w:color="auto"/>
        <w:right w:val="none" w:sz="0" w:space="0" w:color="auto"/>
      </w:divBdr>
    </w:div>
    <w:div w:id="853151012">
      <w:bodyDiv w:val="1"/>
      <w:marLeft w:val="0"/>
      <w:marRight w:val="0"/>
      <w:marTop w:val="0"/>
      <w:marBottom w:val="0"/>
      <w:divBdr>
        <w:top w:val="none" w:sz="0" w:space="0" w:color="auto"/>
        <w:left w:val="none" w:sz="0" w:space="0" w:color="auto"/>
        <w:bottom w:val="none" w:sz="0" w:space="0" w:color="auto"/>
        <w:right w:val="none" w:sz="0" w:space="0" w:color="auto"/>
      </w:divBdr>
    </w:div>
    <w:div w:id="935480540">
      <w:bodyDiv w:val="1"/>
      <w:marLeft w:val="0"/>
      <w:marRight w:val="0"/>
      <w:marTop w:val="0"/>
      <w:marBottom w:val="0"/>
      <w:divBdr>
        <w:top w:val="none" w:sz="0" w:space="0" w:color="auto"/>
        <w:left w:val="none" w:sz="0" w:space="0" w:color="auto"/>
        <w:bottom w:val="none" w:sz="0" w:space="0" w:color="auto"/>
        <w:right w:val="none" w:sz="0" w:space="0" w:color="auto"/>
      </w:divBdr>
    </w:div>
    <w:div w:id="942103673">
      <w:bodyDiv w:val="1"/>
      <w:marLeft w:val="0"/>
      <w:marRight w:val="0"/>
      <w:marTop w:val="0"/>
      <w:marBottom w:val="0"/>
      <w:divBdr>
        <w:top w:val="none" w:sz="0" w:space="0" w:color="auto"/>
        <w:left w:val="none" w:sz="0" w:space="0" w:color="auto"/>
        <w:bottom w:val="none" w:sz="0" w:space="0" w:color="auto"/>
        <w:right w:val="none" w:sz="0" w:space="0" w:color="auto"/>
      </w:divBdr>
    </w:div>
    <w:div w:id="977370563">
      <w:bodyDiv w:val="1"/>
      <w:marLeft w:val="0"/>
      <w:marRight w:val="0"/>
      <w:marTop w:val="0"/>
      <w:marBottom w:val="0"/>
      <w:divBdr>
        <w:top w:val="none" w:sz="0" w:space="0" w:color="auto"/>
        <w:left w:val="none" w:sz="0" w:space="0" w:color="auto"/>
        <w:bottom w:val="none" w:sz="0" w:space="0" w:color="auto"/>
        <w:right w:val="none" w:sz="0" w:space="0" w:color="auto"/>
      </w:divBdr>
    </w:div>
    <w:div w:id="1026717195">
      <w:bodyDiv w:val="1"/>
      <w:marLeft w:val="0"/>
      <w:marRight w:val="0"/>
      <w:marTop w:val="0"/>
      <w:marBottom w:val="0"/>
      <w:divBdr>
        <w:top w:val="none" w:sz="0" w:space="0" w:color="auto"/>
        <w:left w:val="none" w:sz="0" w:space="0" w:color="auto"/>
        <w:bottom w:val="none" w:sz="0" w:space="0" w:color="auto"/>
        <w:right w:val="none" w:sz="0" w:space="0" w:color="auto"/>
      </w:divBdr>
    </w:div>
    <w:div w:id="1034690362">
      <w:bodyDiv w:val="1"/>
      <w:marLeft w:val="0"/>
      <w:marRight w:val="0"/>
      <w:marTop w:val="0"/>
      <w:marBottom w:val="0"/>
      <w:divBdr>
        <w:top w:val="none" w:sz="0" w:space="0" w:color="auto"/>
        <w:left w:val="none" w:sz="0" w:space="0" w:color="auto"/>
        <w:bottom w:val="none" w:sz="0" w:space="0" w:color="auto"/>
        <w:right w:val="none" w:sz="0" w:space="0" w:color="auto"/>
      </w:divBdr>
    </w:div>
    <w:div w:id="1041980141">
      <w:bodyDiv w:val="1"/>
      <w:marLeft w:val="0"/>
      <w:marRight w:val="0"/>
      <w:marTop w:val="0"/>
      <w:marBottom w:val="0"/>
      <w:divBdr>
        <w:top w:val="none" w:sz="0" w:space="0" w:color="auto"/>
        <w:left w:val="none" w:sz="0" w:space="0" w:color="auto"/>
        <w:bottom w:val="none" w:sz="0" w:space="0" w:color="auto"/>
        <w:right w:val="none" w:sz="0" w:space="0" w:color="auto"/>
      </w:divBdr>
    </w:div>
    <w:div w:id="1066688514">
      <w:bodyDiv w:val="1"/>
      <w:marLeft w:val="0"/>
      <w:marRight w:val="0"/>
      <w:marTop w:val="0"/>
      <w:marBottom w:val="0"/>
      <w:divBdr>
        <w:top w:val="none" w:sz="0" w:space="0" w:color="auto"/>
        <w:left w:val="none" w:sz="0" w:space="0" w:color="auto"/>
        <w:bottom w:val="none" w:sz="0" w:space="0" w:color="auto"/>
        <w:right w:val="none" w:sz="0" w:space="0" w:color="auto"/>
      </w:divBdr>
    </w:div>
    <w:div w:id="1078477501">
      <w:bodyDiv w:val="1"/>
      <w:marLeft w:val="0"/>
      <w:marRight w:val="0"/>
      <w:marTop w:val="0"/>
      <w:marBottom w:val="0"/>
      <w:divBdr>
        <w:top w:val="none" w:sz="0" w:space="0" w:color="auto"/>
        <w:left w:val="none" w:sz="0" w:space="0" w:color="auto"/>
        <w:bottom w:val="none" w:sz="0" w:space="0" w:color="auto"/>
        <w:right w:val="none" w:sz="0" w:space="0" w:color="auto"/>
      </w:divBdr>
    </w:div>
    <w:div w:id="1091048552">
      <w:bodyDiv w:val="1"/>
      <w:marLeft w:val="0"/>
      <w:marRight w:val="0"/>
      <w:marTop w:val="0"/>
      <w:marBottom w:val="0"/>
      <w:divBdr>
        <w:top w:val="none" w:sz="0" w:space="0" w:color="auto"/>
        <w:left w:val="none" w:sz="0" w:space="0" w:color="auto"/>
        <w:bottom w:val="none" w:sz="0" w:space="0" w:color="auto"/>
        <w:right w:val="none" w:sz="0" w:space="0" w:color="auto"/>
      </w:divBdr>
    </w:div>
    <w:div w:id="1099325895">
      <w:bodyDiv w:val="1"/>
      <w:marLeft w:val="0"/>
      <w:marRight w:val="0"/>
      <w:marTop w:val="0"/>
      <w:marBottom w:val="0"/>
      <w:divBdr>
        <w:top w:val="none" w:sz="0" w:space="0" w:color="auto"/>
        <w:left w:val="none" w:sz="0" w:space="0" w:color="auto"/>
        <w:bottom w:val="none" w:sz="0" w:space="0" w:color="auto"/>
        <w:right w:val="none" w:sz="0" w:space="0" w:color="auto"/>
      </w:divBdr>
    </w:div>
    <w:div w:id="1113326434">
      <w:bodyDiv w:val="1"/>
      <w:marLeft w:val="0"/>
      <w:marRight w:val="0"/>
      <w:marTop w:val="0"/>
      <w:marBottom w:val="0"/>
      <w:divBdr>
        <w:top w:val="none" w:sz="0" w:space="0" w:color="auto"/>
        <w:left w:val="none" w:sz="0" w:space="0" w:color="auto"/>
        <w:bottom w:val="none" w:sz="0" w:space="0" w:color="auto"/>
        <w:right w:val="none" w:sz="0" w:space="0" w:color="auto"/>
      </w:divBdr>
    </w:div>
    <w:div w:id="1143080167">
      <w:bodyDiv w:val="1"/>
      <w:marLeft w:val="0"/>
      <w:marRight w:val="0"/>
      <w:marTop w:val="0"/>
      <w:marBottom w:val="0"/>
      <w:divBdr>
        <w:top w:val="none" w:sz="0" w:space="0" w:color="auto"/>
        <w:left w:val="none" w:sz="0" w:space="0" w:color="auto"/>
        <w:bottom w:val="none" w:sz="0" w:space="0" w:color="auto"/>
        <w:right w:val="none" w:sz="0" w:space="0" w:color="auto"/>
      </w:divBdr>
    </w:div>
    <w:div w:id="1146825438">
      <w:bodyDiv w:val="1"/>
      <w:marLeft w:val="0"/>
      <w:marRight w:val="0"/>
      <w:marTop w:val="0"/>
      <w:marBottom w:val="0"/>
      <w:divBdr>
        <w:top w:val="none" w:sz="0" w:space="0" w:color="auto"/>
        <w:left w:val="none" w:sz="0" w:space="0" w:color="auto"/>
        <w:bottom w:val="none" w:sz="0" w:space="0" w:color="auto"/>
        <w:right w:val="none" w:sz="0" w:space="0" w:color="auto"/>
      </w:divBdr>
    </w:div>
    <w:div w:id="1155611324">
      <w:bodyDiv w:val="1"/>
      <w:marLeft w:val="0"/>
      <w:marRight w:val="0"/>
      <w:marTop w:val="0"/>
      <w:marBottom w:val="0"/>
      <w:divBdr>
        <w:top w:val="none" w:sz="0" w:space="0" w:color="auto"/>
        <w:left w:val="none" w:sz="0" w:space="0" w:color="auto"/>
        <w:bottom w:val="none" w:sz="0" w:space="0" w:color="auto"/>
        <w:right w:val="none" w:sz="0" w:space="0" w:color="auto"/>
      </w:divBdr>
    </w:div>
    <w:div w:id="1210873601">
      <w:bodyDiv w:val="1"/>
      <w:marLeft w:val="0"/>
      <w:marRight w:val="0"/>
      <w:marTop w:val="0"/>
      <w:marBottom w:val="0"/>
      <w:divBdr>
        <w:top w:val="none" w:sz="0" w:space="0" w:color="auto"/>
        <w:left w:val="none" w:sz="0" w:space="0" w:color="auto"/>
        <w:bottom w:val="none" w:sz="0" w:space="0" w:color="auto"/>
        <w:right w:val="none" w:sz="0" w:space="0" w:color="auto"/>
      </w:divBdr>
    </w:div>
    <w:div w:id="1293749475">
      <w:bodyDiv w:val="1"/>
      <w:marLeft w:val="0"/>
      <w:marRight w:val="0"/>
      <w:marTop w:val="0"/>
      <w:marBottom w:val="0"/>
      <w:divBdr>
        <w:top w:val="none" w:sz="0" w:space="0" w:color="auto"/>
        <w:left w:val="none" w:sz="0" w:space="0" w:color="auto"/>
        <w:bottom w:val="none" w:sz="0" w:space="0" w:color="auto"/>
        <w:right w:val="none" w:sz="0" w:space="0" w:color="auto"/>
      </w:divBdr>
    </w:div>
    <w:div w:id="1312979450">
      <w:bodyDiv w:val="1"/>
      <w:marLeft w:val="0"/>
      <w:marRight w:val="0"/>
      <w:marTop w:val="0"/>
      <w:marBottom w:val="0"/>
      <w:divBdr>
        <w:top w:val="none" w:sz="0" w:space="0" w:color="auto"/>
        <w:left w:val="none" w:sz="0" w:space="0" w:color="auto"/>
        <w:bottom w:val="none" w:sz="0" w:space="0" w:color="auto"/>
        <w:right w:val="none" w:sz="0" w:space="0" w:color="auto"/>
      </w:divBdr>
    </w:div>
    <w:div w:id="1321537621">
      <w:bodyDiv w:val="1"/>
      <w:marLeft w:val="0"/>
      <w:marRight w:val="0"/>
      <w:marTop w:val="0"/>
      <w:marBottom w:val="0"/>
      <w:divBdr>
        <w:top w:val="none" w:sz="0" w:space="0" w:color="auto"/>
        <w:left w:val="none" w:sz="0" w:space="0" w:color="auto"/>
        <w:bottom w:val="none" w:sz="0" w:space="0" w:color="auto"/>
        <w:right w:val="none" w:sz="0" w:space="0" w:color="auto"/>
      </w:divBdr>
    </w:div>
    <w:div w:id="1399939248">
      <w:bodyDiv w:val="1"/>
      <w:marLeft w:val="0"/>
      <w:marRight w:val="0"/>
      <w:marTop w:val="0"/>
      <w:marBottom w:val="0"/>
      <w:divBdr>
        <w:top w:val="none" w:sz="0" w:space="0" w:color="auto"/>
        <w:left w:val="none" w:sz="0" w:space="0" w:color="auto"/>
        <w:bottom w:val="none" w:sz="0" w:space="0" w:color="auto"/>
        <w:right w:val="none" w:sz="0" w:space="0" w:color="auto"/>
      </w:divBdr>
    </w:div>
    <w:div w:id="1415083121">
      <w:bodyDiv w:val="1"/>
      <w:marLeft w:val="0"/>
      <w:marRight w:val="0"/>
      <w:marTop w:val="0"/>
      <w:marBottom w:val="0"/>
      <w:divBdr>
        <w:top w:val="none" w:sz="0" w:space="0" w:color="auto"/>
        <w:left w:val="none" w:sz="0" w:space="0" w:color="auto"/>
        <w:bottom w:val="none" w:sz="0" w:space="0" w:color="auto"/>
        <w:right w:val="none" w:sz="0" w:space="0" w:color="auto"/>
      </w:divBdr>
    </w:div>
    <w:div w:id="1434206605">
      <w:bodyDiv w:val="1"/>
      <w:marLeft w:val="0"/>
      <w:marRight w:val="0"/>
      <w:marTop w:val="0"/>
      <w:marBottom w:val="0"/>
      <w:divBdr>
        <w:top w:val="none" w:sz="0" w:space="0" w:color="auto"/>
        <w:left w:val="none" w:sz="0" w:space="0" w:color="auto"/>
        <w:bottom w:val="none" w:sz="0" w:space="0" w:color="auto"/>
        <w:right w:val="none" w:sz="0" w:space="0" w:color="auto"/>
      </w:divBdr>
    </w:div>
    <w:div w:id="1439714568">
      <w:bodyDiv w:val="1"/>
      <w:marLeft w:val="0"/>
      <w:marRight w:val="0"/>
      <w:marTop w:val="0"/>
      <w:marBottom w:val="0"/>
      <w:divBdr>
        <w:top w:val="none" w:sz="0" w:space="0" w:color="auto"/>
        <w:left w:val="none" w:sz="0" w:space="0" w:color="auto"/>
        <w:bottom w:val="none" w:sz="0" w:space="0" w:color="auto"/>
        <w:right w:val="none" w:sz="0" w:space="0" w:color="auto"/>
      </w:divBdr>
    </w:div>
    <w:div w:id="1457020567">
      <w:bodyDiv w:val="1"/>
      <w:marLeft w:val="0"/>
      <w:marRight w:val="0"/>
      <w:marTop w:val="0"/>
      <w:marBottom w:val="0"/>
      <w:divBdr>
        <w:top w:val="none" w:sz="0" w:space="0" w:color="auto"/>
        <w:left w:val="none" w:sz="0" w:space="0" w:color="auto"/>
        <w:bottom w:val="none" w:sz="0" w:space="0" w:color="auto"/>
        <w:right w:val="none" w:sz="0" w:space="0" w:color="auto"/>
      </w:divBdr>
    </w:div>
    <w:div w:id="1566456289">
      <w:bodyDiv w:val="1"/>
      <w:marLeft w:val="0"/>
      <w:marRight w:val="0"/>
      <w:marTop w:val="0"/>
      <w:marBottom w:val="0"/>
      <w:divBdr>
        <w:top w:val="none" w:sz="0" w:space="0" w:color="auto"/>
        <w:left w:val="none" w:sz="0" w:space="0" w:color="auto"/>
        <w:bottom w:val="none" w:sz="0" w:space="0" w:color="auto"/>
        <w:right w:val="none" w:sz="0" w:space="0" w:color="auto"/>
      </w:divBdr>
    </w:div>
    <w:div w:id="1577132356">
      <w:bodyDiv w:val="1"/>
      <w:marLeft w:val="0"/>
      <w:marRight w:val="0"/>
      <w:marTop w:val="0"/>
      <w:marBottom w:val="0"/>
      <w:divBdr>
        <w:top w:val="none" w:sz="0" w:space="0" w:color="auto"/>
        <w:left w:val="none" w:sz="0" w:space="0" w:color="auto"/>
        <w:bottom w:val="none" w:sz="0" w:space="0" w:color="auto"/>
        <w:right w:val="none" w:sz="0" w:space="0" w:color="auto"/>
      </w:divBdr>
    </w:div>
    <w:div w:id="1600942945">
      <w:bodyDiv w:val="1"/>
      <w:marLeft w:val="0"/>
      <w:marRight w:val="0"/>
      <w:marTop w:val="0"/>
      <w:marBottom w:val="0"/>
      <w:divBdr>
        <w:top w:val="none" w:sz="0" w:space="0" w:color="auto"/>
        <w:left w:val="none" w:sz="0" w:space="0" w:color="auto"/>
        <w:bottom w:val="none" w:sz="0" w:space="0" w:color="auto"/>
        <w:right w:val="none" w:sz="0" w:space="0" w:color="auto"/>
      </w:divBdr>
    </w:div>
    <w:div w:id="1648388738">
      <w:bodyDiv w:val="1"/>
      <w:marLeft w:val="0"/>
      <w:marRight w:val="0"/>
      <w:marTop w:val="0"/>
      <w:marBottom w:val="0"/>
      <w:divBdr>
        <w:top w:val="none" w:sz="0" w:space="0" w:color="auto"/>
        <w:left w:val="none" w:sz="0" w:space="0" w:color="auto"/>
        <w:bottom w:val="none" w:sz="0" w:space="0" w:color="auto"/>
        <w:right w:val="none" w:sz="0" w:space="0" w:color="auto"/>
      </w:divBdr>
    </w:div>
    <w:div w:id="1660619344">
      <w:bodyDiv w:val="1"/>
      <w:marLeft w:val="0"/>
      <w:marRight w:val="0"/>
      <w:marTop w:val="0"/>
      <w:marBottom w:val="0"/>
      <w:divBdr>
        <w:top w:val="none" w:sz="0" w:space="0" w:color="auto"/>
        <w:left w:val="none" w:sz="0" w:space="0" w:color="auto"/>
        <w:bottom w:val="none" w:sz="0" w:space="0" w:color="auto"/>
        <w:right w:val="none" w:sz="0" w:space="0" w:color="auto"/>
      </w:divBdr>
    </w:div>
    <w:div w:id="1677492198">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 w:id="1822967057">
      <w:bodyDiv w:val="1"/>
      <w:marLeft w:val="0"/>
      <w:marRight w:val="0"/>
      <w:marTop w:val="0"/>
      <w:marBottom w:val="0"/>
      <w:divBdr>
        <w:top w:val="none" w:sz="0" w:space="0" w:color="auto"/>
        <w:left w:val="none" w:sz="0" w:space="0" w:color="auto"/>
        <w:bottom w:val="none" w:sz="0" w:space="0" w:color="auto"/>
        <w:right w:val="none" w:sz="0" w:space="0" w:color="auto"/>
      </w:divBdr>
    </w:div>
    <w:div w:id="1910920029">
      <w:bodyDiv w:val="1"/>
      <w:marLeft w:val="0"/>
      <w:marRight w:val="0"/>
      <w:marTop w:val="0"/>
      <w:marBottom w:val="0"/>
      <w:divBdr>
        <w:top w:val="none" w:sz="0" w:space="0" w:color="auto"/>
        <w:left w:val="none" w:sz="0" w:space="0" w:color="auto"/>
        <w:bottom w:val="none" w:sz="0" w:space="0" w:color="auto"/>
        <w:right w:val="none" w:sz="0" w:space="0" w:color="auto"/>
      </w:divBdr>
    </w:div>
    <w:div w:id="1968200157">
      <w:bodyDiv w:val="1"/>
      <w:marLeft w:val="0"/>
      <w:marRight w:val="0"/>
      <w:marTop w:val="0"/>
      <w:marBottom w:val="0"/>
      <w:divBdr>
        <w:top w:val="none" w:sz="0" w:space="0" w:color="auto"/>
        <w:left w:val="none" w:sz="0" w:space="0" w:color="auto"/>
        <w:bottom w:val="none" w:sz="0" w:space="0" w:color="auto"/>
        <w:right w:val="none" w:sz="0" w:space="0" w:color="auto"/>
      </w:divBdr>
    </w:div>
    <w:div w:id="1968968985">
      <w:bodyDiv w:val="1"/>
      <w:marLeft w:val="0"/>
      <w:marRight w:val="0"/>
      <w:marTop w:val="0"/>
      <w:marBottom w:val="0"/>
      <w:divBdr>
        <w:top w:val="none" w:sz="0" w:space="0" w:color="auto"/>
        <w:left w:val="none" w:sz="0" w:space="0" w:color="auto"/>
        <w:bottom w:val="none" w:sz="0" w:space="0" w:color="auto"/>
        <w:right w:val="none" w:sz="0" w:space="0" w:color="auto"/>
      </w:divBdr>
    </w:div>
    <w:div w:id="2006863110">
      <w:bodyDiv w:val="1"/>
      <w:marLeft w:val="0"/>
      <w:marRight w:val="0"/>
      <w:marTop w:val="0"/>
      <w:marBottom w:val="0"/>
      <w:divBdr>
        <w:top w:val="none" w:sz="0" w:space="0" w:color="auto"/>
        <w:left w:val="none" w:sz="0" w:space="0" w:color="auto"/>
        <w:bottom w:val="none" w:sz="0" w:space="0" w:color="auto"/>
        <w:right w:val="none" w:sz="0" w:space="0" w:color="auto"/>
      </w:divBdr>
    </w:div>
    <w:div w:id="2058629422">
      <w:bodyDiv w:val="1"/>
      <w:marLeft w:val="0"/>
      <w:marRight w:val="0"/>
      <w:marTop w:val="0"/>
      <w:marBottom w:val="0"/>
      <w:divBdr>
        <w:top w:val="none" w:sz="0" w:space="0" w:color="auto"/>
        <w:left w:val="none" w:sz="0" w:space="0" w:color="auto"/>
        <w:bottom w:val="none" w:sz="0" w:space="0" w:color="auto"/>
        <w:right w:val="none" w:sz="0" w:space="0" w:color="auto"/>
      </w:divBdr>
    </w:div>
    <w:div w:id="2075544386">
      <w:bodyDiv w:val="1"/>
      <w:marLeft w:val="0"/>
      <w:marRight w:val="0"/>
      <w:marTop w:val="0"/>
      <w:marBottom w:val="0"/>
      <w:divBdr>
        <w:top w:val="none" w:sz="0" w:space="0" w:color="auto"/>
        <w:left w:val="none" w:sz="0" w:space="0" w:color="auto"/>
        <w:bottom w:val="none" w:sz="0" w:space="0" w:color="auto"/>
        <w:right w:val="none" w:sz="0" w:space="0" w:color="auto"/>
      </w:divBdr>
    </w:div>
    <w:div w:id="21377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image" Target="media/image8.png"/></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C1D38-F6B4-4064-A354-A3068A8DDC5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D202E49FCCF4B813D7CC716761A92" ma:contentTypeVersion="10" ma:contentTypeDescription="Create a new document." ma:contentTypeScope="" ma:versionID="89e9286be55be7cd9b3a55cef4610f04">
  <xsd:schema xmlns:xsd="http://www.w3.org/2001/XMLSchema" xmlns:xs="http://www.w3.org/2001/XMLSchema" xmlns:p="http://schemas.microsoft.com/office/2006/metadata/properties" xmlns:ns1="http://schemas.microsoft.com/sharepoint/v3" xmlns:ns2="6f00ec74-ddba-4a9f-aa29-f5f4dccaf33a" targetNamespace="http://schemas.microsoft.com/office/2006/metadata/properties" ma:root="true" ma:fieldsID="df772f370df2b25a70969e6e74038044" ns1:_="" ns2:_="">
    <xsd:import namespace="http://schemas.microsoft.com/sharepoint/v3"/>
    <xsd:import namespace="6f00ec74-ddba-4a9f-aa29-f5f4dccaf33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Location"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0ec74-ddba-4a9f-aa29-f5f4dcca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CEO18</b:Tag>
    <b:SourceType>Report</b:SourceType>
    <b:Guid>{1E6EB610-DBCC-4394-B342-DDD4029D685C}</b:Guid>
    <b:Title>Focus Area on Surface Radiation/Albedo Product Validation</b:Title>
    <b:Year>2018</b:Year>
    <b:Author>
      <b:Author>
        <b:NameList>
          <b:Person>
            <b:Last>CEOS</b:Last>
          </b:Person>
        </b:NameList>
      </b:Author>
    </b:Author>
    <b:RefOrder>6</b:RefOrder>
  </b:Source>
  <b:Source>
    <b:Tag>alA15</b:Tag>
    <b:SourceType>Report</b:SourceType>
    <b:Guid>{5E68E297-E702-46BD-86D6-7447DB456F45}</b:Guid>
    <b:Author>
      <b:Author>
        <b:NameList>
          <b:Person>
            <b:Last>Barker</b:Last>
            <b:First>Alexandra</b:First>
          </b:Person>
        </b:NameList>
      </b:Author>
    </b:Author>
    <b:Title>Quality Assurance for FOREST data products: Recommendations for Future Improvements</b:Title>
    <b:Year>2015</b:Year>
    <b:Publisher>NPL Report ENV 5</b:Publisher>
    <b:City>London</b:City>
    <b:Pages>10</b:Pages>
    <b:ThesisType>NPL Report ENV 5</b:ThesisType>
    <b:RefOrder>1</b:RefOrder>
  </b:Source>
  <b:Source>
    <b:Tag>Mal19</b:Tag>
    <b:SourceType>Book</b:SourceType>
    <b:Guid>{8A455FCF-DB2E-42E7-B6C0-A7F3590DCCE3}</b:Guid>
    <b:Title>A community approach to the standardised validation of surface reflectance data</b:Title>
    <b:Year>January 2019</b:Year>
    <b:Publisher>CSIRO Centre for Earth Observation</b:Publisher>
    <b:Author>
      <b:Author>
        <b:NameList>
          <b:Person>
            <b:Last>Malthus</b:Last>
            <b:First>Tim</b:First>
          </b:Person>
        </b:NameList>
      </b:Author>
    </b:Author>
    <b:RefOrder>7</b:RefOrder>
  </b:Source>
  <b:Source>
    <b:Tag>Ori20</b:Tag>
    <b:SourceType>Report</b:SourceType>
    <b:Guid>{61C0BECC-95B7-4578-8B0F-96FEAF97DBAB}</b:Guid>
    <b:Title>Fiducial Reference Measurements for validation of Sentinel-2 and Proba-V surface reflectance products</b:Title>
    <b:Year>2020</b:Year>
    <b:Publisher>Remote Sensing of Environment</b:Publisher>
    <b:Author>
      <b:Author>
        <b:NameList>
          <b:Person>
            <b:Last>Origo</b:Last>
            <b:First>Niall</b:First>
          </b:Person>
        </b:NameList>
      </b:Author>
    </b:Author>
    <b:Institution>NPL</b:Institution>
    <b:RefOrder>8</b:RefOrder>
  </b:Source>
  <b:Source>
    <b:Tag>JAC03</b:Tag>
    <b:SourceType>Report</b:SourceType>
    <b:Guid>{3FC0C921-CF0B-4881-A5CA-AFA76A6B9F3D}</b:Guid>
    <b:Author>
      <b:Author>
        <b:NameList>
          <b:Person>
            <b:Last>J.A.Coajkey</b:Last>
          </b:Person>
        </b:NameList>
      </b:Author>
    </b:Author>
    <b:Title>Reflectance and Albedo,Surface</b:Title>
    <b:Year>2003</b:Year>
    <b:Publisher>Elsevier Science</b:Publisher>
    <b:RefOrder>9</b:RefOrder>
  </b:Source>
  <b:Source>
    <b:Tag>JRS04</b:Tag>
    <b:SourceType>Book</b:SourceType>
    <b:Guid>{886AF6C8-E89A-4FDD-A8A0-3E9C59F98317}</b:Guid>
    <b:Title>Bidirectional Reflectance: an overview with remote sensing applications &amp; measurement recommendations</b:Title>
    <b:Year>2004</b:Year>
    <b:Author>
      <b:Author>
        <b:NameList>
          <b:Person>
            <b:Last>J.R.Shell</b:Last>
          </b:Person>
        </b:NameList>
      </b:Author>
    </b:Author>
    <b:RefOrder>10</b:RefOrder>
  </b:Source>
  <b:Source>
    <b:Tag>MBo19</b:Tag>
    <b:SourceType>Report</b:SourceType>
    <b:Guid>{82517A6B-6B12-4BD6-A3F9-9DD6A44CDD7A}</b:Guid>
    <b:Title>RadCalNet: A Radiometric calibration network for earth observing imagers operating in the visible to shortwave infrared spectral range</b:Title>
    <b:Year>2019</b:Year>
    <b:Publisher>Remote Sensing</b:Publisher>
    <b:Author>
      <b:Author>
        <b:NameList>
          <b:Person>
            <b:Last>Bouvet</b:Last>
            <b:First>M.</b:First>
          </b:Person>
        </b:NameList>
      </b:Author>
    </b:Author>
    <b:RefOrder>11</b:RefOrder>
  </b:Source>
  <b:Source>
    <b:Tag>Mai17</b:Tag>
    <b:SourceType>ConferenceProceedings</b:SourceType>
    <b:Guid>{EEC0D6AF-7F25-4B1E-9066-417F98B8F1B5}</b:Guid>
    <b:Title>Sen2Cor for Sentinel-2</b:Title>
    <b:Year>2017</b:Year>
    <b:Author>
      <b:Author>
        <b:NameList>
          <b:Person>
            <b:Last>Main-Knorn</b:Last>
            <b:First>Magdalena</b:First>
          </b:Person>
        </b:NameList>
      </b:Author>
    </b:Author>
    <b:ConferenceName>Image and Signal Processing for Remote Sensing</b:ConferenceName>
    <b:RefOrder>2</b:RefOrder>
  </b:Source>
  <b:Source>
    <b:Tag>ACP15</b:Tag>
    <b:SourceType>Report</b:SourceType>
    <b:Guid>{4FA342EC-312B-4E4E-9140-3C14C72B895C}</b:Guid>
    <b:Title>Known and unknown unknowns: uncertainty estimation in satellite remote sensing</b:Title>
    <b:Year>2015</b:Year>
    <b:Publisher>Atmospheric measurement techniques</b:Publisher>
    <b:Author>
      <b:Author>
        <b:NameList>
          <b:Person>
            <b:Last>Grainger</b:Last>
            <b:First>A.C.Povey</b:First>
            <b:Middle>and R.G.</b:Middle>
          </b:Person>
        </b:NameList>
      </b:Author>
    </b:Author>
    <b:RefOrder>12</b:RefOrder>
  </b:Source>
  <b:Source>
    <b:Tag>Wid15</b:Tag>
    <b:SourceType>JournalArticle</b:SourceType>
    <b:Guid>{9991F854-01FF-4450-B418-1B5EC680BBCF}</b:Guid>
    <b:Author>
      <b:Author>
        <b:NameList>
          <b:Person>
            <b:Last>Widlowski</b:Last>
            <b:First>Jean-Luc</b:First>
          </b:Person>
        </b:NameList>
      </b:Author>
    </b:Author>
    <b:Title>Conformity testing of satellite-derived quantitative surface variables</b:Title>
    <b:Year>2015</b:Year>
    <b:Publisher>Environmental Science &amp; Policy</b:Publisher>
    <b:JournalName>Environmental Science &amp; policy</b:JournalName>
    <b:RefOrder>13</b:RefOrder>
  </b:Source>
  <b:Source>
    <b:Tag>Mar15</b:Tag>
    <b:SourceType>BookSection</b:SourceType>
    <b:Guid>{CCE037ED-1115-4EDD-8E45-C4BA5445A7C7}</b:Guid>
    <b:Title>Review of validation standards of biophysical Earth Observation products</b:Title>
    <b:Year>2015</b:Year>
    <b:Pages>8-32</b:Pages>
    <b:Author>
      <b:Author>
        <b:NameList>
          <b:Person>
            <b:Last>Soto-Berelov</b:Last>
            <b:First>Mariela</b:First>
          </b:Person>
        </b:NameList>
      </b:Author>
      <b:BookAuthor>
        <b:NameList>
          <b:Person>
            <b:Last>Alex Held</b:Last>
            <b:First>Stuart</b:First>
            <b:Middle>Phinn, Mariela Soto-Berelov, Simon Jones</b:Middle>
          </b:Person>
        </b:NameList>
      </b:BookAuthor>
    </b:Author>
    <b:BookTitle>usCover Good Practice Guidelines:  A  technical  handbook  supporting  calibration  and  validation  activities  of  remotely  sensed  data  product </b:BookTitle>
    <b:Publisher>TERN AusCover</b:Publisher>
    <b:RefOrder>14</b:RefOrder>
  </b:Source>
  <b:Source>
    <b:Tag>JCG08</b:Tag>
    <b:SourceType>BookSection</b:SourceType>
    <b:Guid>{DA47A0CB-1275-4E95-BAC0-E79C0D0ABB07}</b:Guid>
    <b:Author>
      <b:Author>
        <b:NameList>
          <b:Person>
            <b:Last>JCGM/WG1</b:Last>
          </b:Person>
        </b:NameList>
      </b:Author>
    </b:Author>
    <b:BookTitle>Evaluation of measurement data - Guide to the expression of uncertainty in measurement</b:BookTitle>
    <b:Year>2008</b:Year>
    <b:RefOrder>15</b:RefOrder>
  </b:Source>
  <b:Source>
    <b:Tag>JMe19</b:Tag>
    <b:SourceType>ArticleInAPeriodical</b:SourceType>
    <b:Guid>{856C81CB-688C-4C48-BF36-A554933181A1}</b:Guid>
    <b:Title>Radiance Uncertainty Characterisation to Facilitate Climate Data Record Creation</b:Title>
    <b:Year>2019</b:Year>
    <b:Author>
      <b:Author>
        <b:NameList>
          <b:Person>
            <b:Last>J.Merchant</b:Last>
            <b:First>Christopher</b:First>
          </b:Person>
        </b:NameList>
      </b:Author>
    </b:Author>
    <b:PeriodicalTitle>Remote Sensing </b:PeriodicalTitle>
    <b:Month>February</b:Month>
    <b:RefOrder>16</b:RefOrder>
  </b:Source>
  <b:Source>
    <b:Tag>Chr15</b:Tag>
    <b:SourceType>BookSection</b:SourceType>
    <b:Guid>{24E45DC1-6DBC-45DD-A7CF-AED2A162B109}</b:Guid>
    <b:Title>Hemispherical-Directional Reflectance (HDRF) of Windblown Snow-Covered Arctic Tundra at Large Solar Zenith Angles</b:Title>
    <b:Year>2015</b:Year>
    <b:Author>
      <b:Author>
        <b:NameList>
          <b:Person>
            <b:Last>P.Ball</b:Last>
            <b:First>Christopher</b:First>
          </b:Person>
        </b:NameList>
      </b:Author>
    </b:Author>
    <b:BookTitle>IEEE Transactions on Geoscience and Remote Sensing (TGRS)</b:BookTitle>
    <b:RefOrder>17</b:RefOrder>
  </b:Source>
  <b:Source>
    <b:Tag>Dav99</b:Tag>
    <b:SourceType>Book</b:SourceType>
    <b:Guid>{CD3623BE-6303-44A8-B99F-E1A676431A6B}</b:Guid>
    <b:Title>Analytical Spectral Devices, Inc. (ASD), Technical Guide</b:Title>
    <b:Year>1999</b:Year>
    <b:Author>
      <b:Author>
        <b:NameList>
          <b:Person>
            <b:Last>Hatchell</b:Last>
            <b:First>David</b:First>
            <b:Middle>C.</b:Middle>
          </b:Person>
        </b:NameList>
      </b:Author>
    </b:Author>
    <b:RefOrder>3</b:RefOrder>
  </b:Source>
  <b:Source>
    <b:Tag>ETh10</b:Tag>
    <b:SourceType>Report</b:SourceType>
    <b:Guid>{E75AFF73-B00E-42D0-B4D6-420CFE6F6FC2}</b:Guid>
    <b:Title>CEOS comparison of IR brightness temperature measurements in support of satellite validation.  Part II: Laboratory comparison of the brightness temperature of blackbodies.</b:Title>
    <b:Year>2010</b:Year>
    <b:Publisher>NPL</b:Publisher>
    <b:Author>
      <b:Author>
        <b:NameList>
          <b:Person>
            <b:Last>Theocharous</b:Last>
            <b:First>E.</b:First>
          </b:Person>
        </b:NameList>
      </b:Author>
    </b:Author>
    <b:RefOrder>18</b:RefOrder>
  </b:Source>
  <b:Source>
    <b:Tag>ESA</b:Tag>
    <b:SourceType>InternetSite</b:SourceType>
    <b:Guid>{C3F2C252-C154-4E8A-B6DB-47F9DBA31A4A}</b:Guid>
    <b:Author>
      <b:Author>
        <b:NameList>
          <b:Person>
            <b:Last>ESA</b:Last>
          </b:Person>
        </b:NameList>
      </b:Author>
    </b:Author>
    <b:InternetSiteTitle>Fiducial Reference Measurements: FRM</b:InternetSiteTitle>
    <b:RefOrder>19</b:RefOrder>
  </b:Source>
  <b:Source>
    <b:Tag>ESA1</b:Tag>
    <b:SourceType>InternetSite</b:SourceType>
    <b:Guid>{C18B848D-EC79-4156-AB49-6AB959EB92BA}</b:Guid>
    <b:Author>
      <b:Author>
        <b:NameList>
          <b:Person>
            <b:Last>ESA</b:Last>
          </b:Person>
        </b:NameList>
      </b:Author>
    </b:Author>
    <b:Title>Fiducial Reference Measurements for Vegetation, FRM</b:Title>
    <b:InternetSiteTitle>Fiducial Reference Measurements for Vegetation, FRM</b:InternetSiteTitle>
    <b:Year>2019</b:Year>
    <b:RefOrder>20</b:RefOrder>
  </b:Source>
  <b:Source>
    <b:Tag>ESA20</b:Tag>
    <b:SourceType>Report</b:SourceType>
    <b:Guid>{0E270B54-232E-44A4-A10E-6795ECF5F85C}</b:Guid>
    <b:Title>Campaign Implementation Plan (CIP), Fiducial Reference Measurement for Vegetation</b:Title>
    <b:Year>2020</b:Year>
    <b:Author>
      <b:Author>
        <b:NameList>
          <b:Person>
            <b:Last>ESA</b:Last>
          </b:Person>
        </b:NameList>
      </b:Author>
    </b:Author>
    <b:RefOrder>21</b:RefOrder>
  </b:Source>
  <b:Source>
    <b:Tag>Joa</b:Tag>
    <b:SourceType>Report</b:SourceType>
    <b:Guid>{EB307561-8CFB-44CF-9F97-2DF78FB1E1FA}</b:Guid>
    <b:Author>
      <b:Author>
        <b:NameList>
          <b:Person>
            <b:Last>Nightingale</b:Last>
            <b:First>Joanne</b:First>
          </b:Person>
        </b:NameList>
      </b:Author>
    </b:Author>
    <b:Title>Quality Assurance Framework Development Based On Six New ECV Data Products To Enhance User Confidence for Climate Applications</b:Title>
    <b:Publisher>Remote Sensing</b:Publisher>
    <b:Year>2018</b:Year>
    <b:RefOrder>22</b:RefOrder>
  </b:Source>
  <b:Source>
    <b:Tag>Jor19</b:Tag>
    <b:SourceType>Report</b:SourceType>
    <b:Guid>{DFC256FE-10CD-4A23-9A87-379C6FE6C14E}</b:Guid>
    <b:Author>
      <b:Author>
        <b:NameList>
          <b:Person>
            <b:Last>Vicent</b:Last>
            <b:First>Jorge</b:First>
          </b:Person>
        </b:NameList>
      </b:Author>
    </b:Author>
    <b:Title>Comparative analysis of atmospheric radiative transfer models using the Atmospheric Look-up table Generator (ALG) toolbox (version 2.0)</b:Title>
    <b:Year>2019</b:Year>
    <b:Publisher>Geoscientific Model Development</b:Publisher>
    <b:RefOrder>4</b:RefOrder>
  </b:Source>
  <b:Source>
    <b:Tag>Pin17</b:Tag>
    <b:SourceType>ConferenceProceedings</b:SourceType>
    <b:Guid>{2FD969EE-BA47-4CDA-AFD0-5A34BC8C8377}</b:Guid>
    <b:Author>
      <b:Author>
        <b:NameList>
          <b:Person>
            <b:Last>Pinto</b:Last>
            <b:First>Cibele</b:First>
            <b:Middle>Teixeira</b:Middle>
          </b:Person>
        </b:NameList>
      </b:Author>
    </b:Author>
    <b:Title>Uncertainty Evaluation of the TOA Radiance Predicted by MODTRAN-5</b:Title>
    <b:Year>2017</b:Year>
    <b:ConferenceName>Anais do XVIII Simposio Brasileiro de Sensoriamento Remoto - SBSR</b:ConferenceName>
    <b:RefOrder>5</b:RefOrder>
  </b:Source>
</b:Sources>
</file>

<file path=customXml/itemProps1.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2.xml><?xml version="1.0" encoding="utf-8"?>
<ds:datastoreItem xmlns:ds="http://schemas.openxmlformats.org/officeDocument/2006/customXml" ds:itemID="{D7F724F0-CCA8-40C7-BDA2-5152A2BE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0ec74-ddba-4a9f-aa29-f5f4dcca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45EED-5CC8-4683-86C7-F07D1E437B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3EAF5A-3B2C-46E5-BB54-74382342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36</Pages>
  <Words>56681</Words>
  <Characters>323086</Characters>
  <Application>Microsoft Office Word</Application>
  <DocSecurity>0</DocSecurity>
  <Lines>2692</Lines>
  <Paragraphs>758</Paragraphs>
  <ScaleCrop>false</ScaleCrop>
  <HeadingPairs>
    <vt:vector size="2" baseType="variant">
      <vt:variant>
        <vt:lpstr>Title</vt:lpstr>
      </vt:variant>
      <vt:variant>
        <vt:i4>1</vt:i4>
      </vt:variant>
    </vt:vector>
  </HeadingPairs>
  <TitlesOfParts>
    <vt:vector size="1" baseType="lpstr">
      <vt:lpstr>Validation Methodology (VM)</vt:lpstr>
    </vt:vector>
  </TitlesOfParts>
  <Company/>
  <LinksUpToDate>false</LinksUpToDate>
  <CharactersWithSpaces>379009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Methodology (VM)</dc:title>
  <dc:subject/>
  <dc:creator>Luke Brown</dc:creator>
  <cp:keywords/>
  <dc:description/>
  <cp:lastModifiedBy>Luke</cp:lastModifiedBy>
  <cp:revision>28</cp:revision>
  <cp:lastPrinted>2020-06-17T17:22:00Z</cp:lastPrinted>
  <dcterms:created xsi:type="dcterms:W3CDTF">2020-05-29T17:51:00Z</dcterms:created>
  <dcterms:modified xsi:type="dcterms:W3CDTF">2020-07-01T16:14:00Z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17th edition (author-date)</vt:lpwstr>
  </property>
  <property fmtid="{D5CDD505-2E9C-101B-9397-08002B2CF9AE}" pid="8" name="Mendeley Recent Style Id 2_1">
    <vt:lpwstr>http://www.zotero.org/styles/harvard1</vt:lpwstr>
  </property>
  <property fmtid="{D5CDD505-2E9C-101B-9397-08002B2CF9AE}" pid="9" name="Mendeley Recent Style Name 2_1">
    <vt:lpwstr>Harvard reference format 1 (deprecated)</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http://www.zotero.org/styles/international-journal-of-remote-sensing</vt:lpwstr>
  </property>
  <property fmtid="{D5CDD505-2E9C-101B-9397-08002B2CF9AE}" pid="13" name="Mendeley Recent Style Name 4_1">
    <vt:lpwstr>International Journal of Remote Sensing</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http://www.zotero.org/styles/remote-sensing</vt:lpwstr>
  </property>
  <property fmtid="{D5CDD505-2E9C-101B-9397-08002B2CF9AE}" pid="21" name="Mendeley Recent Style Name 8_1">
    <vt:lpwstr>Remote Sensing</vt:lpwstr>
  </property>
  <property fmtid="{D5CDD505-2E9C-101B-9397-08002B2CF9AE}" pid="22" name="Mendeley Recent Style Id 9_1">
    <vt:lpwstr>http://www.zotero.org/styles/remote-sensing-of-environment</vt:lpwstr>
  </property>
  <property fmtid="{D5CDD505-2E9C-101B-9397-08002B2CF9AE}" pid="23" name="Mendeley Recent Style Name 9_1">
    <vt:lpwstr>Remote Sensing of Environment</vt:lpwstr>
  </property>
  <property fmtid="{D5CDD505-2E9C-101B-9397-08002B2CF9AE}" pid="24" name="Mendeley Document_1">
    <vt:lpwstr>True</vt:lpwstr>
  </property>
  <property fmtid="{D5CDD505-2E9C-101B-9397-08002B2CF9AE}" pid="25" name="Mendeley Unique User Id_1">
    <vt:lpwstr>1e82b55a-7a0a-364c-97c1-2b558126b23e</vt:lpwstr>
  </property>
  <property fmtid="{D5CDD505-2E9C-101B-9397-08002B2CF9AE}" pid="26" name="Mendeley Citation Style_1">
    <vt:lpwstr>http://www.zotero.org/styles/ieee</vt:lpwstr>
  </property>
  <property fmtid="{D5CDD505-2E9C-101B-9397-08002B2CF9AE}" pid="27" name="ContentTypeId">
    <vt:lpwstr>0x0101006FDD202E49FCCF4B813D7CC716761A92</vt:lpwstr>
  </property>
  <property fmtid="{D5CDD505-2E9C-101B-9397-08002B2CF9AE}" pid="28" name="MSIP_Label_9df4b5af-ab42-45d5-91e7-45583bed1b2a_Enabled">
    <vt:lpwstr>true</vt:lpwstr>
  </property>
  <property fmtid="{D5CDD505-2E9C-101B-9397-08002B2CF9AE}" pid="29" name="MSIP_Label_9df4b5af-ab42-45d5-91e7-45583bed1b2a_SetDate">
    <vt:lpwstr>2020-06-24T14:35:36Z</vt:lpwstr>
  </property>
  <property fmtid="{D5CDD505-2E9C-101B-9397-08002B2CF9AE}" pid="30" name="MSIP_Label_9df4b5af-ab42-45d5-91e7-45583bed1b2a_Method">
    <vt:lpwstr>Standard</vt:lpwstr>
  </property>
  <property fmtid="{D5CDD505-2E9C-101B-9397-08002B2CF9AE}" pid="31" name="MSIP_Label_9df4b5af-ab42-45d5-91e7-45583bed1b2a_Name">
    <vt:lpwstr>9df4b5af-ab42-45d5-91e7-45583bed1b2a</vt:lpwstr>
  </property>
  <property fmtid="{D5CDD505-2E9C-101B-9397-08002B2CF9AE}" pid="32" name="MSIP_Label_9df4b5af-ab42-45d5-91e7-45583bed1b2a_SiteId">
    <vt:lpwstr>601e5460-b1bf-49c0-bd2d-e76ffc186a8d</vt:lpwstr>
  </property>
  <property fmtid="{D5CDD505-2E9C-101B-9397-08002B2CF9AE}" pid="33" name="MSIP_Label_9df4b5af-ab42-45d5-91e7-45583bed1b2a_ActionId">
    <vt:lpwstr>64ebf7d2-a054-4b25-b396-63be2308ccf7</vt:lpwstr>
  </property>
  <property fmtid="{D5CDD505-2E9C-101B-9397-08002B2CF9AE}" pid="34" name="MSIP_Label_9df4b5af-ab42-45d5-91e7-45583bed1b2a_ContentBits">
    <vt:lpwstr>0</vt:lpwstr>
  </property>
</Properties>
</file>