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94B0A" w14:textId="4A5FA6DF" w:rsidR="00C50D6E" w:rsidRDefault="00C50D6E"/>
    <w:p w14:paraId="5291A415" w14:textId="77777777" w:rsidR="00C50D6E" w:rsidRDefault="00C50D6E"/>
    <w:tbl>
      <w:tblPr>
        <w:tblStyle w:val="TableGrid"/>
        <w:tblW w:w="1019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177"/>
      </w:tblGrid>
      <w:tr w:rsidR="0059409D" w:rsidRPr="0041691B" w14:paraId="76C3CF25" w14:textId="77777777" w:rsidTr="005E32FC">
        <w:trPr>
          <w:trHeight w:val="8222"/>
        </w:trPr>
        <w:tc>
          <w:tcPr>
            <w:tcW w:w="5018" w:type="dxa"/>
            <w:tcBorders>
              <w:right w:val="single" w:sz="12" w:space="0" w:color="005596" w:themeColor="text2"/>
            </w:tcBorders>
            <w:vAlign w:val="center"/>
          </w:tcPr>
          <w:p w14:paraId="3EEF4AE0" w14:textId="6084B1D8" w:rsidR="0059409D" w:rsidRPr="0041691B" w:rsidRDefault="00FA19D9" w:rsidP="00FA19D9">
            <w:pPr>
              <w:ind w:right="1021"/>
              <w:jc w:val="right"/>
            </w:pPr>
            <w:r>
              <w:rPr>
                <w:noProof/>
                <w:lang w:eastAsia="en-GB"/>
              </w:rPr>
              <w:drawing>
                <wp:anchor distT="0" distB="0" distL="114300" distR="114300" simplePos="0" relativeHeight="251658240" behindDoc="0" locked="0" layoutInCell="1" allowOverlap="1" wp14:anchorId="300DE6B8" wp14:editId="1065E4F9">
                  <wp:simplePos x="0" y="0"/>
                  <wp:positionH relativeFrom="column">
                    <wp:posOffset>492125</wp:posOffset>
                  </wp:positionH>
                  <wp:positionV relativeFrom="page">
                    <wp:posOffset>104775</wp:posOffset>
                  </wp:positionV>
                  <wp:extent cx="2176780" cy="923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m4ve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6780" cy="92392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1" behindDoc="1" locked="0" layoutInCell="1" allowOverlap="1" wp14:anchorId="216EDCFA" wp14:editId="3520323F">
                  <wp:simplePos x="0" y="0"/>
                  <wp:positionH relativeFrom="column">
                    <wp:posOffset>-83820</wp:posOffset>
                  </wp:positionH>
                  <wp:positionV relativeFrom="page">
                    <wp:posOffset>5337810</wp:posOffset>
                  </wp:positionV>
                  <wp:extent cx="1760855" cy="389255"/>
                  <wp:effectExtent l="0" t="0" r="0" b="0"/>
                  <wp:wrapTight wrapText="bothSides">
                    <wp:wrapPolygon edited="0">
                      <wp:start x="7945" y="0"/>
                      <wp:lineTo x="0" y="2114"/>
                      <wp:lineTo x="0" y="16914"/>
                      <wp:lineTo x="234" y="17971"/>
                      <wp:lineTo x="13787" y="20085"/>
                      <wp:lineTo x="15189" y="20085"/>
                      <wp:lineTo x="21265" y="16914"/>
                      <wp:lineTo x="21265" y="7400"/>
                      <wp:lineTo x="19396" y="0"/>
                      <wp:lineTo x="794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ampton_uni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389255"/>
                          </a:xfrm>
                          <a:prstGeom prst="rect">
                            <a:avLst/>
                          </a:prstGeom>
                        </pic:spPr>
                      </pic:pic>
                    </a:graphicData>
                  </a:graphic>
                  <wp14:sizeRelH relativeFrom="margin">
                    <wp14:pctWidth>0</wp14:pctWidth>
                  </wp14:sizeRelH>
                  <wp14:sizeRelV relativeFrom="margin">
                    <wp14:pctHeight>0</wp14:pctHeight>
                  </wp14:sizeRelV>
                </wp:anchor>
              </w:drawing>
            </w:r>
            <w:r w:rsidR="009F1DDB">
              <w:rPr>
                <w:noProof/>
                <w:lang w:eastAsia="en-GB"/>
              </w:rPr>
              <w:drawing>
                <wp:anchor distT="0" distB="0" distL="114300" distR="114300" simplePos="0" relativeHeight="251658243" behindDoc="1" locked="0" layoutInCell="1" allowOverlap="1" wp14:anchorId="2F34630B" wp14:editId="5DA7836F">
                  <wp:simplePos x="0" y="0"/>
                  <wp:positionH relativeFrom="column">
                    <wp:posOffset>1890395</wp:posOffset>
                  </wp:positionH>
                  <wp:positionV relativeFrom="page">
                    <wp:posOffset>5116195</wp:posOffset>
                  </wp:positionV>
                  <wp:extent cx="1066800" cy="654685"/>
                  <wp:effectExtent l="0" t="0" r="0" b="0"/>
                  <wp:wrapTight wrapText="bothSides">
                    <wp:wrapPolygon edited="0">
                      <wp:start x="0" y="0"/>
                      <wp:lineTo x="0" y="20741"/>
                      <wp:lineTo x="21214" y="20741"/>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lablogo.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654685"/>
                          </a:xfrm>
                          <a:prstGeom prst="rect">
                            <a:avLst/>
                          </a:prstGeom>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vAlign w:val="center"/>
          </w:tcPr>
          <w:p w14:paraId="7D18542E" w14:textId="0BE5A658" w:rsidR="001524A9" w:rsidRPr="00B11E55" w:rsidRDefault="00917D39" w:rsidP="0059409D">
            <w:pPr>
              <w:pStyle w:val="NoSpacing"/>
              <w:rPr>
                <w:b/>
                <w:bCs/>
                <w:color w:val="005596" w:themeColor="text2"/>
                <w:sz w:val="36"/>
                <w:szCs w:val="36"/>
                <w:lang w:val="en-GB"/>
              </w:rPr>
            </w:pPr>
            <w:r w:rsidRPr="00B11E55">
              <w:rPr>
                <w:b/>
                <w:bCs/>
                <w:color w:val="005596" w:themeColor="text2"/>
                <w:sz w:val="36"/>
                <w:szCs w:val="36"/>
                <w:lang w:val="en-GB"/>
              </w:rPr>
              <w:t>FRM</w:t>
            </w:r>
            <w:r w:rsidR="00A4601C" w:rsidRPr="00B11E55">
              <w:rPr>
                <w:b/>
                <w:bCs/>
                <w:color w:val="005596" w:themeColor="text2"/>
                <w:sz w:val="36"/>
                <w:szCs w:val="36"/>
                <w:lang w:val="en-GB"/>
              </w:rPr>
              <w:t xml:space="preserve"> Protocols and Procedures</w:t>
            </w:r>
            <w:r w:rsidRPr="00B11E55">
              <w:rPr>
                <w:b/>
                <w:bCs/>
                <w:color w:val="005596" w:themeColor="text2"/>
                <w:sz w:val="36"/>
                <w:szCs w:val="36"/>
                <w:lang w:val="en-GB"/>
              </w:rPr>
              <w:t xml:space="preserve"> </w:t>
            </w:r>
            <w:r w:rsidR="006633C3" w:rsidRPr="00B11E55">
              <w:rPr>
                <w:b/>
                <w:bCs/>
                <w:color w:val="005596" w:themeColor="text2"/>
                <w:sz w:val="36"/>
                <w:szCs w:val="36"/>
                <w:lang w:val="en-GB"/>
              </w:rPr>
              <w:t xml:space="preserve">for </w:t>
            </w:r>
            <w:r w:rsidR="00A4601C" w:rsidRPr="00B11E55">
              <w:rPr>
                <w:b/>
                <w:bCs/>
                <w:color w:val="005596" w:themeColor="text2"/>
                <w:sz w:val="36"/>
                <w:szCs w:val="36"/>
                <w:lang w:val="en-GB"/>
              </w:rPr>
              <w:t xml:space="preserve">Fraction of Absorbed </w:t>
            </w:r>
            <w:r w:rsidRPr="00B11E55">
              <w:rPr>
                <w:b/>
                <w:bCs/>
                <w:color w:val="005596" w:themeColor="text2"/>
                <w:sz w:val="36"/>
                <w:szCs w:val="36"/>
                <w:lang w:val="en-GB"/>
              </w:rPr>
              <w:t>P</w:t>
            </w:r>
            <w:r w:rsidR="00A4601C" w:rsidRPr="00B11E55">
              <w:rPr>
                <w:b/>
                <w:bCs/>
                <w:color w:val="005596" w:themeColor="text2"/>
                <w:sz w:val="36"/>
                <w:szCs w:val="36"/>
                <w:lang w:val="en-GB"/>
              </w:rPr>
              <w:t>hoto</w:t>
            </w:r>
            <w:r w:rsidRPr="00B11E55">
              <w:rPr>
                <w:b/>
                <w:bCs/>
                <w:color w:val="005596" w:themeColor="text2"/>
                <w:sz w:val="36"/>
                <w:szCs w:val="36"/>
                <w:lang w:val="en-GB"/>
              </w:rPr>
              <w:t>synthetically Active Radiation</w:t>
            </w:r>
            <w:r w:rsidR="00D10736" w:rsidRPr="00B11E55">
              <w:rPr>
                <w:b/>
                <w:bCs/>
                <w:color w:val="005596" w:themeColor="text2"/>
                <w:sz w:val="36"/>
                <w:szCs w:val="36"/>
                <w:lang w:val="en-GB"/>
              </w:rPr>
              <w:t xml:space="preserve"> (FAPAR)</w:t>
            </w:r>
            <w:r w:rsidR="00A4601C" w:rsidRPr="00B11E55">
              <w:rPr>
                <w:b/>
                <w:bCs/>
                <w:color w:val="005596" w:themeColor="text2"/>
                <w:sz w:val="36"/>
                <w:szCs w:val="36"/>
                <w:lang w:val="en-GB"/>
              </w:rPr>
              <w:t xml:space="preserve"> and</w:t>
            </w:r>
            <w:r w:rsidRPr="00B11E55">
              <w:rPr>
                <w:b/>
                <w:bCs/>
                <w:color w:val="005596" w:themeColor="text2"/>
                <w:sz w:val="36"/>
                <w:szCs w:val="36"/>
                <w:lang w:val="en-GB"/>
              </w:rPr>
              <w:t xml:space="preserve"> Canopy Chlorophyll Content (FPP</w:t>
            </w:r>
            <w:r w:rsidR="00A4601C" w:rsidRPr="00B11E55">
              <w:rPr>
                <w:b/>
                <w:bCs/>
                <w:color w:val="005596" w:themeColor="text2"/>
                <w:sz w:val="36"/>
                <w:szCs w:val="36"/>
                <w:lang w:val="en-GB"/>
              </w:rPr>
              <w:t>)</w:t>
            </w:r>
          </w:p>
          <w:p w14:paraId="29625CA0" w14:textId="77777777" w:rsidR="001524A9" w:rsidRDefault="001524A9" w:rsidP="0059409D">
            <w:pPr>
              <w:pStyle w:val="NoSpacing"/>
              <w:rPr>
                <w:caps/>
                <w:color w:val="005596" w:themeColor="text2"/>
                <w:sz w:val="26"/>
                <w:szCs w:val="26"/>
                <w:lang w:val="en-GB"/>
              </w:rPr>
            </w:pPr>
          </w:p>
          <w:p w14:paraId="3D883FF7" w14:textId="340EC1FD" w:rsidR="001524A9" w:rsidRDefault="00691667" w:rsidP="0059409D">
            <w:pPr>
              <w:pStyle w:val="NoSpacing"/>
              <w:rPr>
                <w:caps/>
                <w:color w:val="005596" w:themeColor="text2"/>
                <w:sz w:val="26"/>
                <w:szCs w:val="26"/>
                <w:lang w:val="en-GB"/>
              </w:rPr>
            </w:pPr>
            <w:r>
              <w:rPr>
                <w:caps/>
                <w:color w:val="005596" w:themeColor="text2"/>
                <w:sz w:val="26"/>
                <w:szCs w:val="26"/>
                <w:lang w:val="en-GB"/>
              </w:rPr>
              <w:t>VERSION 1.0</w:t>
            </w:r>
          </w:p>
          <w:p w14:paraId="4864736D" w14:textId="77777777" w:rsidR="0041691B" w:rsidRPr="0041691B" w:rsidRDefault="0041691B" w:rsidP="0059409D">
            <w:pPr>
              <w:pStyle w:val="NoSpacing"/>
              <w:rPr>
                <w:color w:val="005596" w:themeColor="text2"/>
                <w:sz w:val="26"/>
                <w:szCs w:val="26"/>
                <w:lang w:val="en-GB"/>
              </w:rPr>
            </w:pPr>
          </w:p>
          <w:p w14:paraId="50ACE859" w14:textId="77777777" w:rsidR="0041691B" w:rsidRPr="0041691B" w:rsidRDefault="0041691B" w:rsidP="0059409D">
            <w:pPr>
              <w:pStyle w:val="NoSpacing"/>
              <w:rPr>
                <w:color w:val="005596" w:themeColor="text2"/>
                <w:sz w:val="26"/>
                <w:szCs w:val="26"/>
                <w:lang w:val="en-GB"/>
              </w:rPr>
            </w:pPr>
          </w:p>
          <w:p w14:paraId="145A90AD" w14:textId="77777777" w:rsidR="0041691B" w:rsidRPr="0041691B" w:rsidRDefault="0041691B" w:rsidP="0059409D">
            <w:pPr>
              <w:pStyle w:val="NoSpacing"/>
              <w:rPr>
                <w:color w:val="005596" w:themeColor="text2"/>
                <w:sz w:val="26"/>
                <w:szCs w:val="26"/>
                <w:lang w:val="en-GB"/>
              </w:rPr>
            </w:pPr>
          </w:p>
          <w:p w14:paraId="716CF75D" w14:textId="4141404C" w:rsidR="0059409D" w:rsidRPr="0041691B" w:rsidRDefault="0059409D" w:rsidP="0059409D">
            <w:pPr>
              <w:pStyle w:val="NoSpacing"/>
              <w:rPr>
                <w:color w:val="005596" w:themeColor="text2"/>
                <w:sz w:val="26"/>
                <w:szCs w:val="26"/>
                <w:lang w:val="en-GB"/>
              </w:rPr>
            </w:pPr>
          </w:p>
          <w:p w14:paraId="7C5AA5AA" w14:textId="77777777" w:rsidR="0059409D" w:rsidRPr="0041691B" w:rsidRDefault="0059409D" w:rsidP="0059409D">
            <w:pPr>
              <w:pStyle w:val="NoSpacing"/>
              <w:rPr>
                <w:lang w:val="en-GB"/>
              </w:rPr>
            </w:pPr>
          </w:p>
          <w:p w14:paraId="3C9266C4" w14:textId="77777777" w:rsidR="0041691B" w:rsidRPr="0041691B" w:rsidRDefault="0041691B" w:rsidP="0059409D">
            <w:pPr>
              <w:pStyle w:val="NoSpacing"/>
              <w:rPr>
                <w:lang w:val="en-GB"/>
              </w:rPr>
            </w:pPr>
          </w:p>
          <w:sdt>
            <w:sdtPr>
              <w:rPr>
                <w:lang w:val="en-GB"/>
              </w:rPr>
              <w:alias w:val="Organisation"/>
              <w:tag w:val="Author organisation"/>
              <w:id w:val="-598638019"/>
            </w:sdtPr>
            <w:sdtEndPr/>
            <w:sdtContent>
              <w:p w14:paraId="7D26D8C4" w14:textId="77777777" w:rsidR="00B11E55" w:rsidRDefault="002657FF" w:rsidP="0059409D">
                <w:pPr>
                  <w:pStyle w:val="NoSpacing"/>
                  <w:rPr>
                    <w:lang w:val="en-GB"/>
                  </w:rPr>
                </w:pPr>
                <w:r>
                  <w:rPr>
                    <w:lang w:val="en-GB"/>
                  </w:rPr>
                  <w:t>University of Southampton</w:t>
                </w:r>
              </w:p>
              <w:p w14:paraId="30707791" w14:textId="1CD8047B" w:rsidR="00B11E55" w:rsidRDefault="00B11E55" w:rsidP="0059409D">
                <w:pPr>
                  <w:pStyle w:val="NoSpacing"/>
                  <w:rPr>
                    <w:lang w:val="en-GB"/>
                  </w:rPr>
                </w:pPr>
                <w:r>
                  <w:rPr>
                    <w:lang w:val="en-GB"/>
                  </w:rPr>
                  <w:t>EOL</w:t>
                </w:r>
                <w:r w:rsidR="0069303D">
                  <w:rPr>
                    <w:lang w:val="en-GB"/>
                  </w:rPr>
                  <w:t>AB</w:t>
                </w:r>
              </w:p>
              <w:p w14:paraId="577D385B" w14:textId="676AAA4E" w:rsidR="0059409D" w:rsidRPr="0041691B" w:rsidRDefault="00B11E55" w:rsidP="0059409D">
                <w:pPr>
                  <w:pStyle w:val="NoSpacing"/>
                  <w:rPr>
                    <w:lang w:val="en-GB"/>
                  </w:rPr>
                </w:pPr>
                <w:r>
                  <w:rPr>
                    <w:lang w:val="en-GB"/>
                  </w:rPr>
                  <w:t>National Physical Laboratory</w:t>
                </w:r>
              </w:p>
            </w:sdtContent>
          </w:sdt>
          <w:p w14:paraId="79E7DC03" w14:textId="77777777" w:rsidR="0059409D" w:rsidRPr="0041691B" w:rsidRDefault="0059409D" w:rsidP="0059409D">
            <w:pPr>
              <w:pStyle w:val="NoSpacing"/>
              <w:rPr>
                <w:lang w:val="en-GB"/>
              </w:rPr>
            </w:pPr>
          </w:p>
          <w:sdt>
            <w:sdtPr>
              <w:alias w:val="Date"/>
              <w:tag w:val="Pick from calendar"/>
              <w:id w:val="512657460"/>
              <w:date w:fullDate="2020-06-17T00:00:00Z">
                <w:dateFormat w:val="dd MMMM yyyy"/>
                <w:lid w:val="en-GB"/>
                <w:storeMappedDataAs w:val="dateTime"/>
                <w:calendar w:val="gregorian"/>
              </w:date>
            </w:sdtPr>
            <w:sdtEndPr/>
            <w:sdtContent>
              <w:p w14:paraId="4EF060F1" w14:textId="772620C0" w:rsidR="0059409D" w:rsidRPr="0041691B" w:rsidRDefault="0089722E" w:rsidP="00A4601C">
                <w:r>
                  <w:t>17 June 2020</w:t>
                </w:r>
              </w:p>
            </w:sdtContent>
          </w:sdt>
        </w:tc>
      </w:tr>
      <w:tr w:rsidR="0059409D" w:rsidRPr="0041691B" w14:paraId="748D73AC" w14:textId="77777777" w:rsidTr="005E32FC">
        <w:trPr>
          <w:trHeight w:val="2017"/>
        </w:trPr>
        <w:tc>
          <w:tcPr>
            <w:tcW w:w="5018" w:type="dxa"/>
            <w:tcBorders>
              <w:right w:val="single" w:sz="12" w:space="0" w:color="005596" w:themeColor="text2"/>
            </w:tcBorders>
          </w:tcPr>
          <w:p w14:paraId="50EEB73A" w14:textId="77777777" w:rsidR="0059409D" w:rsidRPr="0041691B" w:rsidRDefault="009F1DDB" w:rsidP="0041691B">
            <w:r w:rsidRPr="0041691B">
              <w:rPr>
                <w:noProof/>
                <w:lang w:eastAsia="en-GB"/>
              </w:rPr>
              <w:drawing>
                <wp:anchor distT="0" distB="0" distL="114300" distR="114300" simplePos="0" relativeHeight="251658244" behindDoc="1" locked="0" layoutInCell="1" allowOverlap="1" wp14:anchorId="0D17E578" wp14:editId="68CAEF47">
                  <wp:simplePos x="0" y="0"/>
                  <wp:positionH relativeFrom="column">
                    <wp:posOffset>1756410</wp:posOffset>
                  </wp:positionH>
                  <wp:positionV relativeFrom="page">
                    <wp:posOffset>214630</wp:posOffset>
                  </wp:positionV>
                  <wp:extent cx="1247140" cy="619125"/>
                  <wp:effectExtent l="0" t="0" r="0" b="9525"/>
                  <wp:wrapTight wrapText="bothSides">
                    <wp:wrapPolygon edited="0">
                      <wp:start x="0" y="0"/>
                      <wp:lineTo x="0" y="21268"/>
                      <wp:lineTo x="21116" y="21268"/>
                      <wp:lineTo x="211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140" cy="619125"/>
                          </a:xfrm>
                          <a:prstGeom prst="rect">
                            <a:avLst/>
                          </a:prstGeom>
                        </pic:spPr>
                      </pic:pic>
                    </a:graphicData>
                  </a:graphic>
                  <wp14:sizeRelH relativeFrom="margin">
                    <wp14:pctWidth>0</wp14:pctWidth>
                  </wp14:sizeRelH>
                  <wp14:sizeRelV relativeFrom="margin">
                    <wp14:pctHeight>0</wp14:pctHeight>
                  </wp14:sizeRelV>
                </wp:anchor>
              </w:drawing>
            </w:r>
            <w:r w:rsidRPr="0041691B">
              <w:rPr>
                <w:noProof/>
                <w:color w:val="0000FF"/>
                <w:lang w:eastAsia="en-GB"/>
              </w:rPr>
              <w:drawing>
                <wp:anchor distT="0" distB="0" distL="114300" distR="114300" simplePos="0" relativeHeight="251658242" behindDoc="1" locked="0" layoutInCell="1" allowOverlap="1" wp14:anchorId="4C4A69F5" wp14:editId="5DCFBCCF">
                  <wp:simplePos x="0" y="0"/>
                  <wp:positionH relativeFrom="column">
                    <wp:posOffset>184150</wp:posOffset>
                  </wp:positionH>
                  <wp:positionV relativeFrom="page">
                    <wp:posOffset>294005</wp:posOffset>
                  </wp:positionV>
                  <wp:extent cx="1235075" cy="533400"/>
                  <wp:effectExtent l="0" t="0" r="3175" b="0"/>
                  <wp:wrapTight wrapText="bothSides">
                    <wp:wrapPolygon edited="0">
                      <wp:start x="0" y="0"/>
                      <wp:lineTo x="0" y="20829"/>
                      <wp:lineTo x="21322" y="20829"/>
                      <wp:lineTo x="21322" y="0"/>
                      <wp:lineTo x="0" y="0"/>
                    </wp:wrapPolygon>
                  </wp:wrapTight>
                  <wp:docPr id="10" name="Picture 1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50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7" w:type="dxa"/>
            <w:tcBorders>
              <w:left w:val="single" w:sz="12" w:space="0" w:color="005596" w:themeColor="text2"/>
            </w:tcBorders>
          </w:tcPr>
          <w:p w14:paraId="70F7FE6A" w14:textId="77777777" w:rsidR="009F1DDB" w:rsidRDefault="009F1DDB" w:rsidP="0041691B"/>
          <w:p w14:paraId="74E81A3F" w14:textId="77777777" w:rsidR="009F1DDB" w:rsidRDefault="009F1DDB" w:rsidP="0041691B"/>
          <w:p w14:paraId="0743D8E7" w14:textId="77777777" w:rsidR="009F1DDB" w:rsidRDefault="009F1DDB" w:rsidP="0041691B"/>
          <w:p w14:paraId="50E4CCB1" w14:textId="1A1B069B" w:rsidR="0059409D" w:rsidRPr="0041691B" w:rsidRDefault="009A2E3B" w:rsidP="0041691B">
            <w:r w:rsidRPr="0068439A">
              <w:t xml:space="preserve">This document was produced as part of the ESA-funded project “Fiducial Reference Measurements for Vegetation </w:t>
            </w:r>
            <w:r>
              <w:t xml:space="preserve">Phase 2 </w:t>
            </w:r>
            <w:r w:rsidRPr="0068439A">
              <w:t>(FRM4VEG</w:t>
            </w:r>
            <w:r>
              <w:t xml:space="preserve"> 2</w:t>
            </w:r>
            <w:r w:rsidRPr="0068439A">
              <w:t xml:space="preserve">)” under ESA contract number: </w:t>
            </w:r>
            <w:r>
              <w:t>4000129823/20/I-NS</w:t>
            </w:r>
          </w:p>
        </w:tc>
      </w:tr>
    </w:tbl>
    <w:p w14:paraId="719B715C" w14:textId="77777777" w:rsidR="0067464D" w:rsidRDefault="0067464D" w:rsidP="0041691B">
      <w:pPr>
        <w:pStyle w:val="Heading5"/>
      </w:pPr>
    </w:p>
    <w:p w14:paraId="7358DB91" w14:textId="77777777" w:rsidR="0067464D" w:rsidRDefault="0067464D" w:rsidP="0067464D">
      <w:pPr>
        <w:rPr>
          <w:rFonts w:asciiTheme="majorHAnsi" w:eastAsiaTheme="majorEastAsia" w:hAnsiTheme="majorHAnsi" w:cstheme="majorBidi"/>
          <w:color w:val="005596" w:themeColor="text2"/>
          <w:sz w:val="32"/>
          <w:szCs w:val="32"/>
        </w:rPr>
      </w:pPr>
      <w:r>
        <w:br w:type="page"/>
      </w:r>
    </w:p>
    <w:p w14:paraId="2C935D3B" w14:textId="4DA5A454" w:rsidR="0041691B" w:rsidRDefault="0069303D" w:rsidP="0030137D">
      <w:pPr>
        <w:pStyle w:val="Heading5"/>
      </w:pPr>
      <w:bookmarkStart w:id="0" w:name="_Toc44515945"/>
      <w:r>
        <w:lastRenderedPageBreak/>
        <w:t>Authors</w:t>
      </w:r>
      <w:bookmarkEnd w:id="0"/>
    </w:p>
    <w:p w14:paraId="5A689733" w14:textId="77777777" w:rsidR="00BD626B" w:rsidRPr="00BD626B" w:rsidRDefault="00BD626B" w:rsidP="0069303D">
      <w:pPr>
        <w:spacing w:after="0"/>
      </w:pPr>
    </w:p>
    <w:tbl>
      <w:tblPr>
        <w:tblStyle w:val="TableGrid"/>
        <w:tblW w:w="0" w:type="auto"/>
        <w:tblLook w:val="04A0" w:firstRow="1" w:lastRow="0" w:firstColumn="1" w:lastColumn="0" w:noHBand="0" w:noVBand="1"/>
      </w:tblPr>
      <w:tblGrid>
        <w:gridCol w:w="2254"/>
        <w:gridCol w:w="2254"/>
        <w:gridCol w:w="2717"/>
        <w:gridCol w:w="1791"/>
      </w:tblGrid>
      <w:tr w:rsidR="0041691B" w14:paraId="47FAC084" w14:textId="77777777" w:rsidTr="005E41F7">
        <w:tc>
          <w:tcPr>
            <w:tcW w:w="2254" w:type="dxa"/>
          </w:tcPr>
          <w:p w14:paraId="2C6C63DF" w14:textId="77777777" w:rsidR="0041691B" w:rsidRDefault="0041691B" w:rsidP="0041691B"/>
        </w:tc>
        <w:tc>
          <w:tcPr>
            <w:tcW w:w="2254" w:type="dxa"/>
          </w:tcPr>
          <w:p w14:paraId="554027C5" w14:textId="77777777" w:rsidR="0041691B" w:rsidRPr="0069303D" w:rsidRDefault="0041691B" w:rsidP="0041691B">
            <w:pPr>
              <w:rPr>
                <w:b/>
                <w:bCs/>
              </w:rPr>
            </w:pPr>
            <w:r w:rsidRPr="0069303D">
              <w:rPr>
                <w:b/>
                <w:bCs/>
              </w:rPr>
              <w:t>Name</w:t>
            </w:r>
          </w:p>
        </w:tc>
        <w:tc>
          <w:tcPr>
            <w:tcW w:w="2717" w:type="dxa"/>
          </w:tcPr>
          <w:p w14:paraId="19428E87" w14:textId="77777777" w:rsidR="0041691B" w:rsidRPr="0069303D" w:rsidRDefault="0041691B" w:rsidP="0041691B">
            <w:pPr>
              <w:rPr>
                <w:b/>
                <w:bCs/>
              </w:rPr>
            </w:pPr>
            <w:r w:rsidRPr="0069303D">
              <w:rPr>
                <w:b/>
                <w:bCs/>
              </w:rPr>
              <w:t>Organisation</w:t>
            </w:r>
          </w:p>
        </w:tc>
        <w:tc>
          <w:tcPr>
            <w:tcW w:w="1791" w:type="dxa"/>
          </w:tcPr>
          <w:p w14:paraId="2962A258" w14:textId="77777777" w:rsidR="0041691B" w:rsidRPr="0069303D" w:rsidRDefault="0041691B" w:rsidP="0041691B">
            <w:pPr>
              <w:rPr>
                <w:b/>
                <w:bCs/>
              </w:rPr>
            </w:pPr>
            <w:r w:rsidRPr="0069303D">
              <w:rPr>
                <w:b/>
                <w:bCs/>
              </w:rPr>
              <w:t>Date</w:t>
            </w:r>
          </w:p>
        </w:tc>
      </w:tr>
      <w:tr w:rsidR="00993862" w14:paraId="4E069A7D" w14:textId="77777777" w:rsidTr="005E41F7">
        <w:tc>
          <w:tcPr>
            <w:tcW w:w="2254" w:type="dxa"/>
          </w:tcPr>
          <w:p w14:paraId="79B86AC8" w14:textId="77777777" w:rsidR="00993862" w:rsidRPr="0069303D" w:rsidRDefault="00993862" w:rsidP="00993862">
            <w:pPr>
              <w:rPr>
                <w:b/>
                <w:bCs/>
              </w:rPr>
            </w:pPr>
            <w:r w:rsidRPr="0069303D">
              <w:rPr>
                <w:b/>
                <w:bCs/>
              </w:rPr>
              <w:t>Written by</w:t>
            </w:r>
          </w:p>
        </w:tc>
        <w:tc>
          <w:tcPr>
            <w:tcW w:w="2254" w:type="dxa"/>
          </w:tcPr>
          <w:p w14:paraId="32E56AE6" w14:textId="5648BF79" w:rsidR="00993862" w:rsidRDefault="00993862" w:rsidP="005E41F7">
            <w:r>
              <w:t>Luke Brown</w:t>
            </w:r>
          </w:p>
        </w:tc>
        <w:tc>
          <w:tcPr>
            <w:tcW w:w="2717" w:type="dxa"/>
          </w:tcPr>
          <w:p w14:paraId="2642D74B" w14:textId="025DABE8" w:rsidR="00993862" w:rsidRDefault="00993862" w:rsidP="005E41F7">
            <w:r>
              <w:t>University of Southampton</w:t>
            </w:r>
          </w:p>
        </w:tc>
        <w:tc>
          <w:tcPr>
            <w:tcW w:w="1791" w:type="dxa"/>
          </w:tcPr>
          <w:p w14:paraId="6D4A14A3" w14:textId="5B68E439" w:rsidR="00993862" w:rsidRDefault="00042E0C" w:rsidP="00993862">
            <w:r>
              <w:t>17/06</w:t>
            </w:r>
            <w:r w:rsidR="0069303D">
              <w:t>/2020</w:t>
            </w:r>
          </w:p>
        </w:tc>
      </w:tr>
      <w:tr w:rsidR="0082061D" w14:paraId="03B70316" w14:textId="77777777" w:rsidTr="005E41F7">
        <w:tc>
          <w:tcPr>
            <w:tcW w:w="2254" w:type="dxa"/>
          </w:tcPr>
          <w:p w14:paraId="1C5A4FCA" w14:textId="77777777" w:rsidR="0082061D" w:rsidRPr="0069303D" w:rsidRDefault="0082061D" w:rsidP="00993862">
            <w:pPr>
              <w:rPr>
                <w:b/>
                <w:bCs/>
              </w:rPr>
            </w:pPr>
          </w:p>
        </w:tc>
        <w:tc>
          <w:tcPr>
            <w:tcW w:w="2254" w:type="dxa"/>
          </w:tcPr>
          <w:p w14:paraId="4FB3B646" w14:textId="7AAA9427" w:rsidR="0082061D" w:rsidRDefault="0082061D" w:rsidP="00993862">
            <w:proofErr w:type="spellStart"/>
            <w:r>
              <w:t>Jadu</w:t>
            </w:r>
            <w:r w:rsidR="0069303D">
              <w:t>nandan</w:t>
            </w:r>
            <w:proofErr w:type="spellEnd"/>
            <w:r>
              <w:t xml:space="preserve"> Dash</w:t>
            </w:r>
          </w:p>
        </w:tc>
        <w:tc>
          <w:tcPr>
            <w:tcW w:w="2717" w:type="dxa"/>
          </w:tcPr>
          <w:p w14:paraId="3C64769E" w14:textId="03005BA6" w:rsidR="0082061D" w:rsidRDefault="005E41F7" w:rsidP="00993862">
            <w:r>
              <w:t>University of Southampton</w:t>
            </w:r>
          </w:p>
        </w:tc>
        <w:tc>
          <w:tcPr>
            <w:tcW w:w="1791" w:type="dxa"/>
          </w:tcPr>
          <w:p w14:paraId="75276768" w14:textId="77777777" w:rsidR="0082061D" w:rsidRDefault="0082061D" w:rsidP="00993862"/>
        </w:tc>
      </w:tr>
      <w:tr w:rsidR="0082061D" w14:paraId="0F4AB2D6" w14:textId="77777777" w:rsidTr="005E41F7">
        <w:tc>
          <w:tcPr>
            <w:tcW w:w="2254" w:type="dxa"/>
          </w:tcPr>
          <w:p w14:paraId="4B99170D" w14:textId="77777777" w:rsidR="0082061D" w:rsidRPr="0069303D" w:rsidRDefault="0082061D" w:rsidP="00993862">
            <w:pPr>
              <w:rPr>
                <w:b/>
                <w:bCs/>
              </w:rPr>
            </w:pPr>
          </w:p>
        </w:tc>
        <w:tc>
          <w:tcPr>
            <w:tcW w:w="2254" w:type="dxa"/>
          </w:tcPr>
          <w:p w14:paraId="4B162816" w14:textId="1A487DC4" w:rsidR="0082061D" w:rsidRDefault="005E41F7" w:rsidP="00993862">
            <w:r>
              <w:t>Fernando Camacho</w:t>
            </w:r>
          </w:p>
        </w:tc>
        <w:tc>
          <w:tcPr>
            <w:tcW w:w="2717" w:type="dxa"/>
          </w:tcPr>
          <w:p w14:paraId="2C0CB015" w14:textId="6C8CA0AF" w:rsidR="0082061D" w:rsidRDefault="005E41F7" w:rsidP="00993862">
            <w:r>
              <w:t>EOL</w:t>
            </w:r>
            <w:r w:rsidR="003C4600">
              <w:t>AB</w:t>
            </w:r>
          </w:p>
        </w:tc>
        <w:tc>
          <w:tcPr>
            <w:tcW w:w="1791" w:type="dxa"/>
          </w:tcPr>
          <w:p w14:paraId="7DCBD22B" w14:textId="77777777" w:rsidR="0082061D" w:rsidRDefault="0082061D" w:rsidP="00993862"/>
        </w:tc>
      </w:tr>
      <w:tr w:rsidR="003C4600" w14:paraId="4A35AD29" w14:textId="77777777" w:rsidTr="005E41F7">
        <w:tc>
          <w:tcPr>
            <w:tcW w:w="2254" w:type="dxa"/>
          </w:tcPr>
          <w:p w14:paraId="255E6D09" w14:textId="77777777" w:rsidR="003C4600" w:rsidRPr="0069303D" w:rsidRDefault="003C4600" w:rsidP="00993862">
            <w:pPr>
              <w:rPr>
                <w:b/>
                <w:bCs/>
              </w:rPr>
            </w:pPr>
          </w:p>
        </w:tc>
        <w:tc>
          <w:tcPr>
            <w:tcW w:w="2254" w:type="dxa"/>
          </w:tcPr>
          <w:p w14:paraId="3289BC3A" w14:textId="476C784A" w:rsidR="003C4600" w:rsidRDefault="003C4600" w:rsidP="00993862">
            <w:r>
              <w:t>Vicente Garc</w:t>
            </w:r>
            <w:r w:rsidRPr="003C4600">
              <w:t>í</w:t>
            </w:r>
            <w:r>
              <w:t>a-Santos</w:t>
            </w:r>
          </w:p>
        </w:tc>
        <w:tc>
          <w:tcPr>
            <w:tcW w:w="2717" w:type="dxa"/>
          </w:tcPr>
          <w:p w14:paraId="6906BB42" w14:textId="339EA5E4" w:rsidR="003C4600" w:rsidRDefault="003C4600" w:rsidP="00993862">
            <w:r>
              <w:t>EOLAB</w:t>
            </w:r>
          </w:p>
        </w:tc>
        <w:tc>
          <w:tcPr>
            <w:tcW w:w="1791" w:type="dxa"/>
          </w:tcPr>
          <w:p w14:paraId="424ACA0A" w14:textId="77777777" w:rsidR="003C4600" w:rsidRDefault="003C4600" w:rsidP="00993862"/>
        </w:tc>
      </w:tr>
      <w:tr w:rsidR="00993862" w14:paraId="6F151F36" w14:textId="77777777" w:rsidTr="005E41F7">
        <w:tc>
          <w:tcPr>
            <w:tcW w:w="2254" w:type="dxa"/>
          </w:tcPr>
          <w:p w14:paraId="67117F67" w14:textId="77777777" w:rsidR="00993862" w:rsidRPr="0069303D" w:rsidRDefault="00993862" w:rsidP="00993862">
            <w:pPr>
              <w:rPr>
                <w:b/>
                <w:bCs/>
              </w:rPr>
            </w:pPr>
          </w:p>
        </w:tc>
        <w:tc>
          <w:tcPr>
            <w:tcW w:w="2254" w:type="dxa"/>
          </w:tcPr>
          <w:p w14:paraId="25517A6C" w14:textId="0C60EF76" w:rsidR="00993862" w:rsidRDefault="0082061D" w:rsidP="00993862">
            <w:r>
              <w:t>Joanne Nightingale</w:t>
            </w:r>
          </w:p>
        </w:tc>
        <w:tc>
          <w:tcPr>
            <w:tcW w:w="2717" w:type="dxa"/>
          </w:tcPr>
          <w:p w14:paraId="41D23935" w14:textId="025A59AA" w:rsidR="00993862" w:rsidRDefault="00993862" w:rsidP="00993862">
            <w:r>
              <w:t>NPL</w:t>
            </w:r>
          </w:p>
        </w:tc>
        <w:tc>
          <w:tcPr>
            <w:tcW w:w="1791" w:type="dxa"/>
          </w:tcPr>
          <w:p w14:paraId="38E97408" w14:textId="77777777" w:rsidR="00993862" w:rsidRDefault="00993862" w:rsidP="00993862"/>
        </w:tc>
      </w:tr>
      <w:tr w:rsidR="00993862" w14:paraId="7F83A1A2" w14:textId="77777777" w:rsidTr="005E41F7">
        <w:tc>
          <w:tcPr>
            <w:tcW w:w="2254" w:type="dxa"/>
          </w:tcPr>
          <w:p w14:paraId="617CAE79" w14:textId="77777777" w:rsidR="00993862" w:rsidRPr="0069303D" w:rsidRDefault="00993862" w:rsidP="00993862">
            <w:pPr>
              <w:rPr>
                <w:b/>
                <w:bCs/>
              </w:rPr>
            </w:pPr>
          </w:p>
        </w:tc>
        <w:tc>
          <w:tcPr>
            <w:tcW w:w="2254" w:type="dxa"/>
          </w:tcPr>
          <w:p w14:paraId="073E3698" w14:textId="4C5D0D07" w:rsidR="00993862" w:rsidRDefault="00993862" w:rsidP="00993862">
            <w:r>
              <w:t>Niall Orig</w:t>
            </w:r>
            <w:r w:rsidR="0082061D">
              <w:t>o</w:t>
            </w:r>
          </w:p>
        </w:tc>
        <w:tc>
          <w:tcPr>
            <w:tcW w:w="2717" w:type="dxa"/>
          </w:tcPr>
          <w:p w14:paraId="78C12880" w14:textId="24E130A5" w:rsidR="00993862" w:rsidRDefault="00993862" w:rsidP="00993862">
            <w:r>
              <w:t>NPL</w:t>
            </w:r>
          </w:p>
        </w:tc>
        <w:tc>
          <w:tcPr>
            <w:tcW w:w="1791" w:type="dxa"/>
          </w:tcPr>
          <w:p w14:paraId="253BBB0D" w14:textId="77777777" w:rsidR="00993862" w:rsidRDefault="00993862" w:rsidP="00993862"/>
        </w:tc>
      </w:tr>
      <w:tr w:rsidR="00993862" w14:paraId="3A32F054" w14:textId="77777777" w:rsidTr="005E41F7">
        <w:tc>
          <w:tcPr>
            <w:tcW w:w="2254" w:type="dxa"/>
          </w:tcPr>
          <w:p w14:paraId="65633023" w14:textId="77777777" w:rsidR="00993862" w:rsidRPr="0069303D" w:rsidRDefault="00993862" w:rsidP="00993862">
            <w:pPr>
              <w:rPr>
                <w:b/>
                <w:bCs/>
              </w:rPr>
            </w:pPr>
          </w:p>
        </w:tc>
        <w:tc>
          <w:tcPr>
            <w:tcW w:w="2254" w:type="dxa"/>
          </w:tcPr>
          <w:p w14:paraId="293A9225" w14:textId="3F340998" w:rsidR="00993862" w:rsidRDefault="0082061D" w:rsidP="00993862">
            <w:r>
              <w:t>Rosalinda Morrone</w:t>
            </w:r>
          </w:p>
        </w:tc>
        <w:tc>
          <w:tcPr>
            <w:tcW w:w="2717" w:type="dxa"/>
          </w:tcPr>
          <w:p w14:paraId="470570B4" w14:textId="18D05329" w:rsidR="00993862" w:rsidRDefault="0082061D" w:rsidP="00993862">
            <w:r>
              <w:t>NPL</w:t>
            </w:r>
          </w:p>
        </w:tc>
        <w:tc>
          <w:tcPr>
            <w:tcW w:w="1791" w:type="dxa"/>
          </w:tcPr>
          <w:p w14:paraId="36C18C5F" w14:textId="77777777" w:rsidR="00993862" w:rsidRDefault="00993862" w:rsidP="00993862"/>
        </w:tc>
      </w:tr>
      <w:tr w:rsidR="0041691B" w14:paraId="2AB8DCA7" w14:textId="77777777" w:rsidTr="005E41F7">
        <w:tc>
          <w:tcPr>
            <w:tcW w:w="2254" w:type="dxa"/>
          </w:tcPr>
          <w:p w14:paraId="6388EB4F" w14:textId="77777777" w:rsidR="0041691B" w:rsidRPr="0069303D" w:rsidRDefault="0041691B" w:rsidP="0041691B">
            <w:pPr>
              <w:rPr>
                <w:b/>
                <w:bCs/>
              </w:rPr>
            </w:pPr>
            <w:r w:rsidRPr="0069303D">
              <w:rPr>
                <w:b/>
                <w:bCs/>
              </w:rPr>
              <w:t>Reviewed by</w:t>
            </w:r>
            <w:r w:rsidR="00A71448" w:rsidRPr="0069303D">
              <w:rPr>
                <w:b/>
                <w:bCs/>
              </w:rPr>
              <w:t xml:space="preserve"> (consortium)</w:t>
            </w:r>
          </w:p>
        </w:tc>
        <w:tc>
          <w:tcPr>
            <w:tcW w:w="2254" w:type="dxa"/>
          </w:tcPr>
          <w:p w14:paraId="16B83442" w14:textId="77777777" w:rsidR="0041691B" w:rsidRDefault="0041691B" w:rsidP="0041691B"/>
        </w:tc>
        <w:tc>
          <w:tcPr>
            <w:tcW w:w="2717" w:type="dxa"/>
          </w:tcPr>
          <w:p w14:paraId="33B97370" w14:textId="77777777" w:rsidR="0041691B" w:rsidRDefault="0041691B" w:rsidP="0041691B"/>
        </w:tc>
        <w:tc>
          <w:tcPr>
            <w:tcW w:w="1791" w:type="dxa"/>
          </w:tcPr>
          <w:p w14:paraId="6C8E50A6" w14:textId="77777777" w:rsidR="0041691B" w:rsidRDefault="0041691B" w:rsidP="0041691B"/>
        </w:tc>
      </w:tr>
      <w:tr w:rsidR="00D27227" w14:paraId="50F481E3" w14:textId="77777777" w:rsidTr="005E41F7">
        <w:tc>
          <w:tcPr>
            <w:tcW w:w="2254" w:type="dxa"/>
          </w:tcPr>
          <w:p w14:paraId="10F5BF53" w14:textId="77777777" w:rsidR="00D27227" w:rsidRPr="0069303D" w:rsidRDefault="00D27227" w:rsidP="0041691B">
            <w:pPr>
              <w:rPr>
                <w:b/>
                <w:bCs/>
              </w:rPr>
            </w:pPr>
            <w:r w:rsidRPr="0069303D">
              <w:rPr>
                <w:b/>
                <w:bCs/>
              </w:rPr>
              <w:t>Approved by (ESA)</w:t>
            </w:r>
          </w:p>
        </w:tc>
        <w:tc>
          <w:tcPr>
            <w:tcW w:w="2254" w:type="dxa"/>
          </w:tcPr>
          <w:p w14:paraId="3EB97FA9" w14:textId="77777777" w:rsidR="00D27227" w:rsidRDefault="00D27227" w:rsidP="0041691B"/>
        </w:tc>
        <w:tc>
          <w:tcPr>
            <w:tcW w:w="2717" w:type="dxa"/>
          </w:tcPr>
          <w:p w14:paraId="6D634C2F" w14:textId="77777777" w:rsidR="00D27227" w:rsidRDefault="00D27227" w:rsidP="0041691B"/>
        </w:tc>
        <w:tc>
          <w:tcPr>
            <w:tcW w:w="1791" w:type="dxa"/>
          </w:tcPr>
          <w:p w14:paraId="156EA675" w14:textId="77777777" w:rsidR="00D27227" w:rsidRDefault="00D27227" w:rsidP="0041691B"/>
        </w:tc>
      </w:tr>
    </w:tbl>
    <w:p w14:paraId="4F27C1D2" w14:textId="0BF8CFFB" w:rsidR="0041691B" w:rsidRDefault="0041691B" w:rsidP="0041691B"/>
    <w:p w14:paraId="634F9172" w14:textId="77777777" w:rsidR="0069303D" w:rsidRDefault="0069303D" w:rsidP="0069303D">
      <w:pPr>
        <w:spacing w:after="0"/>
      </w:pPr>
    </w:p>
    <w:p w14:paraId="106F2F9B" w14:textId="48E66652" w:rsidR="0041691B" w:rsidRDefault="00F34324" w:rsidP="0041691B">
      <w:pPr>
        <w:pStyle w:val="Heading5"/>
      </w:pPr>
      <w:bookmarkStart w:id="1" w:name="_Toc44515946"/>
      <w:r>
        <w:t>Version H</w:t>
      </w:r>
      <w:r w:rsidR="00943491">
        <w:t>istory</w:t>
      </w:r>
      <w:bookmarkEnd w:id="1"/>
    </w:p>
    <w:p w14:paraId="49F02112" w14:textId="77777777" w:rsidR="00BD626B" w:rsidRPr="00BD626B" w:rsidRDefault="00BD626B" w:rsidP="0069303D">
      <w:pPr>
        <w:spacing w:after="0"/>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4201"/>
      </w:tblGrid>
      <w:tr w:rsidR="00F34324" w14:paraId="7092484D" w14:textId="77777777" w:rsidTr="000D7DD6">
        <w:tc>
          <w:tcPr>
            <w:tcW w:w="2122" w:type="dxa"/>
          </w:tcPr>
          <w:p w14:paraId="57641AEE" w14:textId="77777777" w:rsidR="00F34324" w:rsidRPr="0069303D" w:rsidRDefault="00F34324" w:rsidP="001C5B6B">
            <w:pPr>
              <w:rPr>
                <w:b/>
                <w:bCs/>
              </w:rPr>
            </w:pPr>
            <w:r w:rsidRPr="0069303D">
              <w:rPr>
                <w:b/>
                <w:bCs/>
              </w:rPr>
              <w:t>Version</w:t>
            </w:r>
          </w:p>
        </w:tc>
        <w:tc>
          <w:tcPr>
            <w:tcW w:w="2693" w:type="dxa"/>
          </w:tcPr>
          <w:p w14:paraId="3669FE8B" w14:textId="77777777" w:rsidR="00F34324" w:rsidRPr="0069303D" w:rsidRDefault="00F34324" w:rsidP="001C5B6B">
            <w:pPr>
              <w:rPr>
                <w:b/>
                <w:bCs/>
              </w:rPr>
            </w:pPr>
            <w:r w:rsidRPr="0069303D">
              <w:rPr>
                <w:b/>
                <w:bCs/>
              </w:rPr>
              <w:t>Date</w:t>
            </w:r>
          </w:p>
        </w:tc>
        <w:tc>
          <w:tcPr>
            <w:tcW w:w="4201" w:type="dxa"/>
          </w:tcPr>
          <w:p w14:paraId="1B56EB6C" w14:textId="77777777" w:rsidR="00F34324" w:rsidRPr="0069303D" w:rsidRDefault="00F34324" w:rsidP="001C5B6B">
            <w:pPr>
              <w:rPr>
                <w:b/>
                <w:bCs/>
              </w:rPr>
            </w:pPr>
            <w:r w:rsidRPr="0069303D">
              <w:rPr>
                <w:b/>
                <w:bCs/>
              </w:rPr>
              <w:t>Publicly available or private to consortium</w:t>
            </w:r>
          </w:p>
        </w:tc>
      </w:tr>
      <w:tr w:rsidR="008B0BB9" w14:paraId="25C30A8A" w14:textId="77777777" w:rsidTr="000D7DD6">
        <w:tc>
          <w:tcPr>
            <w:tcW w:w="2122" w:type="dxa"/>
          </w:tcPr>
          <w:p w14:paraId="36ECA969" w14:textId="502590B4" w:rsidR="008B0BB9" w:rsidRDefault="008B0BB9" w:rsidP="008B0BB9">
            <w:r w:rsidRPr="0068439A">
              <w:t>1.0</w:t>
            </w:r>
          </w:p>
        </w:tc>
        <w:tc>
          <w:tcPr>
            <w:tcW w:w="2693" w:type="dxa"/>
          </w:tcPr>
          <w:p w14:paraId="302BE94D" w14:textId="10C60B44" w:rsidR="008B0BB9" w:rsidRDefault="00042E0C" w:rsidP="008B0BB9">
            <w:r>
              <w:t>17</w:t>
            </w:r>
            <w:r w:rsidR="008B0BB9" w:rsidRPr="0068439A">
              <w:t>/0</w:t>
            </w:r>
            <w:r>
              <w:t>6</w:t>
            </w:r>
            <w:r w:rsidR="008B0BB9" w:rsidRPr="0068439A">
              <w:t>/2020</w:t>
            </w:r>
          </w:p>
        </w:tc>
        <w:tc>
          <w:tcPr>
            <w:tcW w:w="4201" w:type="dxa"/>
          </w:tcPr>
          <w:p w14:paraId="1FA205BE" w14:textId="79E14949" w:rsidR="008B0BB9" w:rsidRDefault="008B0BB9" w:rsidP="008B0BB9">
            <w:r w:rsidRPr="0068439A">
              <w:t>Private Consortium</w:t>
            </w:r>
          </w:p>
        </w:tc>
      </w:tr>
    </w:tbl>
    <w:p w14:paraId="0A03B8D3" w14:textId="77777777" w:rsidR="0041691B" w:rsidRPr="0041691B" w:rsidRDefault="0041691B" w:rsidP="0041691B"/>
    <w:p w14:paraId="4BD63D16" w14:textId="77777777" w:rsidR="0041691B" w:rsidRDefault="0041691B" w:rsidP="0041691B"/>
    <w:p w14:paraId="74F244F0" w14:textId="77777777" w:rsidR="0041691B" w:rsidRDefault="0041691B" w:rsidP="0041691B"/>
    <w:p w14:paraId="0D4BA420" w14:textId="34303DA1" w:rsidR="0041691B" w:rsidRDefault="0041691B" w:rsidP="0041691B">
      <w:r>
        <w:br w:type="page"/>
      </w:r>
    </w:p>
    <w:p w14:paraId="469C24AB" w14:textId="78387B47" w:rsidR="0041691B" w:rsidRDefault="00247619" w:rsidP="0041691B">
      <w:pPr>
        <w:pStyle w:val="Heading5"/>
      </w:pPr>
      <w:bookmarkStart w:id="2" w:name="_Toc44515947"/>
      <w:r>
        <w:lastRenderedPageBreak/>
        <w:t xml:space="preserve">Table of </w:t>
      </w:r>
      <w:r w:rsidR="0041691B">
        <w:t>Contents</w:t>
      </w:r>
      <w:bookmarkEnd w:id="2"/>
    </w:p>
    <w:p w14:paraId="606B62BA" w14:textId="77777777" w:rsidR="00BD626B" w:rsidRPr="00BD626B" w:rsidRDefault="00BD626B" w:rsidP="0069303D">
      <w:pPr>
        <w:spacing w:after="0"/>
      </w:pPr>
    </w:p>
    <w:p w14:paraId="5163FC26" w14:textId="5F68F887" w:rsidR="00152A4A" w:rsidRDefault="00D60F20">
      <w:pPr>
        <w:pStyle w:val="TOC1"/>
        <w:tabs>
          <w:tab w:val="right" w:leader="dot" w:pos="9016"/>
        </w:tabs>
        <w:rPr>
          <w:rFonts w:eastAsiaTheme="minorEastAsia"/>
          <w:b w:val="0"/>
          <w:bCs w:val="0"/>
          <w:caps w:val="0"/>
          <w:noProof/>
          <w:sz w:val="22"/>
          <w:szCs w:val="22"/>
          <w:lang w:eastAsia="en-GB"/>
        </w:rPr>
      </w:pPr>
      <w:r>
        <w:fldChar w:fldCharType="begin"/>
      </w:r>
      <w:r w:rsidRPr="008D69CE">
        <w:instrText xml:space="preserve"> TOC \o "1-3" \h \z \u \t "Heading 5,1,Heading 6,1,Heading 7,2,Heading 8,3" </w:instrText>
      </w:r>
      <w:r>
        <w:fldChar w:fldCharType="separate"/>
      </w:r>
      <w:hyperlink w:anchor="_Toc44515945" w:history="1">
        <w:r w:rsidR="00152A4A" w:rsidRPr="00D11610">
          <w:rPr>
            <w:rStyle w:val="Hyperlink"/>
            <w:noProof/>
          </w:rPr>
          <w:t>Authors</w:t>
        </w:r>
        <w:r w:rsidR="00152A4A">
          <w:rPr>
            <w:noProof/>
            <w:webHidden/>
          </w:rPr>
          <w:tab/>
        </w:r>
        <w:r w:rsidR="00152A4A">
          <w:rPr>
            <w:noProof/>
            <w:webHidden/>
          </w:rPr>
          <w:fldChar w:fldCharType="begin"/>
        </w:r>
        <w:r w:rsidR="00152A4A">
          <w:rPr>
            <w:noProof/>
            <w:webHidden/>
          </w:rPr>
          <w:instrText xml:space="preserve"> PAGEREF _Toc44515945 \h </w:instrText>
        </w:r>
        <w:r w:rsidR="00152A4A">
          <w:rPr>
            <w:noProof/>
            <w:webHidden/>
          </w:rPr>
        </w:r>
        <w:r w:rsidR="00152A4A">
          <w:rPr>
            <w:noProof/>
            <w:webHidden/>
          </w:rPr>
          <w:fldChar w:fldCharType="separate"/>
        </w:r>
        <w:r w:rsidR="00152A4A">
          <w:rPr>
            <w:noProof/>
            <w:webHidden/>
          </w:rPr>
          <w:t>2</w:t>
        </w:r>
        <w:r w:rsidR="00152A4A">
          <w:rPr>
            <w:noProof/>
            <w:webHidden/>
          </w:rPr>
          <w:fldChar w:fldCharType="end"/>
        </w:r>
      </w:hyperlink>
    </w:p>
    <w:p w14:paraId="03CD0EF5" w14:textId="1576807C" w:rsidR="00152A4A" w:rsidRDefault="00152A4A">
      <w:pPr>
        <w:pStyle w:val="TOC1"/>
        <w:tabs>
          <w:tab w:val="right" w:leader="dot" w:pos="9016"/>
        </w:tabs>
        <w:rPr>
          <w:rFonts w:eastAsiaTheme="minorEastAsia"/>
          <w:b w:val="0"/>
          <w:bCs w:val="0"/>
          <w:caps w:val="0"/>
          <w:noProof/>
          <w:sz w:val="22"/>
          <w:szCs w:val="22"/>
          <w:lang w:eastAsia="en-GB"/>
        </w:rPr>
      </w:pPr>
      <w:hyperlink w:anchor="_Toc44515946" w:history="1">
        <w:r w:rsidRPr="00D11610">
          <w:rPr>
            <w:rStyle w:val="Hyperlink"/>
            <w:noProof/>
          </w:rPr>
          <w:t>Version History</w:t>
        </w:r>
        <w:r>
          <w:rPr>
            <w:noProof/>
            <w:webHidden/>
          </w:rPr>
          <w:tab/>
        </w:r>
        <w:r>
          <w:rPr>
            <w:noProof/>
            <w:webHidden/>
          </w:rPr>
          <w:fldChar w:fldCharType="begin"/>
        </w:r>
        <w:r>
          <w:rPr>
            <w:noProof/>
            <w:webHidden/>
          </w:rPr>
          <w:instrText xml:space="preserve"> PAGEREF _Toc44515946 \h </w:instrText>
        </w:r>
        <w:r>
          <w:rPr>
            <w:noProof/>
            <w:webHidden/>
          </w:rPr>
        </w:r>
        <w:r>
          <w:rPr>
            <w:noProof/>
            <w:webHidden/>
          </w:rPr>
          <w:fldChar w:fldCharType="separate"/>
        </w:r>
        <w:r>
          <w:rPr>
            <w:noProof/>
            <w:webHidden/>
          </w:rPr>
          <w:t>2</w:t>
        </w:r>
        <w:r>
          <w:rPr>
            <w:noProof/>
            <w:webHidden/>
          </w:rPr>
          <w:fldChar w:fldCharType="end"/>
        </w:r>
      </w:hyperlink>
    </w:p>
    <w:p w14:paraId="6CC3759D" w14:textId="79C7A9C5" w:rsidR="00152A4A" w:rsidRDefault="00152A4A">
      <w:pPr>
        <w:pStyle w:val="TOC1"/>
        <w:tabs>
          <w:tab w:val="right" w:leader="dot" w:pos="9016"/>
        </w:tabs>
        <w:rPr>
          <w:rFonts w:eastAsiaTheme="minorEastAsia"/>
          <w:b w:val="0"/>
          <w:bCs w:val="0"/>
          <w:caps w:val="0"/>
          <w:noProof/>
          <w:sz w:val="22"/>
          <w:szCs w:val="22"/>
          <w:lang w:eastAsia="en-GB"/>
        </w:rPr>
      </w:pPr>
      <w:hyperlink w:anchor="_Toc44515947" w:history="1">
        <w:r w:rsidRPr="00D11610">
          <w:rPr>
            <w:rStyle w:val="Hyperlink"/>
            <w:noProof/>
          </w:rPr>
          <w:t>Table of Contents</w:t>
        </w:r>
        <w:r>
          <w:rPr>
            <w:noProof/>
            <w:webHidden/>
          </w:rPr>
          <w:tab/>
        </w:r>
        <w:r>
          <w:rPr>
            <w:noProof/>
            <w:webHidden/>
          </w:rPr>
          <w:fldChar w:fldCharType="begin"/>
        </w:r>
        <w:r>
          <w:rPr>
            <w:noProof/>
            <w:webHidden/>
          </w:rPr>
          <w:instrText xml:space="preserve"> PAGEREF _Toc44515947 \h </w:instrText>
        </w:r>
        <w:r>
          <w:rPr>
            <w:noProof/>
            <w:webHidden/>
          </w:rPr>
        </w:r>
        <w:r>
          <w:rPr>
            <w:noProof/>
            <w:webHidden/>
          </w:rPr>
          <w:fldChar w:fldCharType="separate"/>
        </w:r>
        <w:r>
          <w:rPr>
            <w:noProof/>
            <w:webHidden/>
          </w:rPr>
          <w:t>3</w:t>
        </w:r>
        <w:r>
          <w:rPr>
            <w:noProof/>
            <w:webHidden/>
          </w:rPr>
          <w:fldChar w:fldCharType="end"/>
        </w:r>
      </w:hyperlink>
    </w:p>
    <w:p w14:paraId="2183F31C" w14:textId="3F94E9EB" w:rsidR="00152A4A" w:rsidRDefault="00152A4A">
      <w:pPr>
        <w:pStyle w:val="TOC1"/>
        <w:tabs>
          <w:tab w:val="right" w:leader="dot" w:pos="9016"/>
        </w:tabs>
        <w:rPr>
          <w:rFonts w:eastAsiaTheme="minorEastAsia"/>
          <w:b w:val="0"/>
          <w:bCs w:val="0"/>
          <w:caps w:val="0"/>
          <w:noProof/>
          <w:sz w:val="22"/>
          <w:szCs w:val="22"/>
          <w:lang w:eastAsia="en-GB"/>
        </w:rPr>
      </w:pPr>
      <w:hyperlink w:anchor="_Toc44515948" w:history="1">
        <w:r w:rsidRPr="00D11610">
          <w:rPr>
            <w:rStyle w:val="Hyperlink"/>
            <w:noProof/>
          </w:rPr>
          <w:t>List of Figures</w:t>
        </w:r>
        <w:r>
          <w:rPr>
            <w:noProof/>
            <w:webHidden/>
          </w:rPr>
          <w:tab/>
        </w:r>
        <w:r>
          <w:rPr>
            <w:noProof/>
            <w:webHidden/>
          </w:rPr>
          <w:fldChar w:fldCharType="begin"/>
        </w:r>
        <w:r>
          <w:rPr>
            <w:noProof/>
            <w:webHidden/>
          </w:rPr>
          <w:instrText xml:space="preserve"> PAGEREF _Toc44515948 \h </w:instrText>
        </w:r>
        <w:r>
          <w:rPr>
            <w:noProof/>
            <w:webHidden/>
          </w:rPr>
        </w:r>
        <w:r>
          <w:rPr>
            <w:noProof/>
            <w:webHidden/>
          </w:rPr>
          <w:fldChar w:fldCharType="separate"/>
        </w:r>
        <w:r>
          <w:rPr>
            <w:noProof/>
            <w:webHidden/>
          </w:rPr>
          <w:t>5</w:t>
        </w:r>
        <w:r>
          <w:rPr>
            <w:noProof/>
            <w:webHidden/>
          </w:rPr>
          <w:fldChar w:fldCharType="end"/>
        </w:r>
      </w:hyperlink>
    </w:p>
    <w:p w14:paraId="5E124260" w14:textId="0FB70DE0" w:rsidR="00152A4A" w:rsidRDefault="00152A4A">
      <w:pPr>
        <w:pStyle w:val="TOC1"/>
        <w:tabs>
          <w:tab w:val="right" w:leader="dot" w:pos="9016"/>
        </w:tabs>
        <w:rPr>
          <w:rFonts w:eastAsiaTheme="minorEastAsia"/>
          <w:b w:val="0"/>
          <w:bCs w:val="0"/>
          <w:caps w:val="0"/>
          <w:noProof/>
          <w:sz w:val="22"/>
          <w:szCs w:val="22"/>
          <w:lang w:eastAsia="en-GB"/>
        </w:rPr>
      </w:pPr>
      <w:hyperlink w:anchor="_Toc44515949" w:history="1">
        <w:r w:rsidRPr="00D11610">
          <w:rPr>
            <w:rStyle w:val="Hyperlink"/>
            <w:noProof/>
          </w:rPr>
          <w:t>List of Tables</w:t>
        </w:r>
        <w:r>
          <w:rPr>
            <w:noProof/>
            <w:webHidden/>
          </w:rPr>
          <w:tab/>
        </w:r>
        <w:r>
          <w:rPr>
            <w:noProof/>
            <w:webHidden/>
          </w:rPr>
          <w:fldChar w:fldCharType="begin"/>
        </w:r>
        <w:r>
          <w:rPr>
            <w:noProof/>
            <w:webHidden/>
          </w:rPr>
          <w:instrText xml:space="preserve"> PAGEREF _Toc44515949 \h </w:instrText>
        </w:r>
        <w:r>
          <w:rPr>
            <w:noProof/>
            <w:webHidden/>
          </w:rPr>
        </w:r>
        <w:r>
          <w:rPr>
            <w:noProof/>
            <w:webHidden/>
          </w:rPr>
          <w:fldChar w:fldCharType="separate"/>
        </w:r>
        <w:r>
          <w:rPr>
            <w:noProof/>
            <w:webHidden/>
          </w:rPr>
          <w:t>5</w:t>
        </w:r>
        <w:r>
          <w:rPr>
            <w:noProof/>
            <w:webHidden/>
          </w:rPr>
          <w:fldChar w:fldCharType="end"/>
        </w:r>
      </w:hyperlink>
    </w:p>
    <w:p w14:paraId="7D894878" w14:textId="036AD9D6" w:rsidR="00152A4A" w:rsidRDefault="00152A4A">
      <w:pPr>
        <w:pStyle w:val="TOC1"/>
        <w:tabs>
          <w:tab w:val="right" w:leader="dot" w:pos="9016"/>
        </w:tabs>
        <w:rPr>
          <w:rFonts w:eastAsiaTheme="minorEastAsia"/>
          <w:b w:val="0"/>
          <w:bCs w:val="0"/>
          <w:caps w:val="0"/>
          <w:noProof/>
          <w:sz w:val="22"/>
          <w:szCs w:val="22"/>
          <w:lang w:eastAsia="en-GB"/>
        </w:rPr>
      </w:pPr>
      <w:hyperlink w:anchor="_Toc44515950" w:history="1">
        <w:r w:rsidRPr="00D11610">
          <w:rPr>
            <w:rStyle w:val="Hyperlink"/>
            <w:noProof/>
          </w:rPr>
          <w:t>Acronyms</w:t>
        </w:r>
        <w:r>
          <w:rPr>
            <w:noProof/>
            <w:webHidden/>
          </w:rPr>
          <w:tab/>
        </w:r>
        <w:r>
          <w:rPr>
            <w:noProof/>
            <w:webHidden/>
          </w:rPr>
          <w:fldChar w:fldCharType="begin"/>
        </w:r>
        <w:r>
          <w:rPr>
            <w:noProof/>
            <w:webHidden/>
          </w:rPr>
          <w:instrText xml:space="preserve"> PAGEREF _Toc44515950 \h </w:instrText>
        </w:r>
        <w:r>
          <w:rPr>
            <w:noProof/>
            <w:webHidden/>
          </w:rPr>
        </w:r>
        <w:r>
          <w:rPr>
            <w:noProof/>
            <w:webHidden/>
          </w:rPr>
          <w:fldChar w:fldCharType="separate"/>
        </w:r>
        <w:r>
          <w:rPr>
            <w:noProof/>
            <w:webHidden/>
          </w:rPr>
          <w:t>6</w:t>
        </w:r>
        <w:r>
          <w:rPr>
            <w:noProof/>
            <w:webHidden/>
          </w:rPr>
          <w:fldChar w:fldCharType="end"/>
        </w:r>
      </w:hyperlink>
    </w:p>
    <w:p w14:paraId="16AE1D81" w14:textId="5E60C722"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51" w:history="1">
        <w:r w:rsidRPr="00D11610">
          <w:rPr>
            <w:rStyle w:val="Hyperlink"/>
            <w:noProof/>
          </w:rPr>
          <w:t>1</w:t>
        </w:r>
        <w:r>
          <w:rPr>
            <w:rFonts w:eastAsiaTheme="minorEastAsia"/>
            <w:b w:val="0"/>
            <w:bCs w:val="0"/>
            <w:caps w:val="0"/>
            <w:noProof/>
            <w:sz w:val="22"/>
            <w:szCs w:val="22"/>
            <w:lang w:eastAsia="en-GB"/>
          </w:rPr>
          <w:tab/>
        </w:r>
        <w:r w:rsidRPr="00D11610">
          <w:rPr>
            <w:rStyle w:val="Hyperlink"/>
            <w:noProof/>
          </w:rPr>
          <w:t>Introduction</w:t>
        </w:r>
        <w:r>
          <w:rPr>
            <w:noProof/>
            <w:webHidden/>
          </w:rPr>
          <w:tab/>
        </w:r>
        <w:r>
          <w:rPr>
            <w:noProof/>
            <w:webHidden/>
          </w:rPr>
          <w:fldChar w:fldCharType="begin"/>
        </w:r>
        <w:r>
          <w:rPr>
            <w:noProof/>
            <w:webHidden/>
          </w:rPr>
          <w:instrText xml:space="preserve"> PAGEREF _Toc44515951 \h </w:instrText>
        </w:r>
        <w:r>
          <w:rPr>
            <w:noProof/>
            <w:webHidden/>
          </w:rPr>
        </w:r>
        <w:r>
          <w:rPr>
            <w:noProof/>
            <w:webHidden/>
          </w:rPr>
          <w:fldChar w:fldCharType="separate"/>
        </w:r>
        <w:r>
          <w:rPr>
            <w:noProof/>
            <w:webHidden/>
          </w:rPr>
          <w:t>8</w:t>
        </w:r>
        <w:r>
          <w:rPr>
            <w:noProof/>
            <w:webHidden/>
          </w:rPr>
          <w:fldChar w:fldCharType="end"/>
        </w:r>
      </w:hyperlink>
    </w:p>
    <w:p w14:paraId="30AEA5B9" w14:textId="34EF7DF5" w:rsidR="00152A4A" w:rsidRDefault="00152A4A">
      <w:pPr>
        <w:pStyle w:val="TOC2"/>
        <w:tabs>
          <w:tab w:val="left" w:pos="880"/>
          <w:tab w:val="right" w:leader="dot" w:pos="9016"/>
        </w:tabs>
        <w:rPr>
          <w:rFonts w:eastAsiaTheme="minorEastAsia"/>
          <w:smallCaps w:val="0"/>
          <w:noProof/>
          <w:sz w:val="22"/>
          <w:szCs w:val="22"/>
          <w:lang w:eastAsia="en-GB"/>
        </w:rPr>
      </w:pPr>
      <w:hyperlink w:anchor="_Toc44515952" w:history="1">
        <w:r w:rsidRPr="00D11610">
          <w:rPr>
            <w:rStyle w:val="Hyperlink"/>
            <w:noProof/>
          </w:rPr>
          <w:t>1.1</w:t>
        </w:r>
        <w:r>
          <w:rPr>
            <w:rFonts w:eastAsiaTheme="minorEastAsia"/>
            <w:smallCaps w:val="0"/>
            <w:noProof/>
            <w:sz w:val="22"/>
            <w:szCs w:val="22"/>
            <w:lang w:eastAsia="en-GB"/>
          </w:rPr>
          <w:tab/>
        </w:r>
        <w:r w:rsidRPr="00D11610">
          <w:rPr>
            <w:rStyle w:val="Hyperlink"/>
            <w:noProof/>
          </w:rPr>
          <w:t>Purpose and Scope</w:t>
        </w:r>
        <w:r>
          <w:rPr>
            <w:noProof/>
            <w:webHidden/>
          </w:rPr>
          <w:tab/>
        </w:r>
        <w:r>
          <w:rPr>
            <w:noProof/>
            <w:webHidden/>
          </w:rPr>
          <w:fldChar w:fldCharType="begin"/>
        </w:r>
        <w:r>
          <w:rPr>
            <w:noProof/>
            <w:webHidden/>
          </w:rPr>
          <w:instrText xml:space="preserve"> PAGEREF _Toc44515952 \h </w:instrText>
        </w:r>
        <w:r>
          <w:rPr>
            <w:noProof/>
            <w:webHidden/>
          </w:rPr>
        </w:r>
        <w:r>
          <w:rPr>
            <w:noProof/>
            <w:webHidden/>
          </w:rPr>
          <w:fldChar w:fldCharType="separate"/>
        </w:r>
        <w:r>
          <w:rPr>
            <w:noProof/>
            <w:webHidden/>
          </w:rPr>
          <w:t>8</w:t>
        </w:r>
        <w:r>
          <w:rPr>
            <w:noProof/>
            <w:webHidden/>
          </w:rPr>
          <w:fldChar w:fldCharType="end"/>
        </w:r>
      </w:hyperlink>
    </w:p>
    <w:p w14:paraId="3718651A" w14:textId="302DADAE" w:rsidR="00152A4A" w:rsidRDefault="00152A4A">
      <w:pPr>
        <w:pStyle w:val="TOC2"/>
        <w:tabs>
          <w:tab w:val="left" w:pos="880"/>
          <w:tab w:val="right" w:leader="dot" w:pos="9016"/>
        </w:tabs>
        <w:rPr>
          <w:rFonts w:eastAsiaTheme="minorEastAsia"/>
          <w:smallCaps w:val="0"/>
          <w:noProof/>
          <w:sz w:val="22"/>
          <w:szCs w:val="22"/>
          <w:lang w:eastAsia="en-GB"/>
        </w:rPr>
      </w:pPr>
      <w:hyperlink w:anchor="_Toc44515953" w:history="1">
        <w:r w:rsidRPr="00D11610">
          <w:rPr>
            <w:rStyle w:val="Hyperlink"/>
            <w:noProof/>
          </w:rPr>
          <w:t>1.2</w:t>
        </w:r>
        <w:r>
          <w:rPr>
            <w:rFonts w:eastAsiaTheme="minorEastAsia"/>
            <w:smallCaps w:val="0"/>
            <w:noProof/>
            <w:sz w:val="22"/>
            <w:szCs w:val="22"/>
            <w:lang w:eastAsia="en-GB"/>
          </w:rPr>
          <w:tab/>
        </w:r>
        <w:r w:rsidRPr="00D11610">
          <w:rPr>
            <w:rStyle w:val="Hyperlink"/>
            <w:noProof/>
          </w:rPr>
          <w:t>Overview of FRM Requirements</w:t>
        </w:r>
        <w:r>
          <w:rPr>
            <w:noProof/>
            <w:webHidden/>
          </w:rPr>
          <w:tab/>
        </w:r>
        <w:r>
          <w:rPr>
            <w:noProof/>
            <w:webHidden/>
          </w:rPr>
          <w:fldChar w:fldCharType="begin"/>
        </w:r>
        <w:r>
          <w:rPr>
            <w:noProof/>
            <w:webHidden/>
          </w:rPr>
          <w:instrText xml:space="preserve"> PAGEREF _Toc44515953 \h </w:instrText>
        </w:r>
        <w:r>
          <w:rPr>
            <w:noProof/>
            <w:webHidden/>
          </w:rPr>
        </w:r>
        <w:r>
          <w:rPr>
            <w:noProof/>
            <w:webHidden/>
          </w:rPr>
          <w:fldChar w:fldCharType="separate"/>
        </w:r>
        <w:r>
          <w:rPr>
            <w:noProof/>
            <w:webHidden/>
          </w:rPr>
          <w:t>8</w:t>
        </w:r>
        <w:r>
          <w:rPr>
            <w:noProof/>
            <w:webHidden/>
          </w:rPr>
          <w:fldChar w:fldCharType="end"/>
        </w:r>
      </w:hyperlink>
    </w:p>
    <w:p w14:paraId="3DEB6771" w14:textId="3080AEBC"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54" w:history="1">
        <w:r w:rsidRPr="00D11610">
          <w:rPr>
            <w:rStyle w:val="Hyperlink"/>
            <w:noProof/>
          </w:rPr>
          <w:t>2</w:t>
        </w:r>
        <w:r>
          <w:rPr>
            <w:rFonts w:eastAsiaTheme="minorEastAsia"/>
            <w:b w:val="0"/>
            <w:bCs w:val="0"/>
            <w:caps w:val="0"/>
            <w:noProof/>
            <w:sz w:val="22"/>
            <w:szCs w:val="22"/>
            <w:lang w:eastAsia="en-GB"/>
          </w:rPr>
          <w:tab/>
        </w:r>
        <w:r w:rsidRPr="00D11610">
          <w:rPr>
            <w:rStyle w:val="Hyperlink"/>
            <w:noProof/>
          </w:rPr>
          <w:t>FAPAR and CCC Terminology</w:t>
        </w:r>
        <w:r>
          <w:rPr>
            <w:noProof/>
            <w:webHidden/>
          </w:rPr>
          <w:tab/>
        </w:r>
        <w:r>
          <w:rPr>
            <w:noProof/>
            <w:webHidden/>
          </w:rPr>
          <w:fldChar w:fldCharType="begin"/>
        </w:r>
        <w:r>
          <w:rPr>
            <w:noProof/>
            <w:webHidden/>
          </w:rPr>
          <w:instrText xml:space="preserve"> PAGEREF _Toc44515954 \h </w:instrText>
        </w:r>
        <w:r>
          <w:rPr>
            <w:noProof/>
            <w:webHidden/>
          </w:rPr>
        </w:r>
        <w:r>
          <w:rPr>
            <w:noProof/>
            <w:webHidden/>
          </w:rPr>
          <w:fldChar w:fldCharType="separate"/>
        </w:r>
        <w:r>
          <w:rPr>
            <w:noProof/>
            <w:webHidden/>
          </w:rPr>
          <w:t>10</w:t>
        </w:r>
        <w:r>
          <w:rPr>
            <w:noProof/>
            <w:webHidden/>
          </w:rPr>
          <w:fldChar w:fldCharType="end"/>
        </w:r>
      </w:hyperlink>
    </w:p>
    <w:p w14:paraId="0AEC4175" w14:textId="12F6543E" w:rsidR="00152A4A" w:rsidRDefault="00152A4A">
      <w:pPr>
        <w:pStyle w:val="TOC2"/>
        <w:tabs>
          <w:tab w:val="left" w:pos="880"/>
          <w:tab w:val="right" w:leader="dot" w:pos="9016"/>
        </w:tabs>
        <w:rPr>
          <w:rFonts w:eastAsiaTheme="minorEastAsia"/>
          <w:smallCaps w:val="0"/>
          <w:noProof/>
          <w:sz w:val="22"/>
          <w:szCs w:val="22"/>
          <w:lang w:eastAsia="en-GB"/>
        </w:rPr>
      </w:pPr>
      <w:hyperlink w:anchor="_Toc44515955" w:history="1">
        <w:r w:rsidRPr="00D11610">
          <w:rPr>
            <w:rStyle w:val="Hyperlink"/>
            <w:noProof/>
          </w:rPr>
          <w:t>2.1</w:t>
        </w:r>
        <w:r>
          <w:rPr>
            <w:rFonts w:eastAsiaTheme="minorEastAsia"/>
            <w:smallCaps w:val="0"/>
            <w:noProof/>
            <w:sz w:val="22"/>
            <w:szCs w:val="22"/>
            <w:lang w:eastAsia="en-GB"/>
          </w:rPr>
          <w:tab/>
        </w:r>
        <w:r w:rsidRPr="00D11610">
          <w:rPr>
            <w:rStyle w:val="Hyperlink"/>
            <w:noProof/>
          </w:rPr>
          <w:t>FAPAR</w:t>
        </w:r>
        <w:r>
          <w:rPr>
            <w:noProof/>
            <w:webHidden/>
          </w:rPr>
          <w:tab/>
        </w:r>
        <w:r>
          <w:rPr>
            <w:noProof/>
            <w:webHidden/>
          </w:rPr>
          <w:fldChar w:fldCharType="begin"/>
        </w:r>
        <w:r>
          <w:rPr>
            <w:noProof/>
            <w:webHidden/>
          </w:rPr>
          <w:instrText xml:space="preserve"> PAGEREF _Toc44515955 \h </w:instrText>
        </w:r>
        <w:r>
          <w:rPr>
            <w:noProof/>
            <w:webHidden/>
          </w:rPr>
        </w:r>
        <w:r>
          <w:rPr>
            <w:noProof/>
            <w:webHidden/>
          </w:rPr>
          <w:fldChar w:fldCharType="separate"/>
        </w:r>
        <w:r>
          <w:rPr>
            <w:noProof/>
            <w:webHidden/>
          </w:rPr>
          <w:t>10</w:t>
        </w:r>
        <w:r>
          <w:rPr>
            <w:noProof/>
            <w:webHidden/>
          </w:rPr>
          <w:fldChar w:fldCharType="end"/>
        </w:r>
      </w:hyperlink>
    </w:p>
    <w:p w14:paraId="2497CC18" w14:textId="6598D6E4"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56" w:history="1">
        <w:r w:rsidRPr="00D11610">
          <w:rPr>
            <w:rStyle w:val="Hyperlink"/>
            <w:noProof/>
          </w:rPr>
          <w:t>2.1.1</w:t>
        </w:r>
        <w:r>
          <w:rPr>
            <w:rFonts w:eastAsiaTheme="minorEastAsia"/>
            <w:i w:val="0"/>
            <w:iCs w:val="0"/>
            <w:noProof/>
            <w:sz w:val="22"/>
            <w:szCs w:val="22"/>
            <w:lang w:eastAsia="en-GB"/>
          </w:rPr>
          <w:tab/>
        </w:r>
        <w:r w:rsidRPr="00D11610">
          <w:rPr>
            <w:rStyle w:val="Hyperlink"/>
            <w:noProof/>
          </w:rPr>
          <w:t>FAPAR Principles of Measurement</w:t>
        </w:r>
        <w:r>
          <w:rPr>
            <w:noProof/>
            <w:webHidden/>
          </w:rPr>
          <w:tab/>
        </w:r>
        <w:r>
          <w:rPr>
            <w:noProof/>
            <w:webHidden/>
          </w:rPr>
          <w:fldChar w:fldCharType="begin"/>
        </w:r>
        <w:r>
          <w:rPr>
            <w:noProof/>
            <w:webHidden/>
          </w:rPr>
          <w:instrText xml:space="preserve"> PAGEREF _Toc44515956 \h </w:instrText>
        </w:r>
        <w:r>
          <w:rPr>
            <w:noProof/>
            <w:webHidden/>
          </w:rPr>
        </w:r>
        <w:r>
          <w:rPr>
            <w:noProof/>
            <w:webHidden/>
          </w:rPr>
          <w:fldChar w:fldCharType="separate"/>
        </w:r>
        <w:r>
          <w:rPr>
            <w:noProof/>
            <w:webHidden/>
          </w:rPr>
          <w:t>10</w:t>
        </w:r>
        <w:r>
          <w:rPr>
            <w:noProof/>
            <w:webHidden/>
          </w:rPr>
          <w:fldChar w:fldCharType="end"/>
        </w:r>
      </w:hyperlink>
    </w:p>
    <w:p w14:paraId="6E7D7D19" w14:textId="1CC64B1B"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57" w:history="1">
        <w:r w:rsidRPr="00D11610">
          <w:rPr>
            <w:rStyle w:val="Hyperlink"/>
            <w:noProof/>
          </w:rPr>
          <w:t>2.1.2</w:t>
        </w:r>
        <w:r>
          <w:rPr>
            <w:rFonts w:eastAsiaTheme="minorEastAsia"/>
            <w:i w:val="0"/>
            <w:iCs w:val="0"/>
            <w:noProof/>
            <w:sz w:val="22"/>
            <w:szCs w:val="22"/>
            <w:lang w:eastAsia="en-GB"/>
          </w:rPr>
          <w:tab/>
        </w:r>
        <w:r w:rsidRPr="00D11610">
          <w:rPr>
            <w:rStyle w:val="Hyperlink"/>
            <w:noProof/>
          </w:rPr>
          <w:t>The Two Flux Approach: FIPAR</w:t>
        </w:r>
        <w:r>
          <w:rPr>
            <w:noProof/>
            <w:webHidden/>
          </w:rPr>
          <w:tab/>
        </w:r>
        <w:r>
          <w:rPr>
            <w:noProof/>
            <w:webHidden/>
          </w:rPr>
          <w:fldChar w:fldCharType="begin"/>
        </w:r>
        <w:r>
          <w:rPr>
            <w:noProof/>
            <w:webHidden/>
          </w:rPr>
          <w:instrText xml:space="preserve"> PAGEREF _Toc44515957 \h </w:instrText>
        </w:r>
        <w:r>
          <w:rPr>
            <w:noProof/>
            <w:webHidden/>
          </w:rPr>
        </w:r>
        <w:r>
          <w:rPr>
            <w:noProof/>
            <w:webHidden/>
          </w:rPr>
          <w:fldChar w:fldCharType="separate"/>
        </w:r>
        <w:r>
          <w:rPr>
            <w:noProof/>
            <w:webHidden/>
          </w:rPr>
          <w:t>12</w:t>
        </w:r>
        <w:r>
          <w:rPr>
            <w:noProof/>
            <w:webHidden/>
          </w:rPr>
          <w:fldChar w:fldCharType="end"/>
        </w:r>
      </w:hyperlink>
    </w:p>
    <w:p w14:paraId="5F3513C1" w14:textId="66421325"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58" w:history="1">
        <w:r w:rsidRPr="00D11610">
          <w:rPr>
            <w:rStyle w:val="Hyperlink"/>
            <w:noProof/>
          </w:rPr>
          <w:t>2.1.3</w:t>
        </w:r>
        <w:r>
          <w:rPr>
            <w:rFonts w:eastAsiaTheme="minorEastAsia"/>
            <w:i w:val="0"/>
            <w:iCs w:val="0"/>
            <w:noProof/>
            <w:sz w:val="22"/>
            <w:szCs w:val="22"/>
            <w:lang w:eastAsia="en-GB"/>
          </w:rPr>
          <w:tab/>
        </w:r>
        <w:r w:rsidRPr="00D11610">
          <w:rPr>
            <w:rStyle w:val="Hyperlink"/>
            <w:noProof/>
          </w:rPr>
          <w:t>Multi-angular Measurements of Canopy Transmittance/Gap Fraction</w:t>
        </w:r>
        <w:r>
          <w:rPr>
            <w:noProof/>
            <w:webHidden/>
          </w:rPr>
          <w:tab/>
        </w:r>
        <w:r>
          <w:rPr>
            <w:noProof/>
            <w:webHidden/>
          </w:rPr>
          <w:fldChar w:fldCharType="begin"/>
        </w:r>
        <w:r>
          <w:rPr>
            <w:noProof/>
            <w:webHidden/>
          </w:rPr>
          <w:instrText xml:space="preserve"> PAGEREF _Toc44515958 \h </w:instrText>
        </w:r>
        <w:r>
          <w:rPr>
            <w:noProof/>
            <w:webHidden/>
          </w:rPr>
        </w:r>
        <w:r>
          <w:rPr>
            <w:noProof/>
            <w:webHidden/>
          </w:rPr>
          <w:fldChar w:fldCharType="separate"/>
        </w:r>
        <w:r>
          <w:rPr>
            <w:noProof/>
            <w:webHidden/>
          </w:rPr>
          <w:t>13</w:t>
        </w:r>
        <w:r>
          <w:rPr>
            <w:noProof/>
            <w:webHidden/>
          </w:rPr>
          <w:fldChar w:fldCharType="end"/>
        </w:r>
      </w:hyperlink>
    </w:p>
    <w:p w14:paraId="1243ADB4" w14:textId="2CA52C04" w:rsidR="00152A4A" w:rsidRDefault="00152A4A">
      <w:pPr>
        <w:pStyle w:val="TOC2"/>
        <w:tabs>
          <w:tab w:val="left" w:pos="880"/>
          <w:tab w:val="right" w:leader="dot" w:pos="9016"/>
        </w:tabs>
        <w:rPr>
          <w:rFonts w:eastAsiaTheme="minorEastAsia"/>
          <w:smallCaps w:val="0"/>
          <w:noProof/>
          <w:sz w:val="22"/>
          <w:szCs w:val="22"/>
          <w:lang w:eastAsia="en-GB"/>
        </w:rPr>
      </w:pPr>
      <w:hyperlink w:anchor="_Toc44515959" w:history="1">
        <w:r w:rsidRPr="00D11610">
          <w:rPr>
            <w:rStyle w:val="Hyperlink"/>
            <w:noProof/>
          </w:rPr>
          <w:t>2.2</w:t>
        </w:r>
        <w:r>
          <w:rPr>
            <w:rFonts w:eastAsiaTheme="minorEastAsia"/>
            <w:smallCaps w:val="0"/>
            <w:noProof/>
            <w:sz w:val="22"/>
            <w:szCs w:val="22"/>
            <w:lang w:eastAsia="en-GB"/>
          </w:rPr>
          <w:tab/>
        </w:r>
        <w:r w:rsidRPr="00D11610">
          <w:rPr>
            <w:rStyle w:val="Hyperlink"/>
            <w:noProof/>
          </w:rPr>
          <w:t>CCC</w:t>
        </w:r>
        <w:r>
          <w:rPr>
            <w:noProof/>
            <w:webHidden/>
          </w:rPr>
          <w:tab/>
        </w:r>
        <w:r>
          <w:rPr>
            <w:noProof/>
            <w:webHidden/>
          </w:rPr>
          <w:fldChar w:fldCharType="begin"/>
        </w:r>
        <w:r>
          <w:rPr>
            <w:noProof/>
            <w:webHidden/>
          </w:rPr>
          <w:instrText xml:space="preserve"> PAGEREF _Toc44515959 \h </w:instrText>
        </w:r>
        <w:r>
          <w:rPr>
            <w:noProof/>
            <w:webHidden/>
          </w:rPr>
        </w:r>
        <w:r>
          <w:rPr>
            <w:noProof/>
            <w:webHidden/>
          </w:rPr>
          <w:fldChar w:fldCharType="separate"/>
        </w:r>
        <w:r>
          <w:rPr>
            <w:noProof/>
            <w:webHidden/>
          </w:rPr>
          <w:t>15</w:t>
        </w:r>
        <w:r>
          <w:rPr>
            <w:noProof/>
            <w:webHidden/>
          </w:rPr>
          <w:fldChar w:fldCharType="end"/>
        </w:r>
      </w:hyperlink>
    </w:p>
    <w:p w14:paraId="496B9D05" w14:textId="35584F1D"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60" w:history="1">
        <w:r w:rsidRPr="00D11610">
          <w:rPr>
            <w:rStyle w:val="Hyperlink"/>
            <w:noProof/>
          </w:rPr>
          <w:t>2.2.1</w:t>
        </w:r>
        <w:r>
          <w:rPr>
            <w:rFonts w:eastAsiaTheme="minorEastAsia"/>
            <w:i w:val="0"/>
            <w:iCs w:val="0"/>
            <w:noProof/>
            <w:sz w:val="22"/>
            <w:szCs w:val="22"/>
            <w:lang w:eastAsia="en-GB"/>
          </w:rPr>
          <w:tab/>
        </w:r>
        <w:r w:rsidRPr="00D11610">
          <w:rPr>
            <w:rStyle w:val="Hyperlink"/>
            <w:noProof/>
          </w:rPr>
          <w:t>LAI Principles of Measurement</w:t>
        </w:r>
        <w:r>
          <w:rPr>
            <w:noProof/>
            <w:webHidden/>
          </w:rPr>
          <w:tab/>
        </w:r>
        <w:r>
          <w:rPr>
            <w:noProof/>
            <w:webHidden/>
          </w:rPr>
          <w:fldChar w:fldCharType="begin"/>
        </w:r>
        <w:r>
          <w:rPr>
            <w:noProof/>
            <w:webHidden/>
          </w:rPr>
          <w:instrText xml:space="preserve"> PAGEREF _Toc44515960 \h </w:instrText>
        </w:r>
        <w:r>
          <w:rPr>
            <w:noProof/>
            <w:webHidden/>
          </w:rPr>
        </w:r>
        <w:r>
          <w:rPr>
            <w:noProof/>
            <w:webHidden/>
          </w:rPr>
          <w:fldChar w:fldCharType="separate"/>
        </w:r>
        <w:r>
          <w:rPr>
            <w:noProof/>
            <w:webHidden/>
          </w:rPr>
          <w:t>15</w:t>
        </w:r>
        <w:r>
          <w:rPr>
            <w:noProof/>
            <w:webHidden/>
          </w:rPr>
          <w:fldChar w:fldCharType="end"/>
        </w:r>
      </w:hyperlink>
    </w:p>
    <w:p w14:paraId="40739F5C" w14:textId="4F2FE360"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65" w:history="1">
        <w:r w:rsidRPr="00D11610">
          <w:rPr>
            <w:rStyle w:val="Hyperlink"/>
            <w:noProof/>
          </w:rPr>
          <w:t>2.2.2</w:t>
        </w:r>
        <w:r>
          <w:rPr>
            <w:rFonts w:eastAsiaTheme="minorEastAsia"/>
            <w:i w:val="0"/>
            <w:iCs w:val="0"/>
            <w:noProof/>
            <w:sz w:val="22"/>
            <w:szCs w:val="22"/>
            <w:lang w:eastAsia="en-GB"/>
          </w:rPr>
          <w:tab/>
        </w:r>
        <w:r w:rsidRPr="00D11610">
          <w:rPr>
            <w:rStyle w:val="Hyperlink"/>
            <w:noProof/>
          </w:rPr>
          <w:t>LCC Principles of Measurement</w:t>
        </w:r>
        <w:r>
          <w:rPr>
            <w:noProof/>
            <w:webHidden/>
          </w:rPr>
          <w:tab/>
        </w:r>
        <w:r>
          <w:rPr>
            <w:noProof/>
            <w:webHidden/>
          </w:rPr>
          <w:fldChar w:fldCharType="begin"/>
        </w:r>
        <w:r>
          <w:rPr>
            <w:noProof/>
            <w:webHidden/>
          </w:rPr>
          <w:instrText xml:space="preserve"> PAGEREF _Toc44515965 \h </w:instrText>
        </w:r>
        <w:r>
          <w:rPr>
            <w:noProof/>
            <w:webHidden/>
          </w:rPr>
        </w:r>
        <w:r>
          <w:rPr>
            <w:noProof/>
            <w:webHidden/>
          </w:rPr>
          <w:fldChar w:fldCharType="separate"/>
        </w:r>
        <w:r>
          <w:rPr>
            <w:noProof/>
            <w:webHidden/>
          </w:rPr>
          <w:t>18</w:t>
        </w:r>
        <w:r>
          <w:rPr>
            <w:noProof/>
            <w:webHidden/>
          </w:rPr>
          <w:fldChar w:fldCharType="end"/>
        </w:r>
      </w:hyperlink>
    </w:p>
    <w:p w14:paraId="2EB55E65" w14:textId="3AC4D115"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66" w:history="1">
        <w:r w:rsidRPr="00D11610">
          <w:rPr>
            <w:rStyle w:val="Hyperlink"/>
            <w:noProof/>
          </w:rPr>
          <w:t>3</w:t>
        </w:r>
        <w:r>
          <w:rPr>
            <w:rFonts w:eastAsiaTheme="minorEastAsia"/>
            <w:b w:val="0"/>
            <w:bCs w:val="0"/>
            <w:caps w:val="0"/>
            <w:noProof/>
            <w:sz w:val="22"/>
            <w:szCs w:val="22"/>
            <w:lang w:eastAsia="en-GB"/>
          </w:rPr>
          <w:tab/>
        </w:r>
        <w:r w:rsidRPr="00D11610">
          <w:rPr>
            <w:rStyle w:val="Hyperlink"/>
            <w:noProof/>
          </w:rPr>
          <w:t>Measurement Instrumentation</w:t>
        </w:r>
        <w:r>
          <w:rPr>
            <w:noProof/>
            <w:webHidden/>
          </w:rPr>
          <w:tab/>
        </w:r>
        <w:r>
          <w:rPr>
            <w:noProof/>
            <w:webHidden/>
          </w:rPr>
          <w:fldChar w:fldCharType="begin"/>
        </w:r>
        <w:r>
          <w:rPr>
            <w:noProof/>
            <w:webHidden/>
          </w:rPr>
          <w:instrText xml:space="preserve"> PAGEREF _Toc44515966 \h </w:instrText>
        </w:r>
        <w:r>
          <w:rPr>
            <w:noProof/>
            <w:webHidden/>
          </w:rPr>
        </w:r>
        <w:r>
          <w:rPr>
            <w:noProof/>
            <w:webHidden/>
          </w:rPr>
          <w:fldChar w:fldCharType="separate"/>
        </w:r>
        <w:r>
          <w:rPr>
            <w:noProof/>
            <w:webHidden/>
          </w:rPr>
          <w:t>21</w:t>
        </w:r>
        <w:r>
          <w:rPr>
            <w:noProof/>
            <w:webHidden/>
          </w:rPr>
          <w:fldChar w:fldCharType="end"/>
        </w:r>
      </w:hyperlink>
    </w:p>
    <w:p w14:paraId="7EF31796" w14:textId="031C268B" w:rsidR="00152A4A" w:rsidRDefault="00152A4A">
      <w:pPr>
        <w:pStyle w:val="TOC2"/>
        <w:tabs>
          <w:tab w:val="left" w:pos="880"/>
          <w:tab w:val="right" w:leader="dot" w:pos="9016"/>
        </w:tabs>
        <w:rPr>
          <w:rFonts w:eastAsiaTheme="minorEastAsia"/>
          <w:smallCaps w:val="0"/>
          <w:noProof/>
          <w:sz w:val="22"/>
          <w:szCs w:val="22"/>
          <w:lang w:eastAsia="en-GB"/>
        </w:rPr>
      </w:pPr>
      <w:hyperlink w:anchor="_Toc44515967" w:history="1">
        <w:r w:rsidRPr="00D11610">
          <w:rPr>
            <w:rStyle w:val="Hyperlink"/>
            <w:noProof/>
          </w:rPr>
          <w:t>3.1</w:t>
        </w:r>
        <w:r>
          <w:rPr>
            <w:rFonts w:eastAsiaTheme="minorEastAsia"/>
            <w:smallCaps w:val="0"/>
            <w:noProof/>
            <w:sz w:val="22"/>
            <w:szCs w:val="22"/>
            <w:lang w:eastAsia="en-GB"/>
          </w:rPr>
          <w:tab/>
        </w:r>
        <w:r w:rsidRPr="00D11610">
          <w:rPr>
            <w:rStyle w:val="Hyperlink"/>
            <w:noProof/>
          </w:rPr>
          <w:t>LI-COR LAI-2200C Plant Canopy Analyser</w:t>
        </w:r>
        <w:r>
          <w:rPr>
            <w:noProof/>
            <w:webHidden/>
          </w:rPr>
          <w:tab/>
        </w:r>
        <w:r>
          <w:rPr>
            <w:noProof/>
            <w:webHidden/>
          </w:rPr>
          <w:fldChar w:fldCharType="begin"/>
        </w:r>
        <w:r>
          <w:rPr>
            <w:noProof/>
            <w:webHidden/>
          </w:rPr>
          <w:instrText xml:space="preserve"> PAGEREF _Toc44515967 \h </w:instrText>
        </w:r>
        <w:r>
          <w:rPr>
            <w:noProof/>
            <w:webHidden/>
          </w:rPr>
        </w:r>
        <w:r>
          <w:rPr>
            <w:noProof/>
            <w:webHidden/>
          </w:rPr>
          <w:fldChar w:fldCharType="separate"/>
        </w:r>
        <w:r>
          <w:rPr>
            <w:noProof/>
            <w:webHidden/>
          </w:rPr>
          <w:t>21</w:t>
        </w:r>
        <w:r>
          <w:rPr>
            <w:noProof/>
            <w:webHidden/>
          </w:rPr>
          <w:fldChar w:fldCharType="end"/>
        </w:r>
      </w:hyperlink>
    </w:p>
    <w:p w14:paraId="4EDCDFF6" w14:textId="361F53B7" w:rsidR="00152A4A" w:rsidRDefault="00152A4A">
      <w:pPr>
        <w:pStyle w:val="TOC2"/>
        <w:tabs>
          <w:tab w:val="left" w:pos="880"/>
          <w:tab w:val="right" w:leader="dot" w:pos="9016"/>
        </w:tabs>
        <w:rPr>
          <w:rFonts w:eastAsiaTheme="minorEastAsia"/>
          <w:smallCaps w:val="0"/>
          <w:noProof/>
          <w:sz w:val="22"/>
          <w:szCs w:val="22"/>
          <w:lang w:eastAsia="en-GB"/>
        </w:rPr>
      </w:pPr>
      <w:hyperlink w:anchor="_Toc44515968" w:history="1">
        <w:r w:rsidRPr="00D11610">
          <w:rPr>
            <w:rStyle w:val="Hyperlink"/>
            <w:noProof/>
          </w:rPr>
          <w:t>3.2</w:t>
        </w:r>
        <w:r>
          <w:rPr>
            <w:rFonts w:eastAsiaTheme="minorEastAsia"/>
            <w:smallCaps w:val="0"/>
            <w:noProof/>
            <w:sz w:val="22"/>
            <w:szCs w:val="22"/>
            <w:lang w:eastAsia="en-GB"/>
          </w:rPr>
          <w:tab/>
        </w:r>
        <w:r w:rsidRPr="00D11610">
          <w:rPr>
            <w:rStyle w:val="Hyperlink"/>
            <w:noProof/>
          </w:rPr>
          <w:t>DSLR Camera and Fisheye Lens for DHP</w:t>
        </w:r>
        <w:r>
          <w:rPr>
            <w:noProof/>
            <w:webHidden/>
          </w:rPr>
          <w:tab/>
        </w:r>
        <w:r>
          <w:rPr>
            <w:noProof/>
            <w:webHidden/>
          </w:rPr>
          <w:fldChar w:fldCharType="begin"/>
        </w:r>
        <w:r>
          <w:rPr>
            <w:noProof/>
            <w:webHidden/>
          </w:rPr>
          <w:instrText xml:space="preserve"> PAGEREF _Toc44515968 \h </w:instrText>
        </w:r>
        <w:r>
          <w:rPr>
            <w:noProof/>
            <w:webHidden/>
          </w:rPr>
        </w:r>
        <w:r>
          <w:rPr>
            <w:noProof/>
            <w:webHidden/>
          </w:rPr>
          <w:fldChar w:fldCharType="separate"/>
        </w:r>
        <w:r>
          <w:rPr>
            <w:noProof/>
            <w:webHidden/>
          </w:rPr>
          <w:t>22</w:t>
        </w:r>
        <w:r>
          <w:rPr>
            <w:noProof/>
            <w:webHidden/>
          </w:rPr>
          <w:fldChar w:fldCharType="end"/>
        </w:r>
      </w:hyperlink>
    </w:p>
    <w:p w14:paraId="0A88AD9F" w14:textId="77ABB209" w:rsidR="00152A4A" w:rsidRDefault="00152A4A">
      <w:pPr>
        <w:pStyle w:val="TOC2"/>
        <w:tabs>
          <w:tab w:val="left" w:pos="880"/>
          <w:tab w:val="right" w:leader="dot" w:pos="9016"/>
        </w:tabs>
        <w:rPr>
          <w:rFonts w:eastAsiaTheme="minorEastAsia"/>
          <w:smallCaps w:val="0"/>
          <w:noProof/>
          <w:sz w:val="22"/>
          <w:szCs w:val="22"/>
          <w:lang w:eastAsia="en-GB"/>
        </w:rPr>
      </w:pPr>
      <w:hyperlink w:anchor="_Toc44515969" w:history="1">
        <w:r w:rsidRPr="00D11610">
          <w:rPr>
            <w:rStyle w:val="Hyperlink"/>
            <w:noProof/>
          </w:rPr>
          <w:t>3.3</w:t>
        </w:r>
        <w:r>
          <w:rPr>
            <w:rFonts w:eastAsiaTheme="minorEastAsia"/>
            <w:smallCaps w:val="0"/>
            <w:noProof/>
            <w:sz w:val="22"/>
            <w:szCs w:val="22"/>
            <w:lang w:eastAsia="en-GB"/>
          </w:rPr>
          <w:tab/>
        </w:r>
        <w:r w:rsidRPr="00D11610">
          <w:rPr>
            <w:rStyle w:val="Hyperlink"/>
            <w:noProof/>
          </w:rPr>
          <w:t>Konica Minolta SPAD-502 Chlorophyll Meter</w:t>
        </w:r>
        <w:r>
          <w:rPr>
            <w:noProof/>
            <w:webHidden/>
          </w:rPr>
          <w:tab/>
        </w:r>
        <w:r>
          <w:rPr>
            <w:noProof/>
            <w:webHidden/>
          </w:rPr>
          <w:fldChar w:fldCharType="begin"/>
        </w:r>
        <w:r>
          <w:rPr>
            <w:noProof/>
            <w:webHidden/>
          </w:rPr>
          <w:instrText xml:space="preserve"> PAGEREF _Toc44515969 \h </w:instrText>
        </w:r>
        <w:r>
          <w:rPr>
            <w:noProof/>
            <w:webHidden/>
          </w:rPr>
        </w:r>
        <w:r>
          <w:rPr>
            <w:noProof/>
            <w:webHidden/>
          </w:rPr>
          <w:fldChar w:fldCharType="separate"/>
        </w:r>
        <w:r>
          <w:rPr>
            <w:noProof/>
            <w:webHidden/>
          </w:rPr>
          <w:t>22</w:t>
        </w:r>
        <w:r>
          <w:rPr>
            <w:noProof/>
            <w:webHidden/>
          </w:rPr>
          <w:fldChar w:fldCharType="end"/>
        </w:r>
      </w:hyperlink>
    </w:p>
    <w:p w14:paraId="38796AA7" w14:textId="44B8F353" w:rsidR="00152A4A" w:rsidRDefault="00152A4A">
      <w:pPr>
        <w:pStyle w:val="TOC2"/>
        <w:tabs>
          <w:tab w:val="left" w:pos="880"/>
          <w:tab w:val="right" w:leader="dot" w:pos="9016"/>
        </w:tabs>
        <w:rPr>
          <w:rFonts w:eastAsiaTheme="minorEastAsia"/>
          <w:smallCaps w:val="0"/>
          <w:noProof/>
          <w:sz w:val="22"/>
          <w:szCs w:val="22"/>
          <w:lang w:eastAsia="en-GB"/>
        </w:rPr>
      </w:pPr>
      <w:hyperlink w:anchor="_Toc44515970" w:history="1">
        <w:r w:rsidRPr="00D11610">
          <w:rPr>
            <w:rStyle w:val="Hyperlink"/>
            <w:noProof/>
          </w:rPr>
          <w:t>3.4</w:t>
        </w:r>
        <w:r>
          <w:rPr>
            <w:rFonts w:eastAsiaTheme="minorEastAsia"/>
            <w:smallCaps w:val="0"/>
            <w:noProof/>
            <w:sz w:val="22"/>
            <w:szCs w:val="22"/>
            <w:lang w:eastAsia="en-GB"/>
          </w:rPr>
          <w:tab/>
        </w:r>
        <w:r w:rsidRPr="00D11610">
          <w:rPr>
            <w:rStyle w:val="Hyperlink"/>
            <w:noProof/>
          </w:rPr>
          <w:t>SQ-110 PAR Sensor</w:t>
        </w:r>
        <w:r>
          <w:rPr>
            <w:noProof/>
            <w:webHidden/>
          </w:rPr>
          <w:tab/>
        </w:r>
        <w:r>
          <w:rPr>
            <w:noProof/>
            <w:webHidden/>
          </w:rPr>
          <w:fldChar w:fldCharType="begin"/>
        </w:r>
        <w:r>
          <w:rPr>
            <w:noProof/>
            <w:webHidden/>
          </w:rPr>
          <w:instrText xml:space="preserve"> PAGEREF _Toc44515970 \h </w:instrText>
        </w:r>
        <w:r>
          <w:rPr>
            <w:noProof/>
            <w:webHidden/>
          </w:rPr>
        </w:r>
        <w:r>
          <w:rPr>
            <w:noProof/>
            <w:webHidden/>
          </w:rPr>
          <w:fldChar w:fldCharType="separate"/>
        </w:r>
        <w:r>
          <w:rPr>
            <w:noProof/>
            <w:webHidden/>
          </w:rPr>
          <w:t>23</w:t>
        </w:r>
        <w:r>
          <w:rPr>
            <w:noProof/>
            <w:webHidden/>
          </w:rPr>
          <w:fldChar w:fldCharType="end"/>
        </w:r>
      </w:hyperlink>
    </w:p>
    <w:p w14:paraId="24FD63DC" w14:textId="6E85488B" w:rsidR="00152A4A" w:rsidRDefault="00152A4A">
      <w:pPr>
        <w:pStyle w:val="TOC2"/>
        <w:tabs>
          <w:tab w:val="left" w:pos="880"/>
          <w:tab w:val="right" w:leader="dot" w:pos="9016"/>
        </w:tabs>
        <w:rPr>
          <w:rFonts w:eastAsiaTheme="minorEastAsia"/>
          <w:smallCaps w:val="0"/>
          <w:noProof/>
          <w:sz w:val="22"/>
          <w:szCs w:val="22"/>
          <w:lang w:eastAsia="en-GB"/>
        </w:rPr>
      </w:pPr>
      <w:hyperlink w:anchor="_Toc44515971" w:history="1">
        <w:r w:rsidRPr="00D11610">
          <w:rPr>
            <w:rStyle w:val="Hyperlink"/>
            <w:noProof/>
          </w:rPr>
          <w:t>3.5</w:t>
        </w:r>
        <w:r>
          <w:rPr>
            <w:rFonts w:eastAsiaTheme="minorEastAsia"/>
            <w:smallCaps w:val="0"/>
            <w:noProof/>
            <w:sz w:val="22"/>
            <w:szCs w:val="22"/>
            <w:lang w:eastAsia="en-GB"/>
          </w:rPr>
          <w:tab/>
        </w:r>
        <w:r w:rsidRPr="00D11610">
          <w:rPr>
            <w:rStyle w:val="Hyperlink"/>
            <w:noProof/>
          </w:rPr>
          <w:t>AccuPAR PAR/LAI Ceptometer LP-80</w:t>
        </w:r>
        <w:r>
          <w:rPr>
            <w:noProof/>
            <w:webHidden/>
          </w:rPr>
          <w:tab/>
        </w:r>
        <w:r>
          <w:rPr>
            <w:noProof/>
            <w:webHidden/>
          </w:rPr>
          <w:fldChar w:fldCharType="begin"/>
        </w:r>
        <w:r>
          <w:rPr>
            <w:noProof/>
            <w:webHidden/>
          </w:rPr>
          <w:instrText xml:space="preserve"> PAGEREF _Toc44515971 \h </w:instrText>
        </w:r>
        <w:r>
          <w:rPr>
            <w:noProof/>
            <w:webHidden/>
          </w:rPr>
        </w:r>
        <w:r>
          <w:rPr>
            <w:noProof/>
            <w:webHidden/>
          </w:rPr>
          <w:fldChar w:fldCharType="separate"/>
        </w:r>
        <w:r>
          <w:rPr>
            <w:noProof/>
            <w:webHidden/>
          </w:rPr>
          <w:t>23</w:t>
        </w:r>
        <w:r>
          <w:rPr>
            <w:noProof/>
            <w:webHidden/>
          </w:rPr>
          <w:fldChar w:fldCharType="end"/>
        </w:r>
      </w:hyperlink>
    </w:p>
    <w:p w14:paraId="27ECA493" w14:textId="250B1C71"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72" w:history="1">
        <w:r w:rsidRPr="00D11610">
          <w:rPr>
            <w:rStyle w:val="Hyperlink"/>
            <w:noProof/>
          </w:rPr>
          <w:t>4</w:t>
        </w:r>
        <w:r>
          <w:rPr>
            <w:rFonts w:eastAsiaTheme="minorEastAsia"/>
            <w:b w:val="0"/>
            <w:bCs w:val="0"/>
            <w:caps w:val="0"/>
            <w:noProof/>
            <w:sz w:val="22"/>
            <w:szCs w:val="22"/>
            <w:lang w:eastAsia="en-GB"/>
          </w:rPr>
          <w:tab/>
        </w:r>
        <w:r w:rsidRPr="00D11610">
          <w:rPr>
            <w:rStyle w:val="Hyperlink"/>
            <w:noProof/>
          </w:rPr>
          <w:t>Instrument Calibration</w:t>
        </w:r>
        <w:r>
          <w:rPr>
            <w:noProof/>
            <w:webHidden/>
          </w:rPr>
          <w:tab/>
        </w:r>
        <w:r>
          <w:rPr>
            <w:noProof/>
            <w:webHidden/>
          </w:rPr>
          <w:fldChar w:fldCharType="begin"/>
        </w:r>
        <w:r>
          <w:rPr>
            <w:noProof/>
            <w:webHidden/>
          </w:rPr>
          <w:instrText xml:space="preserve"> PAGEREF _Toc44515972 \h </w:instrText>
        </w:r>
        <w:r>
          <w:rPr>
            <w:noProof/>
            <w:webHidden/>
          </w:rPr>
        </w:r>
        <w:r>
          <w:rPr>
            <w:noProof/>
            <w:webHidden/>
          </w:rPr>
          <w:fldChar w:fldCharType="separate"/>
        </w:r>
        <w:r>
          <w:rPr>
            <w:noProof/>
            <w:webHidden/>
          </w:rPr>
          <w:t>25</w:t>
        </w:r>
        <w:r>
          <w:rPr>
            <w:noProof/>
            <w:webHidden/>
          </w:rPr>
          <w:fldChar w:fldCharType="end"/>
        </w:r>
      </w:hyperlink>
    </w:p>
    <w:p w14:paraId="3C7250FA" w14:textId="7BB8EBA2" w:rsidR="00152A4A" w:rsidRDefault="00152A4A">
      <w:pPr>
        <w:pStyle w:val="TOC2"/>
        <w:tabs>
          <w:tab w:val="left" w:pos="880"/>
          <w:tab w:val="right" w:leader="dot" w:pos="9016"/>
        </w:tabs>
        <w:rPr>
          <w:rFonts w:eastAsiaTheme="minorEastAsia"/>
          <w:smallCaps w:val="0"/>
          <w:noProof/>
          <w:sz w:val="22"/>
          <w:szCs w:val="22"/>
          <w:lang w:eastAsia="en-GB"/>
        </w:rPr>
      </w:pPr>
      <w:hyperlink w:anchor="_Toc44515973" w:history="1">
        <w:r w:rsidRPr="00D11610">
          <w:rPr>
            <w:rStyle w:val="Hyperlink"/>
            <w:noProof/>
          </w:rPr>
          <w:t>4.1</w:t>
        </w:r>
        <w:r>
          <w:rPr>
            <w:rFonts w:eastAsiaTheme="minorEastAsia"/>
            <w:smallCaps w:val="0"/>
            <w:noProof/>
            <w:sz w:val="22"/>
            <w:szCs w:val="22"/>
            <w:lang w:eastAsia="en-GB"/>
          </w:rPr>
          <w:tab/>
        </w:r>
        <w:r w:rsidRPr="00D11610">
          <w:rPr>
            <w:rStyle w:val="Hyperlink"/>
            <w:noProof/>
          </w:rPr>
          <w:t>Quantum Sensor Calibration</w:t>
        </w:r>
        <w:r>
          <w:rPr>
            <w:noProof/>
            <w:webHidden/>
          </w:rPr>
          <w:tab/>
        </w:r>
        <w:r>
          <w:rPr>
            <w:noProof/>
            <w:webHidden/>
          </w:rPr>
          <w:fldChar w:fldCharType="begin"/>
        </w:r>
        <w:r>
          <w:rPr>
            <w:noProof/>
            <w:webHidden/>
          </w:rPr>
          <w:instrText xml:space="preserve"> PAGEREF _Toc44515973 \h </w:instrText>
        </w:r>
        <w:r>
          <w:rPr>
            <w:noProof/>
            <w:webHidden/>
          </w:rPr>
        </w:r>
        <w:r>
          <w:rPr>
            <w:noProof/>
            <w:webHidden/>
          </w:rPr>
          <w:fldChar w:fldCharType="separate"/>
        </w:r>
        <w:r>
          <w:rPr>
            <w:noProof/>
            <w:webHidden/>
          </w:rPr>
          <w:t>25</w:t>
        </w:r>
        <w:r>
          <w:rPr>
            <w:noProof/>
            <w:webHidden/>
          </w:rPr>
          <w:fldChar w:fldCharType="end"/>
        </w:r>
      </w:hyperlink>
    </w:p>
    <w:p w14:paraId="08995BCB" w14:textId="6782A335" w:rsidR="00152A4A" w:rsidRDefault="00152A4A">
      <w:pPr>
        <w:pStyle w:val="TOC2"/>
        <w:tabs>
          <w:tab w:val="left" w:pos="880"/>
          <w:tab w:val="right" w:leader="dot" w:pos="9016"/>
        </w:tabs>
        <w:rPr>
          <w:rFonts w:eastAsiaTheme="minorEastAsia"/>
          <w:smallCaps w:val="0"/>
          <w:noProof/>
          <w:sz w:val="22"/>
          <w:szCs w:val="22"/>
          <w:lang w:eastAsia="en-GB"/>
        </w:rPr>
      </w:pPr>
      <w:hyperlink w:anchor="_Toc44515974" w:history="1">
        <w:r w:rsidRPr="00D11610">
          <w:rPr>
            <w:rStyle w:val="Hyperlink"/>
            <w:noProof/>
          </w:rPr>
          <w:t>4.2</w:t>
        </w:r>
        <w:r>
          <w:rPr>
            <w:rFonts w:eastAsiaTheme="minorEastAsia"/>
            <w:smallCaps w:val="0"/>
            <w:noProof/>
            <w:sz w:val="22"/>
            <w:szCs w:val="22"/>
            <w:lang w:eastAsia="en-GB"/>
          </w:rPr>
          <w:tab/>
        </w:r>
        <w:r w:rsidRPr="00D11610">
          <w:rPr>
            <w:rStyle w:val="Hyperlink"/>
            <w:noProof/>
          </w:rPr>
          <w:t>LAI-2200C Calibration</w:t>
        </w:r>
        <w:r>
          <w:rPr>
            <w:noProof/>
            <w:webHidden/>
          </w:rPr>
          <w:tab/>
        </w:r>
        <w:r>
          <w:rPr>
            <w:noProof/>
            <w:webHidden/>
          </w:rPr>
          <w:fldChar w:fldCharType="begin"/>
        </w:r>
        <w:r>
          <w:rPr>
            <w:noProof/>
            <w:webHidden/>
          </w:rPr>
          <w:instrText xml:space="preserve"> PAGEREF _Toc44515974 \h </w:instrText>
        </w:r>
        <w:r>
          <w:rPr>
            <w:noProof/>
            <w:webHidden/>
          </w:rPr>
        </w:r>
        <w:r>
          <w:rPr>
            <w:noProof/>
            <w:webHidden/>
          </w:rPr>
          <w:fldChar w:fldCharType="separate"/>
        </w:r>
        <w:r>
          <w:rPr>
            <w:noProof/>
            <w:webHidden/>
          </w:rPr>
          <w:t>27</w:t>
        </w:r>
        <w:r>
          <w:rPr>
            <w:noProof/>
            <w:webHidden/>
          </w:rPr>
          <w:fldChar w:fldCharType="end"/>
        </w:r>
      </w:hyperlink>
    </w:p>
    <w:p w14:paraId="7E632D78" w14:textId="0AF2C58A" w:rsidR="00152A4A" w:rsidRDefault="00152A4A">
      <w:pPr>
        <w:pStyle w:val="TOC2"/>
        <w:tabs>
          <w:tab w:val="left" w:pos="880"/>
          <w:tab w:val="right" w:leader="dot" w:pos="9016"/>
        </w:tabs>
        <w:rPr>
          <w:rFonts w:eastAsiaTheme="minorEastAsia"/>
          <w:smallCaps w:val="0"/>
          <w:noProof/>
          <w:sz w:val="22"/>
          <w:szCs w:val="22"/>
          <w:lang w:eastAsia="en-GB"/>
        </w:rPr>
      </w:pPr>
      <w:hyperlink w:anchor="_Toc44515975" w:history="1">
        <w:r w:rsidRPr="00D11610">
          <w:rPr>
            <w:rStyle w:val="Hyperlink"/>
            <w:noProof/>
          </w:rPr>
          <w:t>4.3</w:t>
        </w:r>
        <w:r>
          <w:rPr>
            <w:rFonts w:eastAsiaTheme="minorEastAsia"/>
            <w:smallCaps w:val="0"/>
            <w:noProof/>
            <w:sz w:val="22"/>
            <w:szCs w:val="22"/>
            <w:lang w:eastAsia="en-GB"/>
          </w:rPr>
          <w:tab/>
        </w:r>
        <w:r w:rsidRPr="00D11610">
          <w:rPr>
            <w:rStyle w:val="Hyperlink"/>
            <w:noProof/>
          </w:rPr>
          <w:t>DHP Calibration</w:t>
        </w:r>
        <w:r>
          <w:rPr>
            <w:noProof/>
            <w:webHidden/>
          </w:rPr>
          <w:tab/>
        </w:r>
        <w:r>
          <w:rPr>
            <w:noProof/>
            <w:webHidden/>
          </w:rPr>
          <w:fldChar w:fldCharType="begin"/>
        </w:r>
        <w:r>
          <w:rPr>
            <w:noProof/>
            <w:webHidden/>
          </w:rPr>
          <w:instrText xml:space="preserve"> PAGEREF _Toc44515975 \h </w:instrText>
        </w:r>
        <w:r>
          <w:rPr>
            <w:noProof/>
            <w:webHidden/>
          </w:rPr>
        </w:r>
        <w:r>
          <w:rPr>
            <w:noProof/>
            <w:webHidden/>
          </w:rPr>
          <w:fldChar w:fldCharType="separate"/>
        </w:r>
        <w:r>
          <w:rPr>
            <w:noProof/>
            <w:webHidden/>
          </w:rPr>
          <w:t>27</w:t>
        </w:r>
        <w:r>
          <w:rPr>
            <w:noProof/>
            <w:webHidden/>
          </w:rPr>
          <w:fldChar w:fldCharType="end"/>
        </w:r>
      </w:hyperlink>
    </w:p>
    <w:p w14:paraId="3DD453AC" w14:textId="512B68DC" w:rsidR="00152A4A" w:rsidRDefault="00152A4A">
      <w:pPr>
        <w:pStyle w:val="TOC2"/>
        <w:tabs>
          <w:tab w:val="left" w:pos="880"/>
          <w:tab w:val="right" w:leader="dot" w:pos="9016"/>
        </w:tabs>
        <w:rPr>
          <w:rFonts w:eastAsiaTheme="minorEastAsia"/>
          <w:smallCaps w:val="0"/>
          <w:noProof/>
          <w:sz w:val="22"/>
          <w:szCs w:val="22"/>
          <w:lang w:eastAsia="en-GB"/>
        </w:rPr>
      </w:pPr>
      <w:hyperlink w:anchor="_Toc44515976" w:history="1">
        <w:r w:rsidRPr="00D11610">
          <w:rPr>
            <w:rStyle w:val="Hyperlink"/>
            <w:noProof/>
          </w:rPr>
          <w:t>4.4</w:t>
        </w:r>
        <w:r>
          <w:rPr>
            <w:rFonts w:eastAsiaTheme="minorEastAsia"/>
            <w:smallCaps w:val="0"/>
            <w:noProof/>
            <w:sz w:val="22"/>
            <w:szCs w:val="22"/>
            <w:lang w:eastAsia="en-GB"/>
          </w:rPr>
          <w:tab/>
        </w:r>
        <w:r w:rsidRPr="00D11610">
          <w:rPr>
            <w:rStyle w:val="Hyperlink"/>
            <w:noProof/>
          </w:rPr>
          <w:t>Optical Chlorophyll Meter Calibration</w:t>
        </w:r>
        <w:r>
          <w:rPr>
            <w:noProof/>
            <w:webHidden/>
          </w:rPr>
          <w:tab/>
        </w:r>
        <w:r>
          <w:rPr>
            <w:noProof/>
            <w:webHidden/>
          </w:rPr>
          <w:fldChar w:fldCharType="begin"/>
        </w:r>
        <w:r>
          <w:rPr>
            <w:noProof/>
            <w:webHidden/>
          </w:rPr>
          <w:instrText xml:space="preserve"> PAGEREF _Toc44515976 \h </w:instrText>
        </w:r>
        <w:r>
          <w:rPr>
            <w:noProof/>
            <w:webHidden/>
          </w:rPr>
        </w:r>
        <w:r>
          <w:rPr>
            <w:noProof/>
            <w:webHidden/>
          </w:rPr>
          <w:fldChar w:fldCharType="separate"/>
        </w:r>
        <w:r>
          <w:rPr>
            <w:noProof/>
            <w:webHidden/>
          </w:rPr>
          <w:t>28</w:t>
        </w:r>
        <w:r>
          <w:rPr>
            <w:noProof/>
            <w:webHidden/>
          </w:rPr>
          <w:fldChar w:fldCharType="end"/>
        </w:r>
      </w:hyperlink>
    </w:p>
    <w:p w14:paraId="159AC9B9" w14:textId="56AFB518" w:rsidR="00152A4A" w:rsidRDefault="00152A4A">
      <w:pPr>
        <w:pStyle w:val="TOC2"/>
        <w:tabs>
          <w:tab w:val="left" w:pos="880"/>
          <w:tab w:val="right" w:leader="dot" w:pos="9016"/>
        </w:tabs>
        <w:rPr>
          <w:rFonts w:eastAsiaTheme="minorEastAsia"/>
          <w:smallCaps w:val="0"/>
          <w:noProof/>
          <w:sz w:val="22"/>
          <w:szCs w:val="22"/>
          <w:lang w:eastAsia="en-GB"/>
        </w:rPr>
      </w:pPr>
      <w:hyperlink w:anchor="_Toc44515977" w:history="1">
        <w:r w:rsidRPr="00D11610">
          <w:rPr>
            <w:rStyle w:val="Hyperlink"/>
            <w:noProof/>
          </w:rPr>
          <w:t>4.5</w:t>
        </w:r>
        <w:r>
          <w:rPr>
            <w:rFonts w:eastAsiaTheme="minorEastAsia"/>
            <w:smallCaps w:val="0"/>
            <w:noProof/>
            <w:sz w:val="22"/>
            <w:szCs w:val="22"/>
            <w:lang w:eastAsia="en-GB"/>
          </w:rPr>
          <w:tab/>
        </w:r>
        <w:r w:rsidRPr="00D11610">
          <w:rPr>
            <w:rStyle w:val="Hyperlink"/>
            <w:noProof/>
          </w:rPr>
          <w:t>AccuPAR LP-80 Calibration</w:t>
        </w:r>
        <w:r>
          <w:rPr>
            <w:noProof/>
            <w:webHidden/>
          </w:rPr>
          <w:tab/>
        </w:r>
        <w:r>
          <w:rPr>
            <w:noProof/>
            <w:webHidden/>
          </w:rPr>
          <w:fldChar w:fldCharType="begin"/>
        </w:r>
        <w:r>
          <w:rPr>
            <w:noProof/>
            <w:webHidden/>
          </w:rPr>
          <w:instrText xml:space="preserve"> PAGEREF _Toc44515977 \h </w:instrText>
        </w:r>
        <w:r>
          <w:rPr>
            <w:noProof/>
            <w:webHidden/>
          </w:rPr>
        </w:r>
        <w:r>
          <w:rPr>
            <w:noProof/>
            <w:webHidden/>
          </w:rPr>
          <w:fldChar w:fldCharType="separate"/>
        </w:r>
        <w:r>
          <w:rPr>
            <w:noProof/>
            <w:webHidden/>
          </w:rPr>
          <w:t>30</w:t>
        </w:r>
        <w:r>
          <w:rPr>
            <w:noProof/>
            <w:webHidden/>
          </w:rPr>
          <w:fldChar w:fldCharType="end"/>
        </w:r>
      </w:hyperlink>
    </w:p>
    <w:p w14:paraId="6E3988AF" w14:textId="6E38611C"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78" w:history="1">
        <w:r w:rsidRPr="00D11610">
          <w:rPr>
            <w:rStyle w:val="Hyperlink"/>
            <w:noProof/>
          </w:rPr>
          <w:t>5</w:t>
        </w:r>
        <w:r>
          <w:rPr>
            <w:rFonts w:eastAsiaTheme="minorEastAsia"/>
            <w:b w:val="0"/>
            <w:bCs w:val="0"/>
            <w:caps w:val="0"/>
            <w:noProof/>
            <w:sz w:val="22"/>
            <w:szCs w:val="22"/>
            <w:lang w:eastAsia="en-GB"/>
          </w:rPr>
          <w:tab/>
        </w:r>
        <w:r w:rsidRPr="00D11610">
          <w:rPr>
            <w:rStyle w:val="Hyperlink"/>
            <w:noProof/>
          </w:rPr>
          <w:t>Criteria for FRMs</w:t>
        </w:r>
        <w:r>
          <w:rPr>
            <w:noProof/>
            <w:webHidden/>
          </w:rPr>
          <w:tab/>
        </w:r>
        <w:r>
          <w:rPr>
            <w:noProof/>
            <w:webHidden/>
          </w:rPr>
          <w:fldChar w:fldCharType="begin"/>
        </w:r>
        <w:r>
          <w:rPr>
            <w:noProof/>
            <w:webHidden/>
          </w:rPr>
          <w:instrText xml:space="preserve"> PAGEREF _Toc44515978 \h </w:instrText>
        </w:r>
        <w:r>
          <w:rPr>
            <w:noProof/>
            <w:webHidden/>
          </w:rPr>
        </w:r>
        <w:r>
          <w:rPr>
            <w:noProof/>
            <w:webHidden/>
          </w:rPr>
          <w:fldChar w:fldCharType="separate"/>
        </w:r>
        <w:r>
          <w:rPr>
            <w:noProof/>
            <w:webHidden/>
          </w:rPr>
          <w:t>31</w:t>
        </w:r>
        <w:r>
          <w:rPr>
            <w:noProof/>
            <w:webHidden/>
          </w:rPr>
          <w:fldChar w:fldCharType="end"/>
        </w:r>
      </w:hyperlink>
    </w:p>
    <w:p w14:paraId="303D908B" w14:textId="40FEAC98" w:rsidR="00152A4A" w:rsidRDefault="00152A4A">
      <w:pPr>
        <w:pStyle w:val="TOC2"/>
        <w:tabs>
          <w:tab w:val="left" w:pos="880"/>
          <w:tab w:val="right" w:leader="dot" w:pos="9016"/>
        </w:tabs>
        <w:rPr>
          <w:rFonts w:eastAsiaTheme="minorEastAsia"/>
          <w:smallCaps w:val="0"/>
          <w:noProof/>
          <w:sz w:val="22"/>
          <w:szCs w:val="22"/>
          <w:lang w:eastAsia="en-GB"/>
        </w:rPr>
      </w:pPr>
      <w:hyperlink w:anchor="_Toc44515979" w:history="1">
        <w:r w:rsidRPr="00D11610">
          <w:rPr>
            <w:rStyle w:val="Hyperlink"/>
            <w:noProof/>
          </w:rPr>
          <w:t>5.1</w:t>
        </w:r>
        <w:r>
          <w:rPr>
            <w:rFonts w:eastAsiaTheme="minorEastAsia"/>
            <w:smallCaps w:val="0"/>
            <w:noProof/>
            <w:sz w:val="22"/>
            <w:szCs w:val="22"/>
            <w:lang w:eastAsia="en-GB"/>
          </w:rPr>
          <w:tab/>
        </w:r>
        <w:r w:rsidRPr="00D11610">
          <w:rPr>
            <w:rStyle w:val="Hyperlink"/>
            <w:noProof/>
          </w:rPr>
          <w:t>Criteria for Field Campaigns</w:t>
        </w:r>
        <w:r>
          <w:rPr>
            <w:noProof/>
            <w:webHidden/>
          </w:rPr>
          <w:tab/>
        </w:r>
        <w:r>
          <w:rPr>
            <w:noProof/>
            <w:webHidden/>
          </w:rPr>
          <w:fldChar w:fldCharType="begin"/>
        </w:r>
        <w:r>
          <w:rPr>
            <w:noProof/>
            <w:webHidden/>
          </w:rPr>
          <w:instrText xml:space="preserve"> PAGEREF _Toc44515979 \h </w:instrText>
        </w:r>
        <w:r>
          <w:rPr>
            <w:noProof/>
            <w:webHidden/>
          </w:rPr>
        </w:r>
        <w:r>
          <w:rPr>
            <w:noProof/>
            <w:webHidden/>
          </w:rPr>
          <w:fldChar w:fldCharType="separate"/>
        </w:r>
        <w:r>
          <w:rPr>
            <w:noProof/>
            <w:webHidden/>
          </w:rPr>
          <w:t>31</w:t>
        </w:r>
        <w:r>
          <w:rPr>
            <w:noProof/>
            <w:webHidden/>
          </w:rPr>
          <w:fldChar w:fldCharType="end"/>
        </w:r>
      </w:hyperlink>
    </w:p>
    <w:p w14:paraId="44DEFEC9" w14:textId="52CEB7B4"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80" w:history="1">
        <w:r w:rsidRPr="00D11610">
          <w:rPr>
            <w:rStyle w:val="Hyperlink"/>
            <w:noProof/>
            <w:lang w:eastAsia="en-GB"/>
          </w:rPr>
          <w:t>5.1.1</w:t>
        </w:r>
        <w:r>
          <w:rPr>
            <w:rFonts w:eastAsiaTheme="minorEastAsia"/>
            <w:i w:val="0"/>
            <w:iCs w:val="0"/>
            <w:noProof/>
            <w:sz w:val="22"/>
            <w:szCs w:val="22"/>
            <w:lang w:eastAsia="en-GB"/>
          </w:rPr>
          <w:tab/>
        </w:r>
        <w:r w:rsidRPr="00D11610">
          <w:rPr>
            <w:rStyle w:val="Hyperlink"/>
            <w:noProof/>
            <w:lang w:eastAsia="en-GB"/>
          </w:rPr>
          <w:t xml:space="preserve">Selection of </w:t>
        </w:r>
        <w:r w:rsidRPr="00D11610">
          <w:rPr>
            <w:rStyle w:val="Hyperlink"/>
            <w:noProof/>
          </w:rPr>
          <w:t>Field</w:t>
        </w:r>
        <w:r w:rsidRPr="00D11610">
          <w:rPr>
            <w:rStyle w:val="Hyperlink"/>
            <w:noProof/>
            <w:lang w:eastAsia="en-GB"/>
          </w:rPr>
          <w:t xml:space="preserve"> Sites</w:t>
        </w:r>
        <w:r>
          <w:rPr>
            <w:noProof/>
            <w:webHidden/>
          </w:rPr>
          <w:tab/>
        </w:r>
        <w:r>
          <w:rPr>
            <w:noProof/>
            <w:webHidden/>
          </w:rPr>
          <w:fldChar w:fldCharType="begin"/>
        </w:r>
        <w:r>
          <w:rPr>
            <w:noProof/>
            <w:webHidden/>
          </w:rPr>
          <w:instrText xml:space="preserve"> PAGEREF _Toc44515980 \h </w:instrText>
        </w:r>
        <w:r>
          <w:rPr>
            <w:noProof/>
            <w:webHidden/>
          </w:rPr>
        </w:r>
        <w:r>
          <w:rPr>
            <w:noProof/>
            <w:webHidden/>
          </w:rPr>
          <w:fldChar w:fldCharType="separate"/>
        </w:r>
        <w:r>
          <w:rPr>
            <w:noProof/>
            <w:webHidden/>
          </w:rPr>
          <w:t>31</w:t>
        </w:r>
        <w:r>
          <w:rPr>
            <w:noProof/>
            <w:webHidden/>
          </w:rPr>
          <w:fldChar w:fldCharType="end"/>
        </w:r>
      </w:hyperlink>
    </w:p>
    <w:p w14:paraId="39E13A24" w14:textId="441A6004"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81" w:history="1">
        <w:r w:rsidRPr="00D11610">
          <w:rPr>
            <w:rStyle w:val="Hyperlink"/>
            <w:noProof/>
            <w:lang w:eastAsia="en-GB"/>
          </w:rPr>
          <w:t>5.1.2</w:t>
        </w:r>
        <w:r>
          <w:rPr>
            <w:rFonts w:eastAsiaTheme="minorEastAsia"/>
            <w:i w:val="0"/>
            <w:iCs w:val="0"/>
            <w:noProof/>
            <w:sz w:val="22"/>
            <w:szCs w:val="22"/>
            <w:lang w:eastAsia="en-GB"/>
          </w:rPr>
          <w:tab/>
        </w:r>
        <w:r w:rsidRPr="00D11610">
          <w:rPr>
            <w:rStyle w:val="Hyperlink"/>
            <w:noProof/>
            <w:lang w:eastAsia="en-GB"/>
          </w:rPr>
          <w:t>Sampling Strategy</w:t>
        </w:r>
        <w:r>
          <w:rPr>
            <w:noProof/>
            <w:webHidden/>
          </w:rPr>
          <w:tab/>
        </w:r>
        <w:r>
          <w:rPr>
            <w:noProof/>
            <w:webHidden/>
          </w:rPr>
          <w:fldChar w:fldCharType="begin"/>
        </w:r>
        <w:r>
          <w:rPr>
            <w:noProof/>
            <w:webHidden/>
          </w:rPr>
          <w:instrText xml:space="preserve"> PAGEREF _Toc44515981 \h </w:instrText>
        </w:r>
        <w:r>
          <w:rPr>
            <w:noProof/>
            <w:webHidden/>
          </w:rPr>
        </w:r>
        <w:r>
          <w:rPr>
            <w:noProof/>
            <w:webHidden/>
          </w:rPr>
          <w:fldChar w:fldCharType="separate"/>
        </w:r>
        <w:r>
          <w:rPr>
            <w:noProof/>
            <w:webHidden/>
          </w:rPr>
          <w:t>32</w:t>
        </w:r>
        <w:r>
          <w:rPr>
            <w:noProof/>
            <w:webHidden/>
          </w:rPr>
          <w:fldChar w:fldCharType="end"/>
        </w:r>
      </w:hyperlink>
    </w:p>
    <w:p w14:paraId="108037BF" w14:textId="2016B482"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82" w:history="1">
        <w:r w:rsidRPr="00D11610">
          <w:rPr>
            <w:rStyle w:val="Hyperlink"/>
            <w:noProof/>
            <w:lang w:eastAsia="en-GB"/>
          </w:rPr>
          <w:t>5.1.3</w:t>
        </w:r>
        <w:r>
          <w:rPr>
            <w:rFonts w:eastAsiaTheme="minorEastAsia"/>
            <w:i w:val="0"/>
            <w:iCs w:val="0"/>
            <w:noProof/>
            <w:sz w:val="22"/>
            <w:szCs w:val="22"/>
            <w:lang w:eastAsia="en-GB"/>
          </w:rPr>
          <w:tab/>
        </w:r>
        <w:r w:rsidRPr="00D11610">
          <w:rPr>
            <w:rStyle w:val="Hyperlink"/>
            <w:noProof/>
            <w:lang w:eastAsia="en-GB"/>
          </w:rPr>
          <w:t>Timing of Field Data Collection</w:t>
        </w:r>
        <w:r>
          <w:rPr>
            <w:noProof/>
            <w:webHidden/>
          </w:rPr>
          <w:tab/>
        </w:r>
        <w:r>
          <w:rPr>
            <w:noProof/>
            <w:webHidden/>
          </w:rPr>
          <w:fldChar w:fldCharType="begin"/>
        </w:r>
        <w:r>
          <w:rPr>
            <w:noProof/>
            <w:webHidden/>
          </w:rPr>
          <w:instrText xml:space="preserve"> PAGEREF _Toc44515982 \h </w:instrText>
        </w:r>
        <w:r>
          <w:rPr>
            <w:noProof/>
            <w:webHidden/>
          </w:rPr>
        </w:r>
        <w:r>
          <w:rPr>
            <w:noProof/>
            <w:webHidden/>
          </w:rPr>
          <w:fldChar w:fldCharType="separate"/>
        </w:r>
        <w:r>
          <w:rPr>
            <w:noProof/>
            <w:webHidden/>
          </w:rPr>
          <w:t>33</w:t>
        </w:r>
        <w:r>
          <w:rPr>
            <w:noProof/>
            <w:webHidden/>
          </w:rPr>
          <w:fldChar w:fldCharType="end"/>
        </w:r>
      </w:hyperlink>
    </w:p>
    <w:p w14:paraId="21E74480" w14:textId="22F0EC81" w:rsidR="00152A4A" w:rsidRDefault="00152A4A">
      <w:pPr>
        <w:pStyle w:val="TOC2"/>
        <w:tabs>
          <w:tab w:val="left" w:pos="880"/>
          <w:tab w:val="right" w:leader="dot" w:pos="9016"/>
        </w:tabs>
        <w:rPr>
          <w:rFonts w:eastAsiaTheme="minorEastAsia"/>
          <w:smallCaps w:val="0"/>
          <w:noProof/>
          <w:sz w:val="22"/>
          <w:szCs w:val="22"/>
          <w:lang w:eastAsia="en-GB"/>
        </w:rPr>
      </w:pPr>
      <w:hyperlink w:anchor="_Toc44515983" w:history="1">
        <w:r w:rsidRPr="00D11610">
          <w:rPr>
            <w:rStyle w:val="Hyperlink"/>
            <w:noProof/>
          </w:rPr>
          <w:t>5.2</w:t>
        </w:r>
        <w:r>
          <w:rPr>
            <w:rFonts w:eastAsiaTheme="minorEastAsia"/>
            <w:smallCaps w:val="0"/>
            <w:noProof/>
            <w:sz w:val="22"/>
            <w:szCs w:val="22"/>
            <w:lang w:eastAsia="en-GB"/>
          </w:rPr>
          <w:tab/>
        </w:r>
        <w:r w:rsidRPr="00D11610">
          <w:rPr>
            <w:rStyle w:val="Hyperlink"/>
            <w:noProof/>
          </w:rPr>
          <w:t>Permanent Field Sites</w:t>
        </w:r>
        <w:r>
          <w:rPr>
            <w:noProof/>
            <w:webHidden/>
          </w:rPr>
          <w:tab/>
        </w:r>
        <w:r>
          <w:rPr>
            <w:noProof/>
            <w:webHidden/>
          </w:rPr>
          <w:fldChar w:fldCharType="begin"/>
        </w:r>
        <w:r>
          <w:rPr>
            <w:noProof/>
            <w:webHidden/>
          </w:rPr>
          <w:instrText xml:space="preserve"> PAGEREF _Toc44515983 \h </w:instrText>
        </w:r>
        <w:r>
          <w:rPr>
            <w:noProof/>
            <w:webHidden/>
          </w:rPr>
        </w:r>
        <w:r>
          <w:rPr>
            <w:noProof/>
            <w:webHidden/>
          </w:rPr>
          <w:fldChar w:fldCharType="separate"/>
        </w:r>
        <w:r>
          <w:rPr>
            <w:noProof/>
            <w:webHidden/>
          </w:rPr>
          <w:t>33</w:t>
        </w:r>
        <w:r>
          <w:rPr>
            <w:noProof/>
            <w:webHidden/>
          </w:rPr>
          <w:fldChar w:fldCharType="end"/>
        </w:r>
      </w:hyperlink>
    </w:p>
    <w:p w14:paraId="403B991F" w14:textId="63F67E4E"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84" w:history="1">
        <w:r w:rsidRPr="00D11610">
          <w:rPr>
            <w:rStyle w:val="Hyperlink"/>
            <w:noProof/>
          </w:rPr>
          <w:t>6</w:t>
        </w:r>
        <w:r>
          <w:rPr>
            <w:rFonts w:eastAsiaTheme="minorEastAsia"/>
            <w:b w:val="0"/>
            <w:bCs w:val="0"/>
            <w:caps w:val="0"/>
            <w:noProof/>
            <w:sz w:val="22"/>
            <w:szCs w:val="22"/>
            <w:lang w:eastAsia="en-GB"/>
          </w:rPr>
          <w:tab/>
        </w:r>
        <w:r w:rsidRPr="00D11610">
          <w:rPr>
            <w:rStyle w:val="Hyperlink"/>
            <w:noProof/>
          </w:rPr>
          <w:t>Traceability, Uncertainty Sources and Propagation</w:t>
        </w:r>
        <w:r>
          <w:rPr>
            <w:noProof/>
            <w:webHidden/>
          </w:rPr>
          <w:tab/>
        </w:r>
        <w:r>
          <w:rPr>
            <w:noProof/>
            <w:webHidden/>
          </w:rPr>
          <w:fldChar w:fldCharType="begin"/>
        </w:r>
        <w:r>
          <w:rPr>
            <w:noProof/>
            <w:webHidden/>
          </w:rPr>
          <w:instrText xml:space="preserve"> PAGEREF _Toc44515984 \h </w:instrText>
        </w:r>
        <w:r>
          <w:rPr>
            <w:noProof/>
            <w:webHidden/>
          </w:rPr>
        </w:r>
        <w:r>
          <w:rPr>
            <w:noProof/>
            <w:webHidden/>
          </w:rPr>
          <w:fldChar w:fldCharType="separate"/>
        </w:r>
        <w:r>
          <w:rPr>
            <w:noProof/>
            <w:webHidden/>
          </w:rPr>
          <w:t>34</w:t>
        </w:r>
        <w:r>
          <w:rPr>
            <w:noProof/>
            <w:webHidden/>
          </w:rPr>
          <w:fldChar w:fldCharType="end"/>
        </w:r>
      </w:hyperlink>
    </w:p>
    <w:p w14:paraId="496E240F" w14:textId="10FCEAC9" w:rsidR="00152A4A" w:rsidRDefault="00152A4A">
      <w:pPr>
        <w:pStyle w:val="TOC2"/>
        <w:tabs>
          <w:tab w:val="left" w:pos="880"/>
          <w:tab w:val="right" w:leader="dot" w:pos="9016"/>
        </w:tabs>
        <w:rPr>
          <w:rFonts w:eastAsiaTheme="minorEastAsia"/>
          <w:smallCaps w:val="0"/>
          <w:noProof/>
          <w:sz w:val="22"/>
          <w:szCs w:val="22"/>
          <w:lang w:eastAsia="en-GB"/>
        </w:rPr>
      </w:pPr>
      <w:hyperlink w:anchor="_Toc44515985" w:history="1">
        <w:r w:rsidRPr="00D11610">
          <w:rPr>
            <w:rStyle w:val="Hyperlink"/>
            <w:noProof/>
          </w:rPr>
          <w:t>6.1</w:t>
        </w:r>
        <w:r>
          <w:rPr>
            <w:rFonts w:eastAsiaTheme="minorEastAsia"/>
            <w:smallCaps w:val="0"/>
            <w:noProof/>
            <w:sz w:val="22"/>
            <w:szCs w:val="22"/>
            <w:lang w:eastAsia="en-GB"/>
          </w:rPr>
          <w:tab/>
        </w:r>
        <w:r w:rsidRPr="00D11610">
          <w:rPr>
            <w:rStyle w:val="Hyperlink"/>
            <w:noProof/>
          </w:rPr>
          <w:t>Uncertainty Sources and Propagation for FAPAR</w:t>
        </w:r>
        <w:r>
          <w:rPr>
            <w:noProof/>
            <w:webHidden/>
          </w:rPr>
          <w:tab/>
        </w:r>
        <w:r>
          <w:rPr>
            <w:noProof/>
            <w:webHidden/>
          </w:rPr>
          <w:fldChar w:fldCharType="begin"/>
        </w:r>
        <w:r>
          <w:rPr>
            <w:noProof/>
            <w:webHidden/>
          </w:rPr>
          <w:instrText xml:space="preserve"> PAGEREF _Toc44515985 \h </w:instrText>
        </w:r>
        <w:r>
          <w:rPr>
            <w:noProof/>
            <w:webHidden/>
          </w:rPr>
        </w:r>
        <w:r>
          <w:rPr>
            <w:noProof/>
            <w:webHidden/>
          </w:rPr>
          <w:fldChar w:fldCharType="separate"/>
        </w:r>
        <w:r>
          <w:rPr>
            <w:noProof/>
            <w:webHidden/>
          </w:rPr>
          <w:t>34</w:t>
        </w:r>
        <w:r>
          <w:rPr>
            <w:noProof/>
            <w:webHidden/>
          </w:rPr>
          <w:fldChar w:fldCharType="end"/>
        </w:r>
      </w:hyperlink>
    </w:p>
    <w:p w14:paraId="216A3F93" w14:textId="7DC9EFF2" w:rsidR="00152A4A" w:rsidRDefault="00152A4A">
      <w:pPr>
        <w:pStyle w:val="TOC2"/>
        <w:tabs>
          <w:tab w:val="left" w:pos="880"/>
          <w:tab w:val="right" w:leader="dot" w:pos="9016"/>
        </w:tabs>
        <w:rPr>
          <w:rFonts w:eastAsiaTheme="minorEastAsia"/>
          <w:smallCaps w:val="0"/>
          <w:noProof/>
          <w:sz w:val="22"/>
          <w:szCs w:val="22"/>
          <w:lang w:eastAsia="en-GB"/>
        </w:rPr>
      </w:pPr>
      <w:hyperlink w:anchor="_Toc44515986" w:history="1">
        <w:r w:rsidRPr="00D11610">
          <w:rPr>
            <w:rStyle w:val="Hyperlink"/>
            <w:noProof/>
          </w:rPr>
          <w:t>6.2</w:t>
        </w:r>
        <w:r>
          <w:rPr>
            <w:rFonts w:eastAsiaTheme="minorEastAsia"/>
            <w:smallCaps w:val="0"/>
            <w:noProof/>
            <w:sz w:val="22"/>
            <w:szCs w:val="22"/>
            <w:lang w:eastAsia="en-GB"/>
          </w:rPr>
          <w:tab/>
        </w:r>
        <w:r w:rsidRPr="00D11610">
          <w:rPr>
            <w:rStyle w:val="Hyperlink"/>
            <w:noProof/>
          </w:rPr>
          <w:t>Uncertainty Sources and Propagation for CCC</w:t>
        </w:r>
        <w:r>
          <w:rPr>
            <w:noProof/>
            <w:webHidden/>
          </w:rPr>
          <w:tab/>
        </w:r>
        <w:r>
          <w:rPr>
            <w:noProof/>
            <w:webHidden/>
          </w:rPr>
          <w:fldChar w:fldCharType="begin"/>
        </w:r>
        <w:r>
          <w:rPr>
            <w:noProof/>
            <w:webHidden/>
          </w:rPr>
          <w:instrText xml:space="preserve"> PAGEREF _Toc44515986 \h </w:instrText>
        </w:r>
        <w:r>
          <w:rPr>
            <w:noProof/>
            <w:webHidden/>
          </w:rPr>
        </w:r>
        <w:r>
          <w:rPr>
            <w:noProof/>
            <w:webHidden/>
          </w:rPr>
          <w:fldChar w:fldCharType="separate"/>
        </w:r>
        <w:r>
          <w:rPr>
            <w:noProof/>
            <w:webHidden/>
          </w:rPr>
          <w:t>38</w:t>
        </w:r>
        <w:r>
          <w:rPr>
            <w:noProof/>
            <w:webHidden/>
          </w:rPr>
          <w:fldChar w:fldCharType="end"/>
        </w:r>
      </w:hyperlink>
    </w:p>
    <w:p w14:paraId="0415A201" w14:textId="00E64810"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87" w:history="1">
        <w:r w:rsidRPr="00D11610">
          <w:rPr>
            <w:rStyle w:val="Hyperlink"/>
            <w:noProof/>
          </w:rPr>
          <w:t>7</w:t>
        </w:r>
        <w:r>
          <w:rPr>
            <w:rFonts w:eastAsiaTheme="minorEastAsia"/>
            <w:b w:val="0"/>
            <w:bCs w:val="0"/>
            <w:caps w:val="0"/>
            <w:noProof/>
            <w:sz w:val="22"/>
            <w:szCs w:val="22"/>
            <w:lang w:eastAsia="en-GB"/>
          </w:rPr>
          <w:tab/>
        </w:r>
        <w:r w:rsidRPr="00D11610">
          <w:rPr>
            <w:rStyle w:val="Hyperlink"/>
            <w:noProof/>
          </w:rPr>
          <w:t>References</w:t>
        </w:r>
        <w:r>
          <w:rPr>
            <w:noProof/>
            <w:webHidden/>
          </w:rPr>
          <w:tab/>
        </w:r>
        <w:r>
          <w:rPr>
            <w:noProof/>
            <w:webHidden/>
          </w:rPr>
          <w:fldChar w:fldCharType="begin"/>
        </w:r>
        <w:r>
          <w:rPr>
            <w:noProof/>
            <w:webHidden/>
          </w:rPr>
          <w:instrText xml:space="preserve"> PAGEREF _Toc44515987 \h </w:instrText>
        </w:r>
        <w:r>
          <w:rPr>
            <w:noProof/>
            <w:webHidden/>
          </w:rPr>
        </w:r>
        <w:r>
          <w:rPr>
            <w:noProof/>
            <w:webHidden/>
          </w:rPr>
          <w:fldChar w:fldCharType="separate"/>
        </w:r>
        <w:r>
          <w:rPr>
            <w:noProof/>
            <w:webHidden/>
          </w:rPr>
          <w:t>45</w:t>
        </w:r>
        <w:r>
          <w:rPr>
            <w:noProof/>
            <w:webHidden/>
          </w:rPr>
          <w:fldChar w:fldCharType="end"/>
        </w:r>
      </w:hyperlink>
    </w:p>
    <w:p w14:paraId="4CF4AB4C" w14:textId="5E54D73A" w:rsidR="00152A4A" w:rsidRDefault="00152A4A">
      <w:pPr>
        <w:pStyle w:val="TOC1"/>
        <w:tabs>
          <w:tab w:val="left" w:pos="440"/>
          <w:tab w:val="right" w:leader="dot" w:pos="9016"/>
        </w:tabs>
        <w:rPr>
          <w:rFonts w:eastAsiaTheme="minorEastAsia"/>
          <w:b w:val="0"/>
          <w:bCs w:val="0"/>
          <w:caps w:val="0"/>
          <w:noProof/>
          <w:sz w:val="22"/>
          <w:szCs w:val="22"/>
          <w:lang w:eastAsia="en-GB"/>
        </w:rPr>
      </w:pPr>
      <w:hyperlink w:anchor="_Toc44515988" w:history="1">
        <w:r w:rsidRPr="00D11610">
          <w:rPr>
            <w:rStyle w:val="Hyperlink"/>
            <w:noProof/>
          </w:rPr>
          <w:t>A</w:t>
        </w:r>
        <w:r>
          <w:rPr>
            <w:rFonts w:eastAsiaTheme="minorEastAsia"/>
            <w:b w:val="0"/>
            <w:bCs w:val="0"/>
            <w:caps w:val="0"/>
            <w:noProof/>
            <w:sz w:val="22"/>
            <w:szCs w:val="22"/>
            <w:lang w:eastAsia="en-GB"/>
          </w:rPr>
          <w:tab/>
        </w:r>
        <w:r w:rsidRPr="00D11610">
          <w:rPr>
            <w:rStyle w:val="Hyperlink"/>
            <w:noProof/>
          </w:rPr>
          <w:t>Appendix</w:t>
        </w:r>
        <w:r>
          <w:rPr>
            <w:noProof/>
            <w:webHidden/>
          </w:rPr>
          <w:tab/>
        </w:r>
        <w:r>
          <w:rPr>
            <w:noProof/>
            <w:webHidden/>
          </w:rPr>
          <w:fldChar w:fldCharType="begin"/>
        </w:r>
        <w:r>
          <w:rPr>
            <w:noProof/>
            <w:webHidden/>
          </w:rPr>
          <w:instrText xml:space="preserve"> PAGEREF _Toc44515988 \h </w:instrText>
        </w:r>
        <w:r>
          <w:rPr>
            <w:noProof/>
            <w:webHidden/>
          </w:rPr>
        </w:r>
        <w:r>
          <w:rPr>
            <w:noProof/>
            <w:webHidden/>
          </w:rPr>
          <w:fldChar w:fldCharType="separate"/>
        </w:r>
        <w:r>
          <w:rPr>
            <w:noProof/>
            <w:webHidden/>
          </w:rPr>
          <w:t>48</w:t>
        </w:r>
        <w:r>
          <w:rPr>
            <w:noProof/>
            <w:webHidden/>
          </w:rPr>
          <w:fldChar w:fldCharType="end"/>
        </w:r>
      </w:hyperlink>
    </w:p>
    <w:p w14:paraId="615C5F85" w14:textId="67ECE411" w:rsidR="00152A4A" w:rsidRDefault="00152A4A">
      <w:pPr>
        <w:pStyle w:val="TOC2"/>
        <w:tabs>
          <w:tab w:val="left" w:pos="880"/>
          <w:tab w:val="right" w:leader="dot" w:pos="9016"/>
        </w:tabs>
        <w:rPr>
          <w:rFonts w:eastAsiaTheme="minorEastAsia"/>
          <w:smallCaps w:val="0"/>
          <w:noProof/>
          <w:sz w:val="22"/>
          <w:szCs w:val="22"/>
          <w:lang w:eastAsia="en-GB"/>
        </w:rPr>
      </w:pPr>
      <w:hyperlink w:anchor="_Toc44515995" w:history="1">
        <w:r w:rsidRPr="00D11610">
          <w:rPr>
            <w:rStyle w:val="Hyperlink"/>
            <w:noProof/>
          </w:rPr>
          <w:t>A.1</w:t>
        </w:r>
        <w:r>
          <w:rPr>
            <w:rFonts w:eastAsiaTheme="minorEastAsia"/>
            <w:smallCaps w:val="0"/>
            <w:noProof/>
            <w:sz w:val="22"/>
            <w:szCs w:val="22"/>
            <w:lang w:eastAsia="en-GB"/>
          </w:rPr>
          <w:tab/>
        </w:r>
        <w:r w:rsidRPr="00D11610">
          <w:rPr>
            <w:rStyle w:val="Hyperlink"/>
            <w:noProof/>
          </w:rPr>
          <w:t>FRM4VEG Phase 1 FAPAR and CCC Campaign at Wytham Woods</w:t>
        </w:r>
        <w:r>
          <w:rPr>
            <w:noProof/>
            <w:webHidden/>
          </w:rPr>
          <w:tab/>
        </w:r>
        <w:r>
          <w:rPr>
            <w:noProof/>
            <w:webHidden/>
          </w:rPr>
          <w:fldChar w:fldCharType="begin"/>
        </w:r>
        <w:r>
          <w:rPr>
            <w:noProof/>
            <w:webHidden/>
          </w:rPr>
          <w:instrText xml:space="preserve"> PAGEREF _Toc44515995 \h </w:instrText>
        </w:r>
        <w:r>
          <w:rPr>
            <w:noProof/>
            <w:webHidden/>
          </w:rPr>
        </w:r>
        <w:r>
          <w:rPr>
            <w:noProof/>
            <w:webHidden/>
          </w:rPr>
          <w:fldChar w:fldCharType="separate"/>
        </w:r>
        <w:r>
          <w:rPr>
            <w:noProof/>
            <w:webHidden/>
          </w:rPr>
          <w:t>48</w:t>
        </w:r>
        <w:r>
          <w:rPr>
            <w:noProof/>
            <w:webHidden/>
          </w:rPr>
          <w:fldChar w:fldCharType="end"/>
        </w:r>
      </w:hyperlink>
    </w:p>
    <w:p w14:paraId="2FC95426" w14:textId="57E65043"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96" w:history="1">
        <w:r w:rsidRPr="00D11610">
          <w:rPr>
            <w:rStyle w:val="Hyperlink"/>
            <w:noProof/>
          </w:rPr>
          <w:t>A.1.1</w:t>
        </w:r>
        <w:r>
          <w:rPr>
            <w:rFonts w:eastAsiaTheme="minorEastAsia"/>
            <w:i w:val="0"/>
            <w:iCs w:val="0"/>
            <w:noProof/>
            <w:sz w:val="22"/>
            <w:szCs w:val="22"/>
            <w:lang w:eastAsia="en-GB"/>
          </w:rPr>
          <w:tab/>
        </w:r>
        <w:r w:rsidRPr="00D11610">
          <w:rPr>
            <w:rStyle w:val="Hyperlink"/>
            <w:noProof/>
          </w:rPr>
          <w:t>Measurement Instrumentation</w:t>
        </w:r>
        <w:r>
          <w:rPr>
            <w:noProof/>
            <w:webHidden/>
          </w:rPr>
          <w:tab/>
        </w:r>
        <w:r>
          <w:rPr>
            <w:noProof/>
            <w:webHidden/>
          </w:rPr>
          <w:fldChar w:fldCharType="begin"/>
        </w:r>
        <w:r>
          <w:rPr>
            <w:noProof/>
            <w:webHidden/>
          </w:rPr>
          <w:instrText xml:space="preserve"> PAGEREF _Toc44515996 \h </w:instrText>
        </w:r>
        <w:r>
          <w:rPr>
            <w:noProof/>
            <w:webHidden/>
          </w:rPr>
        </w:r>
        <w:r>
          <w:rPr>
            <w:noProof/>
            <w:webHidden/>
          </w:rPr>
          <w:fldChar w:fldCharType="separate"/>
        </w:r>
        <w:r>
          <w:rPr>
            <w:noProof/>
            <w:webHidden/>
          </w:rPr>
          <w:t>48</w:t>
        </w:r>
        <w:r>
          <w:rPr>
            <w:noProof/>
            <w:webHidden/>
          </w:rPr>
          <w:fldChar w:fldCharType="end"/>
        </w:r>
      </w:hyperlink>
    </w:p>
    <w:p w14:paraId="59ADFFAF" w14:textId="77D4436B"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97" w:history="1">
        <w:r w:rsidRPr="00D11610">
          <w:rPr>
            <w:rStyle w:val="Hyperlink"/>
            <w:noProof/>
          </w:rPr>
          <w:t>A.1.2</w:t>
        </w:r>
        <w:r>
          <w:rPr>
            <w:rFonts w:eastAsiaTheme="minorEastAsia"/>
            <w:i w:val="0"/>
            <w:iCs w:val="0"/>
            <w:noProof/>
            <w:sz w:val="22"/>
            <w:szCs w:val="22"/>
            <w:lang w:eastAsia="en-GB"/>
          </w:rPr>
          <w:tab/>
        </w:r>
        <w:r w:rsidRPr="00D11610">
          <w:rPr>
            <w:rStyle w:val="Hyperlink"/>
            <w:noProof/>
          </w:rPr>
          <w:t>Instrument Calibration</w:t>
        </w:r>
        <w:r>
          <w:rPr>
            <w:noProof/>
            <w:webHidden/>
          </w:rPr>
          <w:tab/>
        </w:r>
        <w:r>
          <w:rPr>
            <w:noProof/>
            <w:webHidden/>
          </w:rPr>
          <w:fldChar w:fldCharType="begin"/>
        </w:r>
        <w:r>
          <w:rPr>
            <w:noProof/>
            <w:webHidden/>
          </w:rPr>
          <w:instrText xml:space="preserve"> PAGEREF _Toc44515997 \h </w:instrText>
        </w:r>
        <w:r>
          <w:rPr>
            <w:noProof/>
            <w:webHidden/>
          </w:rPr>
        </w:r>
        <w:r>
          <w:rPr>
            <w:noProof/>
            <w:webHidden/>
          </w:rPr>
          <w:fldChar w:fldCharType="separate"/>
        </w:r>
        <w:r>
          <w:rPr>
            <w:noProof/>
            <w:webHidden/>
          </w:rPr>
          <w:t>48</w:t>
        </w:r>
        <w:r>
          <w:rPr>
            <w:noProof/>
            <w:webHidden/>
          </w:rPr>
          <w:fldChar w:fldCharType="end"/>
        </w:r>
      </w:hyperlink>
    </w:p>
    <w:p w14:paraId="0336BA2A" w14:textId="0487BAFA"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98" w:history="1">
        <w:r w:rsidRPr="00D11610">
          <w:rPr>
            <w:rStyle w:val="Hyperlink"/>
            <w:noProof/>
          </w:rPr>
          <w:t>A.1.3</w:t>
        </w:r>
        <w:r>
          <w:rPr>
            <w:rFonts w:eastAsiaTheme="minorEastAsia"/>
            <w:i w:val="0"/>
            <w:iCs w:val="0"/>
            <w:noProof/>
            <w:sz w:val="22"/>
            <w:szCs w:val="22"/>
            <w:lang w:eastAsia="en-GB"/>
          </w:rPr>
          <w:tab/>
        </w:r>
        <w:r w:rsidRPr="00D11610">
          <w:rPr>
            <w:rStyle w:val="Hyperlink"/>
            <w:noProof/>
          </w:rPr>
          <w:t>Selection of the Field Site</w:t>
        </w:r>
        <w:r>
          <w:rPr>
            <w:noProof/>
            <w:webHidden/>
          </w:rPr>
          <w:tab/>
        </w:r>
        <w:r>
          <w:rPr>
            <w:noProof/>
            <w:webHidden/>
          </w:rPr>
          <w:fldChar w:fldCharType="begin"/>
        </w:r>
        <w:r>
          <w:rPr>
            <w:noProof/>
            <w:webHidden/>
          </w:rPr>
          <w:instrText xml:space="preserve"> PAGEREF _Toc44515998 \h </w:instrText>
        </w:r>
        <w:r>
          <w:rPr>
            <w:noProof/>
            <w:webHidden/>
          </w:rPr>
        </w:r>
        <w:r>
          <w:rPr>
            <w:noProof/>
            <w:webHidden/>
          </w:rPr>
          <w:fldChar w:fldCharType="separate"/>
        </w:r>
        <w:r>
          <w:rPr>
            <w:noProof/>
            <w:webHidden/>
          </w:rPr>
          <w:t>48</w:t>
        </w:r>
        <w:r>
          <w:rPr>
            <w:noProof/>
            <w:webHidden/>
          </w:rPr>
          <w:fldChar w:fldCharType="end"/>
        </w:r>
      </w:hyperlink>
    </w:p>
    <w:p w14:paraId="65908BB6" w14:textId="6762706E"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5999" w:history="1">
        <w:r w:rsidRPr="00D11610">
          <w:rPr>
            <w:rStyle w:val="Hyperlink"/>
            <w:noProof/>
          </w:rPr>
          <w:t>A.1.4</w:t>
        </w:r>
        <w:r>
          <w:rPr>
            <w:rFonts w:eastAsiaTheme="minorEastAsia"/>
            <w:i w:val="0"/>
            <w:iCs w:val="0"/>
            <w:noProof/>
            <w:sz w:val="22"/>
            <w:szCs w:val="22"/>
            <w:lang w:eastAsia="en-GB"/>
          </w:rPr>
          <w:tab/>
        </w:r>
        <w:r w:rsidRPr="00D11610">
          <w:rPr>
            <w:rStyle w:val="Hyperlink"/>
            <w:noProof/>
          </w:rPr>
          <w:t>Field Sampling Strategy</w:t>
        </w:r>
        <w:r>
          <w:rPr>
            <w:noProof/>
            <w:webHidden/>
          </w:rPr>
          <w:tab/>
        </w:r>
        <w:r>
          <w:rPr>
            <w:noProof/>
            <w:webHidden/>
          </w:rPr>
          <w:fldChar w:fldCharType="begin"/>
        </w:r>
        <w:r>
          <w:rPr>
            <w:noProof/>
            <w:webHidden/>
          </w:rPr>
          <w:instrText xml:space="preserve"> PAGEREF _Toc44515999 \h </w:instrText>
        </w:r>
        <w:r>
          <w:rPr>
            <w:noProof/>
            <w:webHidden/>
          </w:rPr>
        </w:r>
        <w:r>
          <w:rPr>
            <w:noProof/>
            <w:webHidden/>
          </w:rPr>
          <w:fldChar w:fldCharType="separate"/>
        </w:r>
        <w:r>
          <w:rPr>
            <w:noProof/>
            <w:webHidden/>
          </w:rPr>
          <w:t>49</w:t>
        </w:r>
        <w:r>
          <w:rPr>
            <w:noProof/>
            <w:webHidden/>
          </w:rPr>
          <w:fldChar w:fldCharType="end"/>
        </w:r>
      </w:hyperlink>
    </w:p>
    <w:p w14:paraId="754CB6A2" w14:textId="7DD004ED"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6000" w:history="1">
        <w:r w:rsidRPr="00D11610">
          <w:rPr>
            <w:rStyle w:val="Hyperlink"/>
            <w:noProof/>
          </w:rPr>
          <w:t>A.1.5</w:t>
        </w:r>
        <w:r>
          <w:rPr>
            <w:rFonts w:eastAsiaTheme="minorEastAsia"/>
            <w:i w:val="0"/>
            <w:iCs w:val="0"/>
            <w:noProof/>
            <w:sz w:val="22"/>
            <w:szCs w:val="22"/>
            <w:lang w:eastAsia="en-GB"/>
          </w:rPr>
          <w:tab/>
        </w:r>
        <w:r w:rsidRPr="00D11610">
          <w:rPr>
            <w:rStyle w:val="Hyperlink"/>
            <w:noProof/>
          </w:rPr>
          <w:t>Timing of the Field Campaign</w:t>
        </w:r>
        <w:r>
          <w:rPr>
            <w:noProof/>
            <w:webHidden/>
          </w:rPr>
          <w:tab/>
        </w:r>
        <w:r>
          <w:rPr>
            <w:noProof/>
            <w:webHidden/>
          </w:rPr>
          <w:fldChar w:fldCharType="begin"/>
        </w:r>
        <w:r>
          <w:rPr>
            <w:noProof/>
            <w:webHidden/>
          </w:rPr>
          <w:instrText xml:space="preserve"> PAGEREF _Toc44516000 \h </w:instrText>
        </w:r>
        <w:r>
          <w:rPr>
            <w:noProof/>
            <w:webHidden/>
          </w:rPr>
        </w:r>
        <w:r>
          <w:rPr>
            <w:noProof/>
            <w:webHidden/>
          </w:rPr>
          <w:fldChar w:fldCharType="separate"/>
        </w:r>
        <w:r>
          <w:rPr>
            <w:noProof/>
            <w:webHidden/>
          </w:rPr>
          <w:t>50</w:t>
        </w:r>
        <w:r>
          <w:rPr>
            <w:noProof/>
            <w:webHidden/>
          </w:rPr>
          <w:fldChar w:fldCharType="end"/>
        </w:r>
      </w:hyperlink>
    </w:p>
    <w:p w14:paraId="1B075CD0" w14:textId="141B971F" w:rsidR="00152A4A" w:rsidRDefault="00152A4A">
      <w:pPr>
        <w:pStyle w:val="TOC3"/>
        <w:tabs>
          <w:tab w:val="left" w:pos="1100"/>
          <w:tab w:val="right" w:leader="dot" w:pos="9016"/>
        </w:tabs>
        <w:rPr>
          <w:rFonts w:eastAsiaTheme="minorEastAsia"/>
          <w:i w:val="0"/>
          <w:iCs w:val="0"/>
          <w:noProof/>
          <w:sz w:val="22"/>
          <w:szCs w:val="22"/>
          <w:lang w:eastAsia="en-GB"/>
        </w:rPr>
      </w:pPr>
      <w:hyperlink w:anchor="_Toc44516001" w:history="1">
        <w:r w:rsidRPr="00D11610">
          <w:rPr>
            <w:rStyle w:val="Hyperlink"/>
            <w:noProof/>
          </w:rPr>
          <w:t>A.1.6</w:t>
        </w:r>
        <w:r>
          <w:rPr>
            <w:rFonts w:eastAsiaTheme="minorEastAsia"/>
            <w:i w:val="0"/>
            <w:iCs w:val="0"/>
            <w:noProof/>
            <w:sz w:val="22"/>
            <w:szCs w:val="22"/>
            <w:lang w:eastAsia="en-GB"/>
          </w:rPr>
          <w:tab/>
        </w:r>
        <w:r w:rsidRPr="00D11610">
          <w:rPr>
            <w:rStyle w:val="Hyperlink"/>
            <w:noProof/>
          </w:rPr>
          <w:t>Field Data Uncertainty Propagation</w:t>
        </w:r>
        <w:r>
          <w:rPr>
            <w:noProof/>
            <w:webHidden/>
          </w:rPr>
          <w:tab/>
        </w:r>
        <w:r>
          <w:rPr>
            <w:noProof/>
            <w:webHidden/>
          </w:rPr>
          <w:fldChar w:fldCharType="begin"/>
        </w:r>
        <w:r>
          <w:rPr>
            <w:noProof/>
            <w:webHidden/>
          </w:rPr>
          <w:instrText xml:space="preserve"> PAGEREF _Toc44516001 \h </w:instrText>
        </w:r>
        <w:r>
          <w:rPr>
            <w:noProof/>
            <w:webHidden/>
          </w:rPr>
        </w:r>
        <w:r>
          <w:rPr>
            <w:noProof/>
            <w:webHidden/>
          </w:rPr>
          <w:fldChar w:fldCharType="separate"/>
        </w:r>
        <w:r>
          <w:rPr>
            <w:noProof/>
            <w:webHidden/>
          </w:rPr>
          <w:t>51</w:t>
        </w:r>
        <w:r>
          <w:rPr>
            <w:noProof/>
            <w:webHidden/>
          </w:rPr>
          <w:fldChar w:fldCharType="end"/>
        </w:r>
      </w:hyperlink>
    </w:p>
    <w:p w14:paraId="2868EF0A" w14:textId="04806A10" w:rsidR="007F2A81" w:rsidRDefault="00D60F20" w:rsidP="0041691B">
      <w:r>
        <w:fldChar w:fldCharType="end"/>
      </w:r>
    </w:p>
    <w:p w14:paraId="40F71B1A" w14:textId="77777777" w:rsidR="0011208A" w:rsidRDefault="0011208A">
      <w:pPr>
        <w:pStyle w:val="Heading1"/>
        <w:numPr>
          <w:ilvl w:val="0"/>
          <w:numId w:val="0"/>
        </w:numPr>
        <w:sectPr w:rsidR="0011208A" w:rsidSect="00C036F8">
          <w:headerReference w:type="default" r:id="rId17"/>
          <w:footerReference w:type="default" r:id="rId18"/>
          <w:footerReference w:type="first" r:id="rId19"/>
          <w:pgSz w:w="11906" w:h="16838"/>
          <w:pgMar w:top="1440" w:right="1440" w:bottom="1440" w:left="1440" w:header="708" w:footer="708" w:gutter="0"/>
          <w:cols w:space="708"/>
          <w:docGrid w:linePitch="360"/>
        </w:sectPr>
      </w:pPr>
    </w:p>
    <w:p w14:paraId="70F0FFBC" w14:textId="5D0A6B32" w:rsidR="00247619" w:rsidRDefault="00247619" w:rsidP="00FD3124">
      <w:pPr>
        <w:pStyle w:val="Heading5"/>
      </w:pPr>
      <w:bookmarkStart w:id="3" w:name="_Toc44515948"/>
      <w:r w:rsidRPr="00247619">
        <w:lastRenderedPageBreak/>
        <w:t>List of Figure</w:t>
      </w:r>
      <w:r w:rsidR="00257D7B">
        <w:t>s</w:t>
      </w:r>
      <w:bookmarkEnd w:id="3"/>
    </w:p>
    <w:p w14:paraId="3886942D" w14:textId="77777777" w:rsidR="00257D7B" w:rsidRPr="00257D7B" w:rsidRDefault="00257D7B" w:rsidP="0069303D">
      <w:pPr>
        <w:spacing w:after="0"/>
      </w:pPr>
    </w:p>
    <w:p w14:paraId="6E2FF63E" w14:textId="1ACB69B1" w:rsidR="009E7952" w:rsidRDefault="00E4651D">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w:anchor="_Toc41595336" w:history="1">
        <w:r w:rsidR="009E7952" w:rsidRPr="00C54C44">
          <w:rPr>
            <w:rStyle w:val="Hyperlink"/>
            <w:noProof/>
          </w:rPr>
          <w:t>Figure 1: The PAR balance as measured with quantum sensors facing upwards and downwards at the top and the bottom of the canopy.</w:t>
        </w:r>
        <w:r w:rsidR="009E7952">
          <w:rPr>
            <w:noProof/>
            <w:webHidden/>
          </w:rPr>
          <w:tab/>
        </w:r>
        <w:r w:rsidR="009E7952">
          <w:rPr>
            <w:noProof/>
            <w:webHidden/>
          </w:rPr>
          <w:fldChar w:fldCharType="begin"/>
        </w:r>
        <w:r w:rsidR="009E7952">
          <w:rPr>
            <w:noProof/>
            <w:webHidden/>
          </w:rPr>
          <w:instrText xml:space="preserve"> PAGEREF _Toc41595336 \h </w:instrText>
        </w:r>
        <w:r w:rsidR="009E7952">
          <w:rPr>
            <w:noProof/>
            <w:webHidden/>
          </w:rPr>
        </w:r>
        <w:r w:rsidR="009E7952">
          <w:rPr>
            <w:noProof/>
            <w:webHidden/>
          </w:rPr>
          <w:fldChar w:fldCharType="separate"/>
        </w:r>
        <w:r w:rsidR="009E7952">
          <w:rPr>
            <w:noProof/>
            <w:webHidden/>
          </w:rPr>
          <w:t>11</w:t>
        </w:r>
        <w:r w:rsidR="009E7952">
          <w:rPr>
            <w:noProof/>
            <w:webHidden/>
          </w:rPr>
          <w:fldChar w:fldCharType="end"/>
        </w:r>
      </w:hyperlink>
    </w:p>
    <w:p w14:paraId="41069445" w14:textId="64F4F4C2" w:rsidR="009E7952" w:rsidRDefault="00F123E0">
      <w:pPr>
        <w:pStyle w:val="TableofFigures"/>
        <w:tabs>
          <w:tab w:val="right" w:leader="dot" w:pos="9016"/>
        </w:tabs>
        <w:rPr>
          <w:rFonts w:eastAsiaTheme="minorEastAsia"/>
          <w:noProof/>
          <w:lang w:eastAsia="en-GB"/>
        </w:rPr>
      </w:pPr>
      <w:hyperlink w:anchor="_Toc41595337" w:history="1">
        <w:r w:rsidR="009E7952" w:rsidRPr="00C54C44">
          <w:rPr>
            <w:rStyle w:val="Hyperlink"/>
            <w:noProof/>
          </w:rPr>
          <w:t>Figure 2: Angular sampling provided by the optical sensor of the LI-COR LAI-2200C [12].</w:t>
        </w:r>
        <w:r w:rsidR="009E7952">
          <w:rPr>
            <w:noProof/>
            <w:webHidden/>
          </w:rPr>
          <w:tab/>
        </w:r>
        <w:r w:rsidR="009E7952">
          <w:rPr>
            <w:noProof/>
            <w:webHidden/>
          </w:rPr>
          <w:fldChar w:fldCharType="begin"/>
        </w:r>
        <w:r w:rsidR="009E7952">
          <w:rPr>
            <w:noProof/>
            <w:webHidden/>
          </w:rPr>
          <w:instrText xml:space="preserve"> PAGEREF _Toc41595337 \h </w:instrText>
        </w:r>
        <w:r w:rsidR="009E7952">
          <w:rPr>
            <w:noProof/>
            <w:webHidden/>
          </w:rPr>
        </w:r>
        <w:r w:rsidR="009E7952">
          <w:rPr>
            <w:noProof/>
            <w:webHidden/>
          </w:rPr>
          <w:fldChar w:fldCharType="separate"/>
        </w:r>
        <w:r w:rsidR="009E7952">
          <w:rPr>
            <w:noProof/>
            <w:webHidden/>
          </w:rPr>
          <w:t>14</w:t>
        </w:r>
        <w:r w:rsidR="009E7952">
          <w:rPr>
            <w:noProof/>
            <w:webHidden/>
          </w:rPr>
          <w:fldChar w:fldCharType="end"/>
        </w:r>
      </w:hyperlink>
    </w:p>
    <w:p w14:paraId="3472FCB3" w14:textId="24AD7059" w:rsidR="009E7952" w:rsidRDefault="00F123E0">
      <w:pPr>
        <w:pStyle w:val="TableofFigures"/>
        <w:tabs>
          <w:tab w:val="right" w:leader="dot" w:pos="9016"/>
        </w:tabs>
        <w:rPr>
          <w:rFonts w:eastAsiaTheme="minorEastAsia"/>
          <w:noProof/>
          <w:lang w:eastAsia="en-GB"/>
        </w:rPr>
      </w:pPr>
      <w:hyperlink w:anchor="_Toc41595338" w:history="1">
        <w:r w:rsidR="009E7952" w:rsidRPr="00C54C44">
          <w:rPr>
            <w:rStyle w:val="Hyperlink"/>
            <w:noProof/>
          </w:rPr>
          <w:t>Figure 3: LI-COR LAI-2200C Plant Canopy Analyser [12].</w:t>
        </w:r>
        <w:r w:rsidR="009E7952">
          <w:rPr>
            <w:noProof/>
            <w:webHidden/>
          </w:rPr>
          <w:tab/>
        </w:r>
        <w:r w:rsidR="009E7952">
          <w:rPr>
            <w:noProof/>
            <w:webHidden/>
          </w:rPr>
          <w:fldChar w:fldCharType="begin"/>
        </w:r>
        <w:r w:rsidR="009E7952">
          <w:rPr>
            <w:noProof/>
            <w:webHidden/>
          </w:rPr>
          <w:instrText xml:space="preserve"> PAGEREF _Toc41595338 \h </w:instrText>
        </w:r>
        <w:r w:rsidR="009E7952">
          <w:rPr>
            <w:noProof/>
            <w:webHidden/>
          </w:rPr>
        </w:r>
        <w:r w:rsidR="009E7952">
          <w:rPr>
            <w:noProof/>
            <w:webHidden/>
          </w:rPr>
          <w:fldChar w:fldCharType="separate"/>
        </w:r>
        <w:r w:rsidR="009E7952">
          <w:rPr>
            <w:noProof/>
            <w:webHidden/>
          </w:rPr>
          <w:t>22</w:t>
        </w:r>
        <w:r w:rsidR="009E7952">
          <w:rPr>
            <w:noProof/>
            <w:webHidden/>
          </w:rPr>
          <w:fldChar w:fldCharType="end"/>
        </w:r>
      </w:hyperlink>
    </w:p>
    <w:p w14:paraId="3A552C81" w14:textId="1256A3AD" w:rsidR="009E7952" w:rsidRDefault="00F123E0">
      <w:pPr>
        <w:pStyle w:val="TableofFigures"/>
        <w:tabs>
          <w:tab w:val="right" w:leader="dot" w:pos="9016"/>
        </w:tabs>
        <w:rPr>
          <w:rFonts w:eastAsiaTheme="minorEastAsia"/>
          <w:noProof/>
          <w:lang w:eastAsia="en-GB"/>
        </w:rPr>
      </w:pPr>
      <w:hyperlink w:anchor="_Toc41595339" w:history="1">
        <w:r w:rsidR="009E7952" w:rsidRPr="00C54C44">
          <w:rPr>
            <w:rStyle w:val="Hyperlink"/>
            <w:noProof/>
          </w:rPr>
          <w:t>Figure 4: Canon EOS 6D DSLR camera [23].</w:t>
        </w:r>
        <w:r w:rsidR="009E7952">
          <w:rPr>
            <w:noProof/>
            <w:webHidden/>
          </w:rPr>
          <w:tab/>
        </w:r>
        <w:r w:rsidR="009E7952">
          <w:rPr>
            <w:noProof/>
            <w:webHidden/>
          </w:rPr>
          <w:fldChar w:fldCharType="begin"/>
        </w:r>
        <w:r w:rsidR="009E7952">
          <w:rPr>
            <w:noProof/>
            <w:webHidden/>
          </w:rPr>
          <w:instrText xml:space="preserve"> PAGEREF _Toc41595339 \h </w:instrText>
        </w:r>
        <w:r w:rsidR="009E7952">
          <w:rPr>
            <w:noProof/>
            <w:webHidden/>
          </w:rPr>
        </w:r>
        <w:r w:rsidR="009E7952">
          <w:rPr>
            <w:noProof/>
            <w:webHidden/>
          </w:rPr>
          <w:fldChar w:fldCharType="separate"/>
        </w:r>
        <w:r w:rsidR="009E7952">
          <w:rPr>
            <w:noProof/>
            <w:webHidden/>
          </w:rPr>
          <w:t>22</w:t>
        </w:r>
        <w:r w:rsidR="009E7952">
          <w:rPr>
            <w:noProof/>
            <w:webHidden/>
          </w:rPr>
          <w:fldChar w:fldCharType="end"/>
        </w:r>
      </w:hyperlink>
    </w:p>
    <w:p w14:paraId="709923A8" w14:textId="492DF996" w:rsidR="009E7952" w:rsidRDefault="00F123E0">
      <w:pPr>
        <w:pStyle w:val="TableofFigures"/>
        <w:tabs>
          <w:tab w:val="right" w:leader="dot" w:pos="9016"/>
        </w:tabs>
        <w:rPr>
          <w:rFonts w:eastAsiaTheme="minorEastAsia"/>
          <w:noProof/>
          <w:lang w:eastAsia="en-GB"/>
        </w:rPr>
      </w:pPr>
      <w:hyperlink w:anchor="_Toc41595340" w:history="1">
        <w:r w:rsidR="009E7952" w:rsidRPr="00C54C44">
          <w:rPr>
            <w:rStyle w:val="Hyperlink"/>
            <w:noProof/>
          </w:rPr>
          <w:t>Figure 5: Konica Minolta SPAD-502 [25].</w:t>
        </w:r>
        <w:r w:rsidR="009E7952">
          <w:rPr>
            <w:noProof/>
            <w:webHidden/>
          </w:rPr>
          <w:tab/>
        </w:r>
        <w:r w:rsidR="009E7952">
          <w:rPr>
            <w:noProof/>
            <w:webHidden/>
          </w:rPr>
          <w:fldChar w:fldCharType="begin"/>
        </w:r>
        <w:r w:rsidR="009E7952">
          <w:rPr>
            <w:noProof/>
            <w:webHidden/>
          </w:rPr>
          <w:instrText xml:space="preserve"> PAGEREF _Toc41595340 \h </w:instrText>
        </w:r>
        <w:r w:rsidR="009E7952">
          <w:rPr>
            <w:noProof/>
            <w:webHidden/>
          </w:rPr>
        </w:r>
        <w:r w:rsidR="009E7952">
          <w:rPr>
            <w:noProof/>
            <w:webHidden/>
          </w:rPr>
          <w:fldChar w:fldCharType="separate"/>
        </w:r>
        <w:r w:rsidR="009E7952">
          <w:rPr>
            <w:noProof/>
            <w:webHidden/>
          </w:rPr>
          <w:t>23</w:t>
        </w:r>
        <w:r w:rsidR="009E7952">
          <w:rPr>
            <w:noProof/>
            <w:webHidden/>
          </w:rPr>
          <w:fldChar w:fldCharType="end"/>
        </w:r>
      </w:hyperlink>
    </w:p>
    <w:p w14:paraId="3DF9D938" w14:textId="3A1FF488" w:rsidR="009E7952" w:rsidRDefault="00F123E0">
      <w:pPr>
        <w:pStyle w:val="TableofFigures"/>
        <w:tabs>
          <w:tab w:val="right" w:leader="dot" w:pos="9016"/>
        </w:tabs>
        <w:rPr>
          <w:rFonts w:eastAsiaTheme="minorEastAsia"/>
          <w:noProof/>
          <w:lang w:eastAsia="en-GB"/>
        </w:rPr>
      </w:pPr>
      <w:hyperlink w:anchor="_Toc41595341" w:history="1">
        <w:r w:rsidR="009E7952" w:rsidRPr="00C54C44">
          <w:rPr>
            <w:rStyle w:val="Hyperlink"/>
            <w:noProof/>
          </w:rPr>
          <w:t xml:space="preserve">Figure 6: </w:t>
        </w:r>
        <w:r w:rsidR="009E7952" w:rsidRPr="00C54C44">
          <w:rPr>
            <w:rStyle w:val="Hyperlink"/>
            <w:noProof/>
            <w:lang w:val="es-ES"/>
          </w:rPr>
          <w:t>Apogee SQ-110 PAR Sensor [26].</w:t>
        </w:r>
        <w:r w:rsidR="009E7952">
          <w:rPr>
            <w:noProof/>
            <w:webHidden/>
          </w:rPr>
          <w:tab/>
        </w:r>
        <w:r w:rsidR="009E7952">
          <w:rPr>
            <w:noProof/>
            <w:webHidden/>
          </w:rPr>
          <w:fldChar w:fldCharType="begin"/>
        </w:r>
        <w:r w:rsidR="009E7952">
          <w:rPr>
            <w:noProof/>
            <w:webHidden/>
          </w:rPr>
          <w:instrText xml:space="preserve"> PAGEREF _Toc41595341 \h </w:instrText>
        </w:r>
        <w:r w:rsidR="009E7952">
          <w:rPr>
            <w:noProof/>
            <w:webHidden/>
          </w:rPr>
        </w:r>
        <w:r w:rsidR="009E7952">
          <w:rPr>
            <w:noProof/>
            <w:webHidden/>
          </w:rPr>
          <w:fldChar w:fldCharType="separate"/>
        </w:r>
        <w:r w:rsidR="009E7952">
          <w:rPr>
            <w:noProof/>
            <w:webHidden/>
          </w:rPr>
          <w:t>23</w:t>
        </w:r>
        <w:r w:rsidR="009E7952">
          <w:rPr>
            <w:noProof/>
            <w:webHidden/>
          </w:rPr>
          <w:fldChar w:fldCharType="end"/>
        </w:r>
      </w:hyperlink>
    </w:p>
    <w:p w14:paraId="350F167B" w14:textId="0BABDDEC" w:rsidR="009E7952" w:rsidRDefault="00F123E0">
      <w:pPr>
        <w:pStyle w:val="TableofFigures"/>
        <w:tabs>
          <w:tab w:val="right" w:leader="dot" w:pos="9016"/>
        </w:tabs>
        <w:rPr>
          <w:rFonts w:eastAsiaTheme="minorEastAsia"/>
          <w:noProof/>
          <w:lang w:eastAsia="en-GB"/>
        </w:rPr>
      </w:pPr>
      <w:hyperlink w:anchor="_Toc41595342" w:history="1">
        <w:r w:rsidR="009E7952" w:rsidRPr="00C54C44">
          <w:rPr>
            <w:rStyle w:val="Hyperlink"/>
            <w:noProof/>
          </w:rPr>
          <w:t xml:space="preserve">Figure 7: </w:t>
        </w:r>
        <w:r w:rsidR="009E7952" w:rsidRPr="00C54C44">
          <w:rPr>
            <w:rStyle w:val="Hyperlink"/>
            <w:noProof/>
            <w:lang w:val="es-ES"/>
          </w:rPr>
          <w:t>AccuPAR model LP-80 PAR/LAI Ceptometer [15]</w:t>
        </w:r>
        <w:r w:rsidR="009E7952" w:rsidRPr="00C54C44">
          <w:rPr>
            <w:rStyle w:val="Hyperlink"/>
            <w:noProof/>
          </w:rPr>
          <w:t>.</w:t>
        </w:r>
        <w:r w:rsidR="009E7952">
          <w:rPr>
            <w:noProof/>
            <w:webHidden/>
          </w:rPr>
          <w:tab/>
        </w:r>
        <w:r w:rsidR="009E7952">
          <w:rPr>
            <w:noProof/>
            <w:webHidden/>
          </w:rPr>
          <w:fldChar w:fldCharType="begin"/>
        </w:r>
        <w:r w:rsidR="009E7952">
          <w:rPr>
            <w:noProof/>
            <w:webHidden/>
          </w:rPr>
          <w:instrText xml:space="preserve"> PAGEREF _Toc41595342 \h </w:instrText>
        </w:r>
        <w:r w:rsidR="009E7952">
          <w:rPr>
            <w:noProof/>
            <w:webHidden/>
          </w:rPr>
        </w:r>
        <w:r w:rsidR="009E7952">
          <w:rPr>
            <w:noProof/>
            <w:webHidden/>
          </w:rPr>
          <w:fldChar w:fldCharType="separate"/>
        </w:r>
        <w:r w:rsidR="009E7952">
          <w:rPr>
            <w:noProof/>
            <w:webHidden/>
          </w:rPr>
          <w:t>24</w:t>
        </w:r>
        <w:r w:rsidR="009E7952">
          <w:rPr>
            <w:noProof/>
            <w:webHidden/>
          </w:rPr>
          <w:fldChar w:fldCharType="end"/>
        </w:r>
      </w:hyperlink>
    </w:p>
    <w:p w14:paraId="1EDE3E0F" w14:textId="5F0AF395" w:rsidR="009E7952" w:rsidRDefault="00F123E0">
      <w:pPr>
        <w:pStyle w:val="TableofFigures"/>
        <w:tabs>
          <w:tab w:val="right" w:leader="dot" w:pos="9016"/>
        </w:tabs>
        <w:rPr>
          <w:rFonts w:eastAsiaTheme="minorEastAsia"/>
          <w:noProof/>
          <w:lang w:eastAsia="en-GB"/>
        </w:rPr>
      </w:pPr>
      <w:hyperlink w:anchor="_Toc41595343" w:history="1">
        <w:r w:rsidR="009E7952" w:rsidRPr="00C54C44">
          <w:rPr>
            <w:rStyle w:val="Hyperlink"/>
            <w:noProof/>
          </w:rPr>
          <w:t>Figure 8: PAR sensors set up on the spectral response facility at NPL.</w:t>
        </w:r>
        <w:r w:rsidR="009E7952">
          <w:rPr>
            <w:noProof/>
            <w:webHidden/>
          </w:rPr>
          <w:tab/>
        </w:r>
        <w:r w:rsidR="009E7952">
          <w:rPr>
            <w:noProof/>
            <w:webHidden/>
          </w:rPr>
          <w:fldChar w:fldCharType="begin"/>
        </w:r>
        <w:r w:rsidR="009E7952">
          <w:rPr>
            <w:noProof/>
            <w:webHidden/>
          </w:rPr>
          <w:instrText xml:space="preserve"> PAGEREF _Toc41595343 \h </w:instrText>
        </w:r>
        <w:r w:rsidR="009E7952">
          <w:rPr>
            <w:noProof/>
            <w:webHidden/>
          </w:rPr>
        </w:r>
        <w:r w:rsidR="009E7952">
          <w:rPr>
            <w:noProof/>
            <w:webHidden/>
          </w:rPr>
          <w:fldChar w:fldCharType="separate"/>
        </w:r>
        <w:r w:rsidR="009E7952">
          <w:rPr>
            <w:noProof/>
            <w:webHidden/>
          </w:rPr>
          <w:t>26</w:t>
        </w:r>
        <w:r w:rsidR="009E7952">
          <w:rPr>
            <w:noProof/>
            <w:webHidden/>
          </w:rPr>
          <w:fldChar w:fldCharType="end"/>
        </w:r>
      </w:hyperlink>
    </w:p>
    <w:p w14:paraId="4EFF82F7" w14:textId="5CEFBB4A" w:rsidR="009E7952" w:rsidRDefault="00F123E0">
      <w:pPr>
        <w:pStyle w:val="TableofFigures"/>
        <w:tabs>
          <w:tab w:val="right" w:leader="dot" w:pos="9016"/>
        </w:tabs>
        <w:rPr>
          <w:rFonts w:eastAsiaTheme="minorEastAsia"/>
          <w:noProof/>
          <w:lang w:eastAsia="en-GB"/>
        </w:rPr>
      </w:pPr>
      <w:hyperlink w:anchor="_Toc41595344" w:history="1">
        <w:r w:rsidR="009E7952" w:rsidRPr="00C54C44">
          <w:rPr>
            <w:rStyle w:val="Hyperlink"/>
            <w:noProof/>
          </w:rPr>
          <w:t>Figure 9: Alignment of PAR sensors before measuring a broadband source.</w:t>
        </w:r>
        <w:r w:rsidR="009E7952">
          <w:rPr>
            <w:noProof/>
            <w:webHidden/>
          </w:rPr>
          <w:tab/>
        </w:r>
        <w:r w:rsidR="009E7952">
          <w:rPr>
            <w:noProof/>
            <w:webHidden/>
          </w:rPr>
          <w:fldChar w:fldCharType="begin"/>
        </w:r>
        <w:r w:rsidR="009E7952">
          <w:rPr>
            <w:noProof/>
            <w:webHidden/>
          </w:rPr>
          <w:instrText xml:space="preserve"> PAGEREF _Toc41595344 \h </w:instrText>
        </w:r>
        <w:r w:rsidR="009E7952">
          <w:rPr>
            <w:noProof/>
            <w:webHidden/>
          </w:rPr>
        </w:r>
        <w:r w:rsidR="009E7952">
          <w:rPr>
            <w:noProof/>
            <w:webHidden/>
          </w:rPr>
          <w:fldChar w:fldCharType="separate"/>
        </w:r>
        <w:r w:rsidR="009E7952">
          <w:rPr>
            <w:noProof/>
            <w:webHidden/>
          </w:rPr>
          <w:t>26</w:t>
        </w:r>
        <w:r w:rsidR="009E7952">
          <w:rPr>
            <w:noProof/>
            <w:webHidden/>
          </w:rPr>
          <w:fldChar w:fldCharType="end"/>
        </w:r>
      </w:hyperlink>
    </w:p>
    <w:p w14:paraId="3B501C71" w14:textId="0BAF47CC" w:rsidR="009E7952" w:rsidRDefault="00F123E0">
      <w:pPr>
        <w:pStyle w:val="TableofFigures"/>
        <w:tabs>
          <w:tab w:val="right" w:leader="dot" w:pos="9016"/>
        </w:tabs>
        <w:rPr>
          <w:rFonts w:eastAsiaTheme="minorEastAsia"/>
          <w:noProof/>
          <w:lang w:eastAsia="en-GB"/>
        </w:rPr>
      </w:pPr>
      <w:hyperlink w:anchor="_Toc41595345" w:history="1">
        <w:r w:rsidR="009E7952" w:rsidRPr="00C54C44">
          <w:rPr>
            <w:rStyle w:val="Hyperlink"/>
            <w:noProof/>
          </w:rPr>
          <w:t>Figure 10: Example of the setup used to determine the lens projection function according the method implemented in CAN-EYE [35].</w:t>
        </w:r>
        <w:r w:rsidR="009E7952">
          <w:rPr>
            <w:noProof/>
            <w:webHidden/>
          </w:rPr>
          <w:tab/>
        </w:r>
        <w:r w:rsidR="009E7952">
          <w:rPr>
            <w:noProof/>
            <w:webHidden/>
          </w:rPr>
          <w:fldChar w:fldCharType="begin"/>
        </w:r>
        <w:r w:rsidR="009E7952">
          <w:rPr>
            <w:noProof/>
            <w:webHidden/>
          </w:rPr>
          <w:instrText xml:space="preserve"> PAGEREF _Toc41595345 \h </w:instrText>
        </w:r>
        <w:r w:rsidR="009E7952">
          <w:rPr>
            <w:noProof/>
            <w:webHidden/>
          </w:rPr>
        </w:r>
        <w:r w:rsidR="009E7952">
          <w:rPr>
            <w:noProof/>
            <w:webHidden/>
          </w:rPr>
          <w:fldChar w:fldCharType="separate"/>
        </w:r>
        <w:r w:rsidR="009E7952">
          <w:rPr>
            <w:noProof/>
            <w:webHidden/>
          </w:rPr>
          <w:t>28</w:t>
        </w:r>
        <w:r w:rsidR="009E7952">
          <w:rPr>
            <w:noProof/>
            <w:webHidden/>
          </w:rPr>
          <w:fldChar w:fldCharType="end"/>
        </w:r>
      </w:hyperlink>
    </w:p>
    <w:p w14:paraId="0B5FE54F" w14:textId="1E858D3F" w:rsidR="009E7952" w:rsidRDefault="00F123E0">
      <w:pPr>
        <w:pStyle w:val="TableofFigures"/>
        <w:tabs>
          <w:tab w:val="right" w:leader="dot" w:pos="9016"/>
        </w:tabs>
        <w:rPr>
          <w:rFonts w:eastAsiaTheme="minorEastAsia"/>
          <w:noProof/>
          <w:lang w:eastAsia="en-GB"/>
        </w:rPr>
      </w:pPr>
      <w:hyperlink w:anchor="_Toc41595346" w:history="1">
        <w:r w:rsidR="009E7952" w:rsidRPr="00C54C44">
          <w:rPr>
            <w:rStyle w:val="Hyperlink"/>
            <w:noProof/>
          </w:rPr>
          <w:t>Figure 11: Pigment extraction from a leaf disc in DMSO (left). The solution is transferred to a cuvette to facilitate spectrophotometric determination of LCC (right).</w:t>
        </w:r>
        <w:r w:rsidR="009E7952">
          <w:rPr>
            <w:noProof/>
            <w:webHidden/>
          </w:rPr>
          <w:tab/>
        </w:r>
        <w:r w:rsidR="009E7952">
          <w:rPr>
            <w:noProof/>
            <w:webHidden/>
          </w:rPr>
          <w:fldChar w:fldCharType="begin"/>
        </w:r>
        <w:r w:rsidR="009E7952">
          <w:rPr>
            <w:noProof/>
            <w:webHidden/>
          </w:rPr>
          <w:instrText xml:space="preserve"> PAGEREF _Toc41595346 \h </w:instrText>
        </w:r>
        <w:r w:rsidR="009E7952">
          <w:rPr>
            <w:noProof/>
            <w:webHidden/>
          </w:rPr>
        </w:r>
        <w:r w:rsidR="009E7952">
          <w:rPr>
            <w:noProof/>
            <w:webHidden/>
          </w:rPr>
          <w:fldChar w:fldCharType="separate"/>
        </w:r>
        <w:r w:rsidR="009E7952">
          <w:rPr>
            <w:noProof/>
            <w:webHidden/>
          </w:rPr>
          <w:t>29</w:t>
        </w:r>
        <w:r w:rsidR="009E7952">
          <w:rPr>
            <w:noProof/>
            <w:webHidden/>
          </w:rPr>
          <w:fldChar w:fldCharType="end"/>
        </w:r>
      </w:hyperlink>
    </w:p>
    <w:p w14:paraId="78ECBB66" w14:textId="35CA78F8" w:rsidR="009E7952" w:rsidRDefault="00F123E0">
      <w:pPr>
        <w:pStyle w:val="TableofFigures"/>
        <w:tabs>
          <w:tab w:val="right" w:leader="dot" w:pos="9016"/>
        </w:tabs>
        <w:rPr>
          <w:rFonts w:eastAsiaTheme="minorEastAsia"/>
          <w:noProof/>
          <w:lang w:eastAsia="en-GB"/>
        </w:rPr>
      </w:pPr>
      <w:hyperlink w:anchor="_Toc41595347" w:history="1">
        <w:r w:rsidR="009E7952" w:rsidRPr="00C54C44">
          <w:rPr>
            <w:rStyle w:val="Hyperlink"/>
            <w:noProof/>
          </w:rPr>
          <w:t>Figure 12: Systematic within-ESU sampling strategy.</w:t>
        </w:r>
        <w:r w:rsidR="009E7952">
          <w:rPr>
            <w:noProof/>
            <w:webHidden/>
          </w:rPr>
          <w:tab/>
        </w:r>
        <w:r w:rsidR="009E7952">
          <w:rPr>
            <w:noProof/>
            <w:webHidden/>
          </w:rPr>
          <w:fldChar w:fldCharType="begin"/>
        </w:r>
        <w:r w:rsidR="009E7952">
          <w:rPr>
            <w:noProof/>
            <w:webHidden/>
          </w:rPr>
          <w:instrText xml:space="preserve"> PAGEREF _Toc41595347 \h </w:instrText>
        </w:r>
        <w:r w:rsidR="009E7952">
          <w:rPr>
            <w:noProof/>
            <w:webHidden/>
          </w:rPr>
        </w:r>
        <w:r w:rsidR="009E7952">
          <w:rPr>
            <w:noProof/>
            <w:webHidden/>
          </w:rPr>
          <w:fldChar w:fldCharType="separate"/>
        </w:r>
        <w:r w:rsidR="009E7952">
          <w:rPr>
            <w:noProof/>
            <w:webHidden/>
          </w:rPr>
          <w:t>32</w:t>
        </w:r>
        <w:r w:rsidR="009E7952">
          <w:rPr>
            <w:noProof/>
            <w:webHidden/>
          </w:rPr>
          <w:fldChar w:fldCharType="end"/>
        </w:r>
      </w:hyperlink>
    </w:p>
    <w:p w14:paraId="2CDE1EA2" w14:textId="466AD984" w:rsidR="009E7952" w:rsidRDefault="00F123E0">
      <w:pPr>
        <w:pStyle w:val="TableofFigures"/>
        <w:tabs>
          <w:tab w:val="right" w:leader="dot" w:pos="9016"/>
        </w:tabs>
        <w:rPr>
          <w:rFonts w:eastAsiaTheme="minorEastAsia"/>
          <w:noProof/>
          <w:lang w:eastAsia="en-GB"/>
        </w:rPr>
      </w:pPr>
      <w:hyperlink w:anchor="_Toc41595348" w:history="1">
        <w:r w:rsidR="009E7952" w:rsidRPr="00C54C44">
          <w:rPr>
            <w:rStyle w:val="Hyperlink"/>
            <w:noProof/>
          </w:rPr>
          <w:t>Figure 13: Fish-bone diagram illustrating the components contributing to uncertainty in the SPAD values provided by the optical chlorophyll meter.</w:t>
        </w:r>
        <w:r w:rsidR="009E7952">
          <w:rPr>
            <w:noProof/>
            <w:webHidden/>
          </w:rPr>
          <w:tab/>
        </w:r>
        <w:r w:rsidR="009E7952">
          <w:rPr>
            <w:noProof/>
            <w:webHidden/>
          </w:rPr>
          <w:fldChar w:fldCharType="begin"/>
        </w:r>
        <w:r w:rsidR="009E7952">
          <w:rPr>
            <w:noProof/>
            <w:webHidden/>
          </w:rPr>
          <w:instrText xml:space="preserve"> PAGEREF _Toc41595348 \h </w:instrText>
        </w:r>
        <w:r w:rsidR="009E7952">
          <w:rPr>
            <w:noProof/>
            <w:webHidden/>
          </w:rPr>
        </w:r>
        <w:r w:rsidR="009E7952">
          <w:rPr>
            <w:noProof/>
            <w:webHidden/>
          </w:rPr>
          <w:fldChar w:fldCharType="separate"/>
        </w:r>
        <w:r w:rsidR="009E7952">
          <w:rPr>
            <w:noProof/>
            <w:webHidden/>
          </w:rPr>
          <w:t>41</w:t>
        </w:r>
        <w:r w:rsidR="009E7952">
          <w:rPr>
            <w:noProof/>
            <w:webHidden/>
          </w:rPr>
          <w:fldChar w:fldCharType="end"/>
        </w:r>
      </w:hyperlink>
    </w:p>
    <w:p w14:paraId="6049F9F3" w14:textId="5BB02D42" w:rsidR="009E7952" w:rsidRDefault="00F123E0">
      <w:pPr>
        <w:pStyle w:val="TableofFigures"/>
        <w:tabs>
          <w:tab w:val="right" w:leader="dot" w:pos="9016"/>
        </w:tabs>
        <w:rPr>
          <w:rFonts w:eastAsiaTheme="minorEastAsia"/>
          <w:noProof/>
          <w:lang w:eastAsia="en-GB"/>
        </w:rPr>
      </w:pPr>
      <w:hyperlink w:anchor="_Toc41595349" w:history="1">
        <w:r w:rsidR="009E7952" w:rsidRPr="00C54C44">
          <w:rPr>
            <w:rStyle w:val="Hyperlink"/>
            <w:noProof/>
          </w:rPr>
          <w:t>Figure 14: Fish-bone diagram illustrating the components contributing to uncertainty in the spectrophotometric determination of LCC. Greyed out components are not considered due to their minimal influence on overall uncertainty.</w:t>
        </w:r>
        <w:r w:rsidR="009E7952">
          <w:rPr>
            <w:noProof/>
            <w:webHidden/>
          </w:rPr>
          <w:tab/>
        </w:r>
        <w:r w:rsidR="009E7952">
          <w:rPr>
            <w:noProof/>
            <w:webHidden/>
          </w:rPr>
          <w:fldChar w:fldCharType="begin"/>
        </w:r>
        <w:r w:rsidR="009E7952">
          <w:rPr>
            <w:noProof/>
            <w:webHidden/>
          </w:rPr>
          <w:instrText xml:space="preserve"> PAGEREF _Toc41595349 \h </w:instrText>
        </w:r>
        <w:r w:rsidR="009E7952">
          <w:rPr>
            <w:noProof/>
            <w:webHidden/>
          </w:rPr>
        </w:r>
        <w:r w:rsidR="009E7952">
          <w:rPr>
            <w:noProof/>
            <w:webHidden/>
          </w:rPr>
          <w:fldChar w:fldCharType="separate"/>
        </w:r>
        <w:r w:rsidR="009E7952">
          <w:rPr>
            <w:noProof/>
            <w:webHidden/>
          </w:rPr>
          <w:t>42</w:t>
        </w:r>
        <w:r w:rsidR="009E7952">
          <w:rPr>
            <w:noProof/>
            <w:webHidden/>
          </w:rPr>
          <w:fldChar w:fldCharType="end"/>
        </w:r>
      </w:hyperlink>
    </w:p>
    <w:p w14:paraId="1106DBF6" w14:textId="719003D8" w:rsidR="009E7952" w:rsidRDefault="00F123E0">
      <w:pPr>
        <w:pStyle w:val="TableofFigures"/>
        <w:tabs>
          <w:tab w:val="right" w:leader="dot" w:pos="9016"/>
        </w:tabs>
        <w:rPr>
          <w:rFonts w:eastAsiaTheme="minorEastAsia"/>
          <w:noProof/>
          <w:lang w:eastAsia="en-GB"/>
        </w:rPr>
      </w:pPr>
      <w:hyperlink w:anchor="_Toc41595350" w:history="1">
        <w:r w:rsidR="009E7952" w:rsidRPr="00C54C44">
          <w:rPr>
            <w:rStyle w:val="Hyperlink"/>
            <w:noProof/>
          </w:rPr>
          <w:t>Figure 15: Example SPAD calibration function for Hazel, derived using ODR. Error bars represent expanded uncertainties (k = 2).</w:t>
        </w:r>
        <w:r w:rsidR="009E7952">
          <w:rPr>
            <w:noProof/>
            <w:webHidden/>
          </w:rPr>
          <w:tab/>
        </w:r>
        <w:r w:rsidR="009E7952">
          <w:rPr>
            <w:noProof/>
            <w:webHidden/>
          </w:rPr>
          <w:fldChar w:fldCharType="begin"/>
        </w:r>
        <w:r w:rsidR="009E7952">
          <w:rPr>
            <w:noProof/>
            <w:webHidden/>
          </w:rPr>
          <w:instrText xml:space="preserve"> PAGEREF _Toc41595350 \h </w:instrText>
        </w:r>
        <w:r w:rsidR="009E7952">
          <w:rPr>
            <w:noProof/>
            <w:webHidden/>
          </w:rPr>
        </w:r>
        <w:r w:rsidR="009E7952">
          <w:rPr>
            <w:noProof/>
            <w:webHidden/>
          </w:rPr>
          <w:fldChar w:fldCharType="separate"/>
        </w:r>
        <w:r w:rsidR="009E7952">
          <w:rPr>
            <w:noProof/>
            <w:webHidden/>
          </w:rPr>
          <w:t>43</w:t>
        </w:r>
        <w:r w:rsidR="009E7952">
          <w:rPr>
            <w:noProof/>
            <w:webHidden/>
          </w:rPr>
          <w:fldChar w:fldCharType="end"/>
        </w:r>
      </w:hyperlink>
    </w:p>
    <w:p w14:paraId="4F31296F" w14:textId="277A6341" w:rsidR="009E7952" w:rsidRDefault="00F123E0">
      <w:pPr>
        <w:pStyle w:val="TableofFigures"/>
        <w:tabs>
          <w:tab w:val="right" w:leader="dot" w:pos="9016"/>
        </w:tabs>
        <w:rPr>
          <w:rFonts w:eastAsiaTheme="minorEastAsia"/>
          <w:noProof/>
          <w:lang w:eastAsia="en-GB"/>
        </w:rPr>
      </w:pPr>
      <w:hyperlink w:anchor="_Toc41595351" w:history="1">
        <w:r w:rsidR="009E7952" w:rsidRPr="00C54C44">
          <w:rPr>
            <w:rStyle w:val="Hyperlink"/>
            <w:noProof/>
          </w:rPr>
          <w:t>Figure 16: Fish-bone diagram illustrating how the uncertainty in an individual in situ LCC measurement is derived.</w:t>
        </w:r>
        <w:r w:rsidR="009E7952">
          <w:rPr>
            <w:noProof/>
            <w:webHidden/>
          </w:rPr>
          <w:tab/>
        </w:r>
        <w:r w:rsidR="009E7952">
          <w:rPr>
            <w:noProof/>
            <w:webHidden/>
          </w:rPr>
          <w:fldChar w:fldCharType="begin"/>
        </w:r>
        <w:r w:rsidR="009E7952">
          <w:rPr>
            <w:noProof/>
            <w:webHidden/>
          </w:rPr>
          <w:instrText xml:space="preserve"> PAGEREF _Toc41595351 \h </w:instrText>
        </w:r>
        <w:r w:rsidR="009E7952">
          <w:rPr>
            <w:noProof/>
            <w:webHidden/>
          </w:rPr>
        </w:r>
        <w:r w:rsidR="009E7952">
          <w:rPr>
            <w:noProof/>
            <w:webHidden/>
          </w:rPr>
          <w:fldChar w:fldCharType="separate"/>
        </w:r>
        <w:r w:rsidR="009E7952">
          <w:rPr>
            <w:noProof/>
            <w:webHidden/>
          </w:rPr>
          <w:t>44</w:t>
        </w:r>
        <w:r w:rsidR="009E7952">
          <w:rPr>
            <w:noProof/>
            <w:webHidden/>
          </w:rPr>
          <w:fldChar w:fldCharType="end"/>
        </w:r>
      </w:hyperlink>
    </w:p>
    <w:p w14:paraId="2C0F6297" w14:textId="27F5E3F4" w:rsidR="009E7952" w:rsidRDefault="00F123E0">
      <w:pPr>
        <w:pStyle w:val="TableofFigures"/>
        <w:tabs>
          <w:tab w:val="right" w:leader="dot" w:pos="9016"/>
        </w:tabs>
        <w:rPr>
          <w:rFonts w:eastAsiaTheme="minorEastAsia"/>
          <w:noProof/>
          <w:lang w:eastAsia="en-GB"/>
        </w:rPr>
      </w:pPr>
      <w:hyperlink w:anchor="_Toc41595352" w:history="1">
        <w:r w:rsidR="009E7952" w:rsidRPr="00C54C44">
          <w:rPr>
            <w:rStyle w:val="Hyperlink"/>
            <w:noProof/>
          </w:rPr>
          <w:t>Figure 17: Wytham Woods canopy walkway (a) and during leaf-on (b) and leaf-off (c) conditions.</w:t>
        </w:r>
        <w:r w:rsidR="009E7952">
          <w:rPr>
            <w:noProof/>
            <w:webHidden/>
          </w:rPr>
          <w:tab/>
        </w:r>
        <w:r w:rsidR="009E7952">
          <w:rPr>
            <w:noProof/>
            <w:webHidden/>
          </w:rPr>
          <w:fldChar w:fldCharType="begin"/>
        </w:r>
        <w:r w:rsidR="009E7952">
          <w:rPr>
            <w:noProof/>
            <w:webHidden/>
          </w:rPr>
          <w:instrText xml:space="preserve"> PAGEREF _Toc41595352 \h </w:instrText>
        </w:r>
        <w:r w:rsidR="009E7952">
          <w:rPr>
            <w:noProof/>
            <w:webHidden/>
          </w:rPr>
        </w:r>
        <w:r w:rsidR="009E7952">
          <w:rPr>
            <w:noProof/>
            <w:webHidden/>
          </w:rPr>
          <w:fldChar w:fldCharType="separate"/>
        </w:r>
        <w:r w:rsidR="009E7952">
          <w:rPr>
            <w:noProof/>
            <w:webHidden/>
          </w:rPr>
          <w:t>49</w:t>
        </w:r>
        <w:r w:rsidR="009E7952">
          <w:rPr>
            <w:noProof/>
            <w:webHidden/>
          </w:rPr>
          <w:fldChar w:fldCharType="end"/>
        </w:r>
      </w:hyperlink>
    </w:p>
    <w:p w14:paraId="6545F778" w14:textId="4C9E5687" w:rsidR="009E7952" w:rsidRDefault="00F123E0">
      <w:pPr>
        <w:pStyle w:val="TableofFigures"/>
        <w:tabs>
          <w:tab w:val="right" w:leader="dot" w:pos="9016"/>
        </w:tabs>
        <w:rPr>
          <w:rFonts w:eastAsiaTheme="minorEastAsia"/>
          <w:noProof/>
          <w:lang w:eastAsia="en-GB"/>
        </w:rPr>
      </w:pPr>
      <w:hyperlink w:anchor="_Toc41595353" w:history="1">
        <w:r w:rsidR="009E7952" w:rsidRPr="00C54C44">
          <w:rPr>
            <w:rStyle w:val="Hyperlink"/>
            <w:noProof/>
          </w:rPr>
          <w:t>Figure 18: Map of Wytham Woods, indicating the locations of selected ESUs. High spatial resolution image acquired in May 2017. The red points represent ESUs containing nodes of the permanent wireless FAPAR sensor network.</w:t>
        </w:r>
        <w:r w:rsidR="009E7952">
          <w:rPr>
            <w:noProof/>
            <w:webHidden/>
          </w:rPr>
          <w:tab/>
        </w:r>
        <w:r w:rsidR="009E7952">
          <w:rPr>
            <w:noProof/>
            <w:webHidden/>
          </w:rPr>
          <w:fldChar w:fldCharType="begin"/>
        </w:r>
        <w:r w:rsidR="009E7952">
          <w:rPr>
            <w:noProof/>
            <w:webHidden/>
          </w:rPr>
          <w:instrText xml:space="preserve"> PAGEREF _Toc41595353 \h </w:instrText>
        </w:r>
        <w:r w:rsidR="009E7952">
          <w:rPr>
            <w:noProof/>
            <w:webHidden/>
          </w:rPr>
        </w:r>
        <w:r w:rsidR="009E7952">
          <w:rPr>
            <w:noProof/>
            <w:webHidden/>
          </w:rPr>
          <w:fldChar w:fldCharType="separate"/>
        </w:r>
        <w:r w:rsidR="009E7952">
          <w:rPr>
            <w:noProof/>
            <w:webHidden/>
          </w:rPr>
          <w:t>50</w:t>
        </w:r>
        <w:r w:rsidR="009E7952">
          <w:rPr>
            <w:noProof/>
            <w:webHidden/>
          </w:rPr>
          <w:fldChar w:fldCharType="end"/>
        </w:r>
      </w:hyperlink>
    </w:p>
    <w:p w14:paraId="3D2831AD" w14:textId="4833B4C6" w:rsidR="00E87ED8" w:rsidRDefault="00E4651D" w:rsidP="00E87ED8">
      <w:pPr>
        <w:tabs>
          <w:tab w:val="left" w:pos="1257"/>
        </w:tabs>
        <w:spacing w:line="360" w:lineRule="auto"/>
      </w:pPr>
      <w:r>
        <w:fldChar w:fldCharType="end"/>
      </w:r>
    </w:p>
    <w:p w14:paraId="7D5014A9" w14:textId="3FDCB572" w:rsidR="00105321" w:rsidRDefault="00247619" w:rsidP="00FD3124">
      <w:pPr>
        <w:pStyle w:val="Heading5"/>
      </w:pPr>
      <w:bookmarkStart w:id="4" w:name="_Toc44515949"/>
      <w:r w:rsidRPr="00247619">
        <w:t>List of Tables</w:t>
      </w:r>
      <w:bookmarkEnd w:id="4"/>
    </w:p>
    <w:p w14:paraId="01322050" w14:textId="77777777" w:rsidR="00257D7B" w:rsidRPr="00FD3124" w:rsidRDefault="00257D7B" w:rsidP="0069303D">
      <w:pPr>
        <w:tabs>
          <w:tab w:val="left" w:pos="1257"/>
        </w:tabs>
        <w:spacing w:after="0"/>
        <w:rPr>
          <w:rFonts w:cstheme="minorHAnsi"/>
          <w:color w:val="0066B7" w:themeColor="accent1" w:themeShade="80"/>
        </w:rPr>
      </w:pPr>
    </w:p>
    <w:p w14:paraId="7FBF9120" w14:textId="5ACBD326" w:rsidR="009E7952" w:rsidRDefault="00E4651D">
      <w:pPr>
        <w:pStyle w:val="TableofFigures"/>
        <w:tabs>
          <w:tab w:val="right" w:leader="dot" w:pos="9016"/>
        </w:tabs>
        <w:rPr>
          <w:rFonts w:eastAsiaTheme="minorEastAsia"/>
          <w:noProof/>
          <w:lang w:eastAsia="en-GB"/>
        </w:rPr>
      </w:pPr>
      <w:r>
        <w:rPr>
          <w:rFonts w:asciiTheme="majorHAnsi" w:hAnsiTheme="majorHAnsi" w:cstheme="majorHAnsi"/>
          <w:color w:val="0066B7" w:themeColor="accent1" w:themeShade="80"/>
          <w:sz w:val="32"/>
          <w:szCs w:val="32"/>
        </w:rPr>
        <w:fldChar w:fldCharType="begin"/>
      </w:r>
      <w:r>
        <w:rPr>
          <w:rFonts w:asciiTheme="majorHAnsi" w:hAnsiTheme="majorHAnsi" w:cstheme="majorHAnsi"/>
          <w:color w:val="0066B7" w:themeColor="accent1" w:themeShade="80"/>
          <w:sz w:val="32"/>
          <w:szCs w:val="32"/>
        </w:rPr>
        <w:instrText xml:space="preserve"> TOC \h \z \c "Table" </w:instrText>
      </w:r>
      <w:r>
        <w:rPr>
          <w:rFonts w:asciiTheme="majorHAnsi" w:hAnsiTheme="majorHAnsi" w:cstheme="majorHAnsi"/>
          <w:color w:val="0066B7" w:themeColor="accent1" w:themeShade="80"/>
          <w:sz w:val="32"/>
          <w:szCs w:val="32"/>
        </w:rPr>
        <w:fldChar w:fldCharType="separate"/>
      </w:r>
      <w:hyperlink w:anchor="_Toc41595354" w:history="1">
        <w:r w:rsidR="009E7952" w:rsidRPr="00C92EA9">
          <w:rPr>
            <w:rStyle w:val="Hyperlink"/>
            <w:noProof/>
          </w:rPr>
          <w:t>Table 1: Typical values of x for different crops [15].</w:t>
        </w:r>
        <w:r w:rsidR="009E7952">
          <w:rPr>
            <w:noProof/>
            <w:webHidden/>
          </w:rPr>
          <w:tab/>
        </w:r>
        <w:r w:rsidR="009E7952">
          <w:rPr>
            <w:noProof/>
            <w:webHidden/>
          </w:rPr>
          <w:fldChar w:fldCharType="begin"/>
        </w:r>
        <w:r w:rsidR="009E7952">
          <w:rPr>
            <w:noProof/>
            <w:webHidden/>
          </w:rPr>
          <w:instrText xml:space="preserve"> PAGEREF _Toc41595354 \h </w:instrText>
        </w:r>
        <w:r w:rsidR="009E7952">
          <w:rPr>
            <w:noProof/>
            <w:webHidden/>
          </w:rPr>
        </w:r>
        <w:r w:rsidR="009E7952">
          <w:rPr>
            <w:noProof/>
            <w:webHidden/>
          </w:rPr>
          <w:fldChar w:fldCharType="separate"/>
        </w:r>
        <w:r w:rsidR="009E7952">
          <w:rPr>
            <w:noProof/>
            <w:webHidden/>
          </w:rPr>
          <w:t>17</w:t>
        </w:r>
        <w:r w:rsidR="009E7952">
          <w:rPr>
            <w:noProof/>
            <w:webHidden/>
          </w:rPr>
          <w:fldChar w:fldCharType="end"/>
        </w:r>
      </w:hyperlink>
    </w:p>
    <w:p w14:paraId="732F6C76" w14:textId="3BA7CF10" w:rsidR="009E7952" w:rsidRDefault="00F123E0">
      <w:pPr>
        <w:pStyle w:val="TableofFigures"/>
        <w:tabs>
          <w:tab w:val="right" w:leader="dot" w:pos="9016"/>
        </w:tabs>
        <w:rPr>
          <w:rFonts w:eastAsiaTheme="minorEastAsia"/>
          <w:noProof/>
          <w:lang w:eastAsia="en-GB"/>
        </w:rPr>
      </w:pPr>
      <w:hyperlink w:anchor="_Toc41595355" w:history="1">
        <w:r w:rsidR="009E7952" w:rsidRPr="00C92EA9">
          <w:rPr>
            <w:rStyle w:val="Hyperlink"/>
            <w:noProof/>
          </w:rPr>
          <w:t>Table 2: Spectrophotometric equations to convert absorption values to the concentrations of chlorophyll-a and -b for different solvents and spectrophotometer spectral resolutions [20].</w:t>
        </w:r>
        <w:r w:rsidR="009E7952">
          <w:rPr>
            <w:noProof/>
            <w:webHidden/>
          </w:rPr>
          <w:tab/>
        </w:r>
        <w:r w:rsidR="009E7952">
          <w:rPr>
            <w:noProof/>
            <w:webHidden/>
          </w:rPr>
          <w:fldChar w:fldCharType="begin"/>
        </w:r>
        <w:r w:rsidR="009E7952">
          <w:rPr>
            <w:noProof/>
            <w:webHidden/>
          </w:rPr>
          <w:instrText xml:space="preserve"> PAGEREF _Toc41595355 \h </w:instrText>
        </w:r>
        <w:r w:rsidR="009E7952">
          <w:rPr>
            <w:noProof/>
            <w:webHidden/>
          </w:rPr>
        </w:r>
        <w:r w:rsidR="009E7952">
          <w:rPr>
            <w:noProof/>
            <w:webHidden/>
          </w:rPr>
          <w:fldChar w:fldCharType="separate"/>
        </w:r>
        <w:r w:rsidR="009E7952">
          <w:rPr>
            <w:noProof/>
            <w:webHidden/>
          </w:rPr>
          <w:t>19</w:t>
        </w:r>
        <w:r w:rsidR="009E7952">
          <w:rPr>
            <w:noProof/>
            <w:webHidden/>
          </w:rPr>
          <w:fldChar w:fldCharType="end"/>
        </w:r>
      </w:hyperlink>
    </w:p>
    <w:p w14:paraId="7D60E42C" w14:textId="7FF2FD5F" w:rsidR="009E7952" w:rsidRDefault="00F123E0">
      <w:pPr>
        <w:pStyle w:val="TableofFigures"/>
        <w:tabs>
          <w:tab w:val="right" w:leader="dot" w:pos="9016"/>
        </w:tabs>
        <w:rPr>
          <w:rFonts w:eastAsiaTheme="minorEastAsia"/>
          <w:noProof/>
          <w:lang w:eastAsia="en-GB"/>
        </w:rPr>
      </w:pPr>
      <w:hyperlink w:anchor="_Toc41595356" w:history="1">
        <w:r w:rsidR="009E7952" w:rsidRPr="00C92EA9">
          <w:rPr>
            <w:rStyle w:val="Hyperlink"/>
            <w:noProof/>
          </w:rPr>
          <w:t>Table 3: Uncertainty sources associated with in situ measurements of FAPAR performed using quantum sensors.</w:t>
        </w:r>
        <w:r w:rsidR="009E7952">
          <w:rPr>
            <w:noProof/>
            <w:webHidden/>
          </w:rPr>
          <w:tab/>
        </w:r>
        <w:r w:rsidR="009E7952">
          <w:rPr>
            <w:noProof/>
            <w:webHidden/>
          </w:rPr>
          <w:fldChar w:fldCharType="begin"/>
        </w:r>
        <w:r w:rsidR="009E7952">
          <w:rPr>
            <w:noProof/>
            <w:webHidden/>
          </w:rPr>
          <w:instrText xml:space="preserve"> PAGEREF _Toc41595356 \h </w:instrText>
        </w:r>
        <w:r w:rsidR="009E7952">
          <w:rPr>
            <w:noProof/>
            <w:webHidden/>
          </w:rPr>
        </w:r>
        <w:r w:rsidR="009E7952">
          <w:rPr>
            <w:noProof/>
            <w:webHidden/>
          </w:rPr>
          <w:fldChar w:fldCharType="separate"/>
        </w:r>
        <w:r w:rsidR="009E7952">
          <w:rPr>
            <w:noProof/>
            <w:webHidden/>
          </w:rPr>
          <w:t>34</w:t>
        </w:r>
        <w:r w:rsidR="009E7952">
          <w:rPr>
            <w:noProof/>
            <w:webHidden/>
          </w:rPr>
          <w:fldChar w:fldCharType="end"/>
        </w:r>
      </w:hyperlink>
    </w:p>
    <w:p w14:paraId="091E6F30" w14:textId="75F1E53D" w:rsidR="009E7952" w:rsidRDefault="00F123E0">
      <w:pPr>
        <w:pStyle w:val="TableofFigures"/>
        <w:tabs>
          <w:tab w:val="right" w:leader="dot" w:pos="9016"/>
        </w:tabs>
        <w:rPr>
          <w:rFonts w:eastAsiaTheme="minorEastAsia"/>
          <w:noProof/>
          <w:lang w:eastAsia="en-GB"/>
        </w:rPr>
      </w:pPr>
      <w:hyperlink w:anchor="_Toc41595357" w:history="1">
        <w:r w:rsidR="009E7952" w:rsidRPr="00C92EA9">
          <w:rPr>
            <w:rStyle w:val="Hyperlink"/>
            <w:noProof/>
          </w:rPr>
          <w:t>Table 4: Uncertainty sources associated with in situ measurements of FIPAR derived from multi-angular measurements of gap fraction.</w:t>
        </w:r>
        <w:r w:rsidR="009E7952">
          <w:rPr>
            <w:noProof/>
            <w:webHidden/>
          </w:rPr>
          <w:tab/>
        </w:r>
        <w:r w:rsidR="009E7952">
          <w:rPr>
            <w:noProof/>
            <w:webHidden/>
          </w:rPr>
          <w:fldChar w:fldCharType="begin"/>
        </w:r>
        <w:r w:rsidR="009E7952">
          <w:rPr>
            <w:noProof/>
            <w:webHidden/>
          </w:rPr>
          <w:instrText xml:space="preserve"> PAGEREF _Toc41595357 \h </w:instrText>
        </w:r>
        <w:r w:rsidR="009E7952">
          <w:rPr>
            <w:noProof/>
            <w:webHidden/>
          </w:rPr>
        </w:r>
        <w:r w:rsidR="009E7952">
          <w:rPr>
            <w:noProof/>
            <w:webHidden/>
          </w:rPr>
          <w:fldChar w:fldCharType="separate"/>
        </w:r>
        <w:r w:rsidR="009E7952">
          <w:rPr>
            <w:noProof/>
            <w:webHidden/>
          </w:rPr>
          <w:t>35</w:t>
        </w:r>
        <w:r w:rsidR="009E7952">
          <w:rPr>
            <w:noProof/>
            <w:webHidden/>
          </w:rPr>
          <w:fldChar w:fldCharType="end"/>
        </w:r>
      </w:hyperlink>
    </w:p>
    <w:p w14:paraId="6F9C3A02" w14:textId="08858B48" w:rsidR="009E7952" w:rsidRDefault="00F123E0">
      <w:pPr>
        <w:pStyle w:val="TableofFigures"/>
        <w:tabs>
          <w:tab w:val="right" w:leader="dot" w:pos="9016"/>
        </w:tabs>
        <w:rPr>
          <w:rFonts w:eastAsiaTheme="minorEastAsia"/>
          <w:noProof/>
          <w:lang w:eastAsia="en-GB"/>
        </w:rPr>
      </w:pPr>
      <w:hyperlink w:anchor="_Toc41595358" w:history="1">
        <w:r w:rsidR="009E7952" w:rsidRPr="00C92EA9">
          <w:rPr>
            <w:rStyle w:val="Hyperlink"/>
            <w:rFonts w:cstheme="minorHAnsi"/>
            <w:noProof/>
          </w:rPr>
          <w:t>Table 5: Cloud-free availability of Sentinel-2 MSI data over Wytham Woods (red to green colour scale represents the minimum to maximum number of available scenes).</w:t>
        </w:r>
        <w:r w:rsidR="009E7952">
          <w:rPr>
            <w:noProof/>
            <w:webHidden/>
          </w:rPr>
          <w:tab/>
        </w:r>
        <w:r w:rsidR="009E7952">
          <w:rPr>
            <w:noProof/>
            <w:webHidden/>
          </w:rPr>
          <w:fldChar w:fldCharType="begin"/>
        </w:r>
        <w:r w:rsidR="009E7952">
          <w:rPr>
            <w:noProof/>
            <w:webHidden/>
          </w:rPr>
          <w:instrText xml:space="preserve"> PAGEREF _Toc41595358 \h </w:instrText>
        </w:r>
        <w:r w:rsidR="009E7952">
          <w:rPr>
            <w:noProof/>
            <w:webHidden/>
          </w:rPr>
        </w:r>
        <w:r w:rsidR="009E7952">
          <w:rPr>
            <w:noProof/>
            <w:webHidden/>
          </w:rPr>
          <w:fldChar w:fldCharType="separate"/>
        </w:r>
        <w:r w:rsidR="009E7952">
          <w:rPr>
            <w:noProof/>
            <w:webHidden/>
          </w:rPr>
          <w:t>51</w:t>
        </w:r>
        <w:r w:rsidR="009E7952">
          <w:rPr>
            <w:noProof/>
            <w:webHidden/>
          </w:rPr>
          <w:fldChar w:fldCharType="end"/>
        </w:r>
      </w:hyperlink>
    </w:p>
    <w:p w14:paraId="576A5A0F" w14:textId="3BA1A88C" w:rsidR="009E7952" w:rsidRDefault="00F123E0">
      <w:pPr>
        <w:pStyle w:val="TableofFigures"/>
        <w:tabs>
          <w:tab w:val="right" w:leader="dot" w:pos="9016"/>
        </w:tabs>
        <w:rPr>
          <w:rFonts w:eastAsiaTheme="minorEastAsia"/>
          <w:noProof/>
          <w:lang w:eastAsia="en-GB"/>
        </w:rPr>
      </w:pPr>
      <w:hyperlink w:anchor="_Toc41595359" w:history="1">
        <w:r w:rsidR="009E7952" w:rsidRPr="00C92EA9">
          <w:rPr>
            <w:rStyle w:val="Hyperlink"/>
            <w:noProof/>
          </w:rPr>
          <w:t>Table 6: Overpass schedule for the Wytham Woods campaign (all times UTC).</w:t>
        </w:r>
        <w:r w:rsidR="009E7952">
          <w:rPr>
            <w:noProof/>
            <w:webHidden/>
          </w:rPr>
          <w:tab/>
        </w:r>
        <w:r w:rsidR="009E7952">
          <w:rPr>
            <w:noProof/>
            <w:webHidden/>
          </w:rPr>
          <w:fldChar w:fldCharType="begin"/>
        </w:r>
        <w:r w:rsidR="009E7952">
          <w:rPr>
            <w:noProof/>
            <w:webHidden/>
          </w:rPr>
          <w:instrText xml:space="preserve"> PAGEREF _Toc41595359 \h </w:instrText>
        </w:r>
        <w:r w:rsidR="009E7952">
          <w:rPr>
            <w:noProof/>
            <w:webHidden/>
          </w:rPr>
        </w:r>
        <w:r w:rsidR="009E7952">
          <w:rPr>
            <w:noProof/>
            <w:webHidden/>
          </w:rPr>
          <w:fldChar w:fldCharType="separate"/>
        </w:r>
        <w:r w:rsidR="009E7952">
          <w:rPr>
            <w:noProof/>
            <w:webHidden/>
          </w:rPr>
          <w:t>51</w:t>
        </w:r>
        <w:r w:rsidR="009E7952">
          <w:rPr>
            <w:noProof/>
            <w:webHidden/>
          </w:rPr>
          <w:fldChar w:fldCharType="end"/>
        </w:r>
      </w:hyperlink>
    </w:p>
    <w:p w14:paraId="4B2D6BEA" w14:textId="260DCAB1" w:rsidR="0011208A" w:rsidRDefault="00E4651D" w:rsidP="00FD3124">
      <w:pPr>
        <w:sectPr w:rsidR="0011208A" w:rsidSect="00C036F8">
          <w:pgSz w:w="11906" w:h="16838"/>
          <w:pgMar w:top="1440" w:right="1440" w:bottom="1440" w:left="1440" w:header="708" w:footer="708" w:gutter="0"/>
          <w:cols w:space="708"/>
          <w:docGrid w:linePitch="360"/>
        </w:sectPr>
      </w:pPr>
      <w:r>
        <w:fldChar w:fldCharType="end"/>
      </w:r>
    </w:p>
    <w:p w14:paraId="17D770D1" w14:textId="1482A759" w:rsidR="00105321" w:rsidRDefault="00247619" w:rsidP="00FD3124">
      <w:pPr>
        <w:pStyle w:val="Heading5"/>
      </w:pPr>
      <w:bookmarkStart w:id="5" w:name="_Toc44515950"/>
      <w:r w:rsidRPr="00247619">
        <w:lastRenderedPageBreak/>
        <w:t>Acronyms</w:t>
      </w:r>
      <w:bookmarkEnd w:id="5"/>
    </w:p>
    <w:p w14:paraId="658E68BD" w14:textId="77777777" w:rsidR="000043E3" w:rsidRPr="000043E3" w:rsidRDefault="000043E3" w:rsidP="0069303D">
      <w:pPr>
        <w:spacing w:after="0"/>
      </w:pP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352"/>
      </w:tblGrid>
      <w:tr w:rsidR="00685455" w:rsidRPr="001E3CBF" w14:paraId="74363526" w14:textId="77777777" w:rsidTr="0069303D">
        <w:trPr>
          <w:trHeight w:val="288"/>
        </w:trPr>
        <w:tc>
          <w:tcPr>
            <w:tcW w:w="923" w:type="pct"/>
          </w:tcPr>
          <w:p w14:paraId="6B6160B3" w14:textId="77777777" w:rsidR="00685455" w:rsidRPr="00042E0C" w:rsidRDefault="00685455" w:rsidP="006F099C">
            <w:pPr>
              <w:rPr>
                <w:b/>
                <w:bCs/>
              </w:rPr>
            </w:pPr>
            <w:r w:rsidRPr="00042E0C">
              <w:rPr>
                <w:b/>
                <w:bCs/>
              </w:rPr>
              <w:t>Abbreviation</w:t>
            </w:r>
          </w:p>
        </w:tc>
        <w:tc>
          <w:tcPr>
            <w:tcW w:w="4077" w:type="pct"/>
          </w:tcPr>
          <w:p w14:paraId="11C79A82" w14:textId="7EC791BB" w:rsidR="00685455" w:rsidRPr="00042E0C" w:rsidRDefault="00685455" w:rsidP="006F099C">
            <w:pPr>
              <w:rPr>
                <w:b/>
                <w:bCs/>
              </w:rPr>
            </w:pPr>
            <w:r w:rsidRPr="00042E0C">
              <w:rPr>
                <w:b/>
                <w:bCs/>
              </w:rPr>
              <w:t xml:space="preserve">Stands </w:t>
            </w:r>
            <w:r w:rsidR="009E7952" w:rsidRPr="00042E0C">
              <w:rPr>
                <w:b/>
                <w:bCs/>
              </w:rPr>
              <w:t>F</w:t>
            </w:r>
            <w:r w:rsidRPr="00042E0C">
              <w:rPr>
                <w:b/>
                <w:bCs/>
              </w:rPr>
              <w:t>or</w:t>
            </w:r>
          </w:p>
        </w:tc>
      </w:tr>
      <w:tr w:rsidR="00685455" w:rsidRPr="00902631" w14:paraId="781E90A9" w14:textId="77777777" w:rsidTr="0069303D">
        <w:trPr>
          <w:trHeight w:val="79"/>
        </w:trPr>
        <w:tc>
          <w:tcPr>
            <w:tcW w:w="923" w:type="pct"/>
          </w:tcPr>
          <w:p w14:paraId="2783B6E7" w14:textId="77777777" w:rsidR="00685455" w:rsidRPr="00902631" w:rsidRDefault="00685455" w:rsidP="006F099C">
            <w:r w:rsidRPr="00902631">
              <w:t>AOT</w:t>
            </w:r>
          </w:p>
        </w:tc>
        <w:tc>
          <w:tcPr>
            <w:tcW w:w="4077" w:type="pct"/>
          </w:tcPr>
          <w:p w14:paraId="030C75EB" w14:textId="77777777" w:rsidR="00685455" w:rsidRPr="00902631" w:rsidRDefault="00685455" w:rsidP="006F099C">
            <w:r w:rsidRPr="00902631">
              <w:t>Aerosol optical thickness</w:t>
            </w:r>
          </w:p>
        </w:tc>
      </w:tr>
      <w:tr w:rsidR="00685455" w:rsidRPr="00902631" w14:paraId="43B49E17" w14:textId="77777777" w:rsidTr="0069303D">
        <w:trPr>
          <w:trHeight w:val="79"/>
        </w:trPr>
        <w:tc>
          <w:tcPr>
            <w:tcW w:w="923" w:type="pct"/>
          </w:tcPr>
          <w:p w14:paraId="6D7039EC" w14:textId="50FA9CEF" w:rsidR="00323C73" w:rsidRPr="00902631" w:rsidRDefault="00685455" w:rsidP="006F099C">
            <w:r w:rsidRPr="00902631">
              <w:t>CCC</w:t>
            </w:r>
          </w:p>
        </w:tc>
        <w:tc>
          <w:tcPr>
            <w:tcW w:w="4077" w:type="pct"/>
          </w:tcPr>
          <w:p w14:paraId="056B13B1" w14:textId="67C5DA56" w:rsidR="00323C73" w:rsidRPr="00902631" w:rsidRDefault="00685455" w:rsidP="008B0BB9">
            <w:r w:rsidRPr="00902631">
              <w:t>Canopy chlorophyll content</w:t>
            </w:r>
          </w:p>
        </w:tc>
      </w:tr>
      <w:tr w:rsidR="008B0BB9" w:rsidRPr="00902631" w14:paraId="63C7A72D" w14:textId="77777777" w:rsidTr="0069303D">
        <w:trPr>
          <w:trHeight w:val="79"/>
        </w:trPr>
        <w:tc>
          <w:tcPr>
            <w:tcW w:w="923" w:type="pct"/>
          </w:tcPr>
          <w:p w14:paraId="119461C2" w14:textId="4836AE82" w:rsidR="008B0BB9" w:rsidRPr="00902631" w:rsidRDefault="008B0BB9" w:rsidP="006F099C">
            <w:r>
              <w:t>CEOS</w:t>
            </w:r>
          </w:p>
        </w:tc>
        <w:tc>
          <w:tcPr>
            <w:tcW w:w="4077" w:type="pct"/>
          </w:tcPr>
          <w:p w14:paraId="0476FCAA" w14:textId="41C1CAF4" w:rsidR="008B0BB9" w:rsidRPr="00902631" w:rsidRDefault="008B0BB9" w:rsidP="006F099C">
            <w:r>
              <w:t>Committee on Earth Observation Satellites</w:t>
            </w:r>
          </w:p>
        </w:tc>
      </w:tr>
      <w:tr w:rsidR="00685455" w:rsidRPr="00902631" w14:paraId="23803453" w14:textId="77777777" w:rsidTr="0069303D">
        <w:trPr>
          <w:trHeight w:val="268"/>
        </w:trPr>
        <w:tc>
          <w:tcPr>
            <w:tcW w:w="923" w:type="pct"/>
          </w:tcPr>
          <w:p w14:paraId="7C7A22B6" w14:textId="77777777" w:rsidR="00685455" w:rsidRPr="00902631" w:rsidRDefault="00685455" w:rsidP="006F099C">
            <w:r w:rsidRPr="00902631">
              <w:t>CIP</w:t>
            </w:r>
          </w:p>
        </w:tc>
        <w:tc>
          <w:tcPr>
            <w:tcW w:w="4077" w:type="pct"/>
          </w:tcPr>
          <w:p w14:paraId="74929753" w14:textId="77777777" w:rsidR="00685455" w:rsidRPr="00902631" w:rsidRDefault="00685455" w:rsidP="006F099C">
            <w:r w:rsidRPr="00902631">
              <w:t>Campaign Implementation Plan</w:t>
            </w:r>
          </w:p>
        </w:tc>
      </w:tr>
      <w:tr w:rsidR="00685455" w:rsidRPr="00902631" w14:paraId="371C2404" w14:textId="77777777" w:rsidTr="0069303D">
        <w:trPr>
          <w:trHeight w:val="79"/>
        </w:trPr>
        <w:tc>
          <w:tcPr>
            <w:tcW w:w="923" w:type="pct"/>
          </w:tcPr>
          <w:p w14:paraId="7F625CC1" w14:textId="77777777" w:rsidR="00685455" w:rsidRPr="00902631" w:rsidRDefault="00685455" w:rsidP="006F099C">
            <w:r w:rsidRPr="00902631">
              <w:t>CORINE</w:t>
            </w:r>
          </w:p>
        </w:tc>
        <w:tc>
          <w:tcPr>
            <w:tcW w:w="4077" w:type="pct"/>
          </w:tcPr>
          <w:p w14:paraId="7B8D5EC2" w14:textId="77777777" w:rsidR="00685455" w:rsidRPr="00902631" w:rsidRDefault="00685455" w:rsidP="006F099C">
            <w:r w:rsidRPr="00902631">
              <w:t>Coordination of Information on the Environment</w:t>
            </w:r>
          </w:p>
        </w:tc>
      </w:tr>
      <w:tr w:rsidR="00685455" w:rsidRPr="00902631" w14:paraId="4A1BB2F3" w14:textId="77777777" w:rsidTr="0069303D">
        <w:trPr>
          <w:trHeight w:val="79"/>
        </w:trPr>
        <w:tc>
          <w:tcPr>
            <w:tcW w:w="923" w:type="pct"/>
          </w:tcPr>
          <w:p w14:paraId="4A7506FB" w14:textId="77777777" w:rsidR="00685455" w:rsidRPr="00902631" w:rsidRDefault="00685455" w:rsidP="006F099C">
            <w:r w:rsidRPr="00902631">
              <w:t>DHP</w:t>
            </w:r>
          </w:p>
        </w:tc>
        <w:tc>
          <w:tcPr>
            <w:tcW w:w="4077" w:type="pct"/>
          </w:tcPr>
          <w:p w14:paraId="0699AFBE" w14:textId="77777777" w:rsidR="00685455" w:rsidRPr="00902631" w:rsidRDefault="00685455" w:rsidP="006F099C">
            <w:r w:rsidRPr="00902631">
              <w:t>Digital hemispherical photography</w:t>
            </w:r>
          </w:p>
        </w:tc>
      </w:tr>
      <w:tr w:rsidR="00685455" w:rsidRPr="00902631" w14:paraId="6B9E5BEB" w14:textId="77777777" w:rsidTr="0069303D">
        <w:trPr>
          <w:trHeight w:val="79"/>
        </w:trPr>
        <w:tc>
          <w:tcPr>
            <w:tcW w:w="923" w:type="pct"/>
          </w:tcPr>
          <w:p w14:paraId="23ACF1B7" w14:textId="77777777" w:rsidR="00685455" w:rsidRPr="00902631" w:rsidRDefault="00685455" w:rsidP="006F099C">
            <w:r w:rsidRPr="00902631">
              <w:t>DMF</w:t>
            </w:r>
          </w:p>
        </w:tc>
        <w:tc>
          <w:tcPr>
            <w:tcW w:w="4077" w:type="pct"/>
          </w:tcPr>
          <w:p w14:paraId="3CC1C05D" w14:textId="77777777" w:rsidR="00685455" w:rsidRPr="00902631" w:rsidRDefault="00685455" w:rsidP="006F099C">
            <w:r w:rsidRPr="00902631">
              <w:t>Dimethyl-formamide</w:t>
            </w:r>
          </w:p>
        </w:tc>
      </w:tr>
      <w:tr w:rsidR="00685455" w:rsidRPr="00902631" w14:paraId="02D1CE38" w14:textId="77777777" w:rsidTr="0069303D">
        <w:trPr>
          <w:trHeight w:val="79"/>
        </w:trPr>
        <w:tc>
          <w:tcPr>
            <w:tcW w:w="923" w:type="pct"/>
          </w:tcPr>
          <w:p w14:paraId="353928E7" w14:textId="77777777" w:rsidR="00685455" w:rsidRPr="00902631" w:rsidRDefault="00685455" w:rsidP="006F099C">
            <w:r w:rsidRPr="00902631">
              <w:t>DMSO</w:t>
            </w:r>
          </w:p>
        </w:tc>
        <w:tc>
          <w:tcPr>
            <w:tcW w:w="4077" w:type="pct"/>
          </w:tcPr>
          <w:p w14:paraId="6CE2FA5C" w14:textId="77777777" w:rsidR="00685455" w:rsidRPr="00902631" w:rsidRDefault="00685455" w:rsidP="006F099C">
            <w:r w:rsidRPr="00902631">
              <w:t>Dimethyl-sulfoxide</w:t>
            </w:r>
          </w:p>
        </w:tc>
      </w:tr>
      <w:tr w:rsidR="00685455" w:rsidRPr="00902631" w14:paraId="2873BE1B" w14:textId="77777777" w:rsidTr="0069303D">
        <w:trPr>
          <w:trHeight w:val="79"/>
        </w:trPr>
        <w:tc>
          <w:tcPr>
            <w:tcW w:w="923" w:type="pct"/>
          </w:tcPr>
          <w:p w14:paraId="45E0FB88" w14:textId="77777777" w:rsidR="00685455" w:rsidRPr="00902631" w:rsidRDefault="00685455" w:rsidP="006F099C">
            <w:r w:rsidRPr="00902631">
              <w:t>DPOF</w:t>
            </w:r>
          </w:p>
        </w:tc>
        <w:tc>
          <w:tcPr>
            <w:tcW w:w="4077" w:type="pct"/>
          </w:tcPr>
          <w:p w14:paraId="631E6B4B" w14:textId="77777777" w:rsidR="00685455" w:rsidRPr="00902631" w:rsidRDefault="00685455" w:rsidP="006F099C">
            <w:r w:rsidRPr="00902631">
              <w:t>Digital print order format</w:t>
            </w:r>
          </w:p>
        </w:tc>
      </w:tr>
      <w:tr w:rsidR="00685455" w:rsidRPr="00902631" w14:paraId="049E56D7" w14:textId="77777777" w:rsidTr="0069303D">
        <w:trPr>
          <w:trHeight w:val="79"/>
        </w:trPr>
        <w:tc>
          <w:tcPr>
            <w:tcW w:w="923" w:type="pct"/>
          </w:tcPr>
          <w:p w14:paraId="7B50E61A" w14:textId="77777777" w:rsidR="00685455" w:rsidRPr="00902631" w:rsidRDefault="00685455" w:rsidP="006F099C">
            <w:r w:rsidRPr="00902631">
              <w:t>DSLR</w:t>
            </w:r>
          </w:p>
        </w:tc>
        <w:tc>
          <w:tcPr>
            <w:tcW w:w="4077" w:type="pct"/>
          </w:tcPr>
          <w:p w14:paraId="69985A8B" w14:textId="77777777" w:rsidR="00685455" w:rsidRPr="00902631" w:rsidRDefault="00685455" w:rsidP="006F099C">
            <w:r w:rsidRPr="00902631">
              <w:t>Digital single lens reflex</w:t>
            </w:r>
          </w:p>
        </w:tc>
      </w:tr>
      <w:tr w:rsidR="00685455" w:rsidRPr="00902631" w14:paraId="26C3BFB7" w14:textId="77777777" w:rsidTr="0069303D">
        <w:trPr>
          <w:trHeight w:val="79"/>
        </w:trPr>
        <w:tc>
          <w:tcPr>
            <w:tcW w:w="923" w:type="pct"/>
          </w:tcPr>
          <w:p w14:paraId="497639EA" w14:textId="77777777" w:rsidR="00685455" w:rsidRPr="00902631" w:rsidRDefault="00685455" w:rsidP="006F099C">
            <w:r w:rsidRPr="00902631">
              <w:t>EOLAB</w:t>
            </w:r>
          </w:p>
        </w:tc>
        <w:tc>
          <w:tcPr>
            <w:tcW w:w="4077" w:type="pct"/>
          </w:tcPr>
          <w:p w14:paraId="5798AE9B" w14:textId="77777777" w:rsidR="00685455" w:rsidRPr="00902631" w:rsidRDefault="00685455" w:rsidP="006F099C">
            <w:r w:rsidRPr="00902631">
              <w:t>Earth Observation Laboratory</w:t>
            </w:r>
          </w:p>
        </w:tc>
      </w:tr>
      <w:tr w:rsidR="00685455" w:rsidRPr="00902631" w14:paraId="1122BF10" w14:textId="77777777" w:rsidTr="0069303D">
        <w:trPr>
          <w:trHeight w:val="79"/>
        </w:trPr>
        <w:tc>
          <w:tcPr>
            <w:tcW w:w="923" w:type="pct"/>
          </w:tcPr>
          <w:p w14:paraId="13595310" w14:textId="77777777" w:rsidR="00685455" w:rsidRPr="00902631" w:rsidRDefault="00685455" w:rsidP="008B0BB9">
            <w:r w:rsidRPr="00902631">
              <w:t>ECV</w:t>
            </w:r>
          </w:p>
        </w:tc>
        <w:tc>
          <w:tcPr>
            <w:tcW w:w="4077" w:type="pct"/>
          </w:tcPr>
          <w:p w14:paraId="64D44874" w14:textId="77777777" w:rsidR="00685455" w:rsidRPr="00902631" w:rsidRDefault="00685455" w:rsidP="008B0BB9">
            <w:r w:rsidRPr="00902631">
              <w:t>Essential climate variable</w:t>
            </w:r>
          </w:p>
        </w:tc>
      </w:tr>
      <w:tr w:rsidR="00685455" w:rsidRPr="00902631" w14:paraId="337511A6" w14:textId="77777777" w:rsidTr="0069303D">
        <w:trPr>
          <w:trHeight w:val="265"/>
        </w:trPr>
        <w:tc>
          <w:tcPr>
            <w:tcW w:w="923" w:type="pct"/>
          </w:tcPr>
          <w:p w14:paraId="02926B19" w14:textId="77777777" w:rsidR="00685455" w:rsidRPr="00902631" w:rsidRDefault="00685455" w:rsidP="008B0BB9">
            <w:r w:rsidRPr="00902631">
              <w:t>ESA</w:t>
            </w:r>
          </w:p>
        </w:tc>
        <w:tc>
          <w:tcPr>
            <w:tcW w:w="4077" w:type="pct"/>
          </w:tcPr>
          <w:p w14:paraId="46234592" w14:textId="77777777" w:rsidR="00685455" w:rsidRPr="00902631" w:rsidRDefault="00685455" w:rsidP="008B0BB9">
            <w:r w:rsidRPr="00902631">
              <w:t>European Space Agency</w:t>
            </w:r>
          </w:p>
        </w:tc>
      </w:tr>
      <w:tr w:rsidR="00685455" w:rsidRPr="00902631" w14:paraId="10BF5CC8" w14:textId="77777777" w:rsidTr="0069303D">
        <w:trPr>
          <w:trHeight w:val="79"/>
        </w:trPr>
        <w:tc>
          <w:tcPr>
            <w:tcW w:w="923" w:type="pct"/>
          </w:tcPr>
          <w:p w14:paraId="2D32E340" w14:textId="77777777" w:rsidR="00685455" w:rsidRPr="00902631" w:rsidRDefault="00685455" w:rsidP="008B0BB9">
            <w:r w:rsidRPr="00902631">
              <w:t>ESU</w:t>
            </w:r>
          </w:p>
        </w:tc>
        <w:tc>
          <w:tcPr>
            <w:tcW w:w="4077" w:type="pct"/>
          </w:tcPr>
          <w:p w14:paraId="1444CED7" w14:textId="77777777" w:rsidR="00685455" w:rsidRPr="00902631" w:rsidRDefault="00685455" w:rsidP="008B0BB9">
            <w:r w:rsidRPr="00902631">
              <w:t>Elementary sampling unit</w:t>
            </w:r>
          </w:p>
        </w:tc>
      </w:tr>
      <w:tr w:rsidR="00685455" w:rsidRPr="00902631" w14:paraId="6528342F" w14:textId="77777777" w:rsidTr="0069303D">
        <w:trPr>
          <w:trHeight w:val="79"/>
        </w:trPr>
        <w:tc>
          <w:tcPr>
            <w:tcW w:w="923" w:type="pct"/>
          </w:tcPr>
          <w:p w14:paraId="1079939E" w14:textId="0954B6B8" w:rsidR="008F14FF" w:rsidRPr="00902631" w:rsidRDefault="00685455" w:rsidP="009C14BA">
            <w:r w:rsidRPr="001E3CBF">
              <w:t>FAPAR</w:t>
            </w:r>
          </w:p>
        </w:tc>
        <w:tc>
          <w:tcPr>
            <w:tcW w:w="4077" w:type="pct"/>
          </w:tcPr>
          <w:p w14:paraId="2320C794" w14:textId="131A72DF" w:rsidR="008F14FF" w:rsidRPr="00902631" w:rsidRDefault="00685455" w:rsidP="008B0BB9">
            <w:r w:rsidRPr="001E3CBF">
              <w:t>Fraction of absorbed photosynthetically active radiation</w:t>
            </w:r>
          </w:p>
        </w:tc>
      </w:tr>
      <w:tr w:rsidR="009C14BA" w:rsidRPr="00902631" w14:paraId="6A716BBF" w14:textId="77777777" w:rsidTr="0069303D">
        <w:trPr>
          <w:trHeight w:val="79"/>
        </w:trPr>
        <w:tc>
          <w:tcPr>
            <w:tcW w:w="923" w:type="pct"/>
          </w:tcPr>
          <w:p w14:paraId="1FB0AD78" w14:textId="09605589" w:rsidR="009C14BA" w:rsidRPr="001E3CBF" w:rsidRDefault="009C14BA" w:rsidP="008B0BB9">
            <w:r>
              <w:t>FEL</w:t>
            </w:r>
          </w:p>
        </w:tc>
        <w:tc>
          <w:tcPr>
            <w:tcW w:w="4077" w:type="pct"/>
          </w:tcPr>
          <w:p w14:paraId="57FB9AE0" w14:textId="39624573" w:rsidR="009C14BA" w:rsidRPr="001E3CBF" w:rsidRDefault="009C14BA" w:rsidP="008B0BB9">
            <w:r>
              <w:t>Free electron laser</w:t>
            </w:r>
          </w:p>
        </w:tc>
      </w:tr>
      <w:tr w:rsidR="00685455" w:rsidRPr="00902631" w14:paraId="5C61EC25" w14:textId="77777777" w:rsidTr="0069303D">
        <w:trPr>
          <w:trHeight w:val="79"/>
        </w:trPr>
        <w:tc>
          <w:tcPr>
            <w:tcW w:w="923" w:type="pct"/>
          </w:tcPr>
          <w:p w14:paraId="5D92FD44" w14:textId="77777777" w:rsidR="00685455" w:rsidRPr="00902631" w:rsidRDefault="00685455" w:rsidP="006F099C">
            <w:r>
              <w:t>FIDUCEO</w:t>
            </w:r>
          </w:p>
        </w:tc>
        <w:tc>
          <w:tcPr>
            <w:tcW w:w="4077" w:type="pct"/>
          </w:tcPr>
          <w:p w14:paraId="6B0B0D8A" w14:textId="77777777" w:rsidR="00685455" w:rsidRPr="00902631" w:rsidRDefault="00685455" w:rsidP="006F099C">
            <w:r>
              <w:t>Fidelity and Uncertainty in Climate Data Records from Earth Observation</w:t>
            </w:r>
          </w:p>
        </w:tc>
      </w:tr>
      <w:tr w:rsidR="00685455" w:rsidRPr="00902631" w14:paraId="2CBE0DC9" w14:textId="77777777" w:rsidTr="0069303D">
        <w:trPr>
          <w:trHeight w:val="79"/>
        </w:trPr>
        <w:tc>
          <w:tcPr>
            <w:tcW w:w="923" w:type="pct"/>
          </w:tcPr>
          <w:p w14:paraId="33AD2B8C" w14:textId="77777777" w:rsidR="00685455" w:rsidRPr="00902631" w:rsidRDefault="00685455" w:rsidP="006F099C">
            <w:r>
              <w:t>FIPAR</w:t>
            </w:r>
          </w:p>
        </w:tc>
        <w:tc>
          <w:tcPr>
            <w:tcW w:w="4077" w:type="pct"/>
          </w:tcPr>
          <w:p w14:paraId="156C671D" w14:textId="77777777" w:rsidR="00685455" w:rsidRPr="00902631" w:rsidRDefault="00685455" w:rsidP="006F099C">
            <w:r>
              <w:t>Fraction of intercepted photosynthetically active radiation</w:t>
            </w:r>
          </w:p>
        </w:tc>
      </w:tr>
      <w:tr w:rsidR="00685455" w:rsidRPr="00902631" w14:paraId="5F18FB0E" w14:textId="77777777" w:rsidTr="0069303D">
        <w:trPr>
          <w:trHeight w:val="79"/>
        </w:trPr>
        <w:tc>
          <w:tcPr>
            <w:tcW w:w="923" w:type="pct"/>
          </w:tcPr>
          <w:p w14:paraId="1223B41C" w14:textId="77777777" w:rsidR="00685455" w:rsidRPr="00902631" w:rsidRDefault="00685455" w:rsidP="006F099C">
            <w:proofErr w:type="spellStart"/>
            <w:r w:rsidRPr="001E3CBF">
              <w:t>ForestGEO</w:t>
            </w:r>
            <w:proofErr w:type="spellEnd"/>
          </w:p>
        </w:tc>
        <w:tc>
          <w:tcPr>
            <w:tcW w:w="4077" w:type="pct"/>
          </w:tcPr>
          <w:p w14:paraId="7EC152B6" w14:textId="77777777" w:rsidR="00685455" w:rsidRPr="00902631" w:rsidRDefault="00685455" w:rsidP="006F099C">
            <w:r w:rsidRPr="001E3CBF">
              <w:t>Forest Global Earth Observatory Network</w:t>
            </w:r>
          </w:p>
        </w:tc>
      </w:tr>
      <w:tr w:rsidR="00685455" w:rsidRPr="00902631" w14:paraId="4D4A2A62" w14:textId="77777777" w:rsidTr="0069303D">
        <w:trPr>
          <w:trHeight w:val="79"/>
        </w:trPr>
        <w:tc>
          <w:tcPr>
            <w:tcW w:w="923" w:type="pct"/>
          </w:tcPr>
          <w:p w14:paraId="7748E648" w14:textId="77777777" w:rsidR="00685455" w:rsidRPr="00902631" w:rsidRDefault="00685455" w:rsidP="006F099C">
            <w:r>
              <w:t>FPP</w:t>
            </w:r>
          </w:p>
        </w:tc>
        <w:tc>
          <w:tcPr>
            <w:tcW w:w="4077" w:type="pct"/>
          </w:tcPr>
          <w:p w14:paraId="42B74002" w14:textId="77777777" w:rsidR="00685455" w:rsidRPr="00902631" w:rsidRDefault="00685455" w:rsidP="006F099C">
            <w:r>
              <w:t>FRM Protocols and Procedures</w:t>
            </w:r>
          </w:p>
        </w:tc>
      </w:tr>
      <w:tr w:rsidR="00685455" w:rsidRPr="00902631" w14:paraId="2EC5FCD8" w14:textId="77777777" w:rsidTr="0069303D">
        <w:trPr>
          <w:trHeight w:val="79"/>
        </w:trPr>
        <w:tc>
          <w:tcPr>
            <w:tcW w:w="923" w:type="pct"/>
          </w:tcPr>
          <w:p w14:paraId="3148D748" w14:textId="77777777" w:rsidR="00685455" w:rsidRPr="00902631" w:rsidRDefault="00685455" w:rsidP="006F099C">
            <w:r>
              <w:t>FRM</w:t>
            </w:r>
          </w:p>
        </w:tc>
        <w:tc>
          <w:tcPr>
            <w:tcW w:w="4077" w:type="pct"/>
          </w:tcPr>
          <w:p w14:paraId="5277AB4A" w14:textId="77777777" w:rsidR="00685455" w:rsidRPr="00902631" w:rsidRDefault="00685455" w:rsidP="006F099C">
            <w:r>
              <w:t>Fiducial Reference Measurements</w:t>
            </w:r>
          </w:p>
        </w:tc>
      </w:tr>
      <w:tr w:rsidR="00685455" w:rsidRPr="00902631" w14:paraId="00DD7688" w14:textId="77777777" w:rsidTr="0069303D">
        <w:trPr>
          <w:trHeight w:val="79"/>
        </w:trPr>
        <w:tc>
          <w:tcPr>
            <w:tcW w:w="923" w:type="pct"/>
          </w:tcPr>
          <w:p w14:paraId="7C81C940" w14:textId="77777777" w:rsidR="00685455" w:rsidRPr="00902631" w:rsidRDefault="00685455" w:rsidP="006F099C">
            <w:r w:rsidRPr="001E3CBF">
              <w:t>FRM4VEG</w:t>
            </w:r>
          </w:p>
        </w:tc>
        <w:tc>
          <w:tcPr>
            <w:tcW w:w="4077" w:type="pct"/>
          </w:tcPr>
          <w:p w14:paraId="1A1293D7" w14:textId="77777777" w:rsidR="00685455" w:rsidRPr="00902631" w:rsidRDefault="00685455" w:rsidP="006F099C">
            <w:r>
              <w:t>Fiducial Reference Measurements</w:t>
            </w:r>
            <w:r w:rsidRPr="001E3CBF">
              <w:t xml:space="preserve"> for Vegetation</w:t>
            </w:r>
          </w:p>
        </w:tc>
      </w:tr>
      <w:tr w:rsidR="00685455" w:rsidRPr="00902631" w14:paraId="3600E3AC" w14:textId="77777777" w:rsidTr="0069303D">
        <w:trPr>
          <w:trHeight w:val="79"/>
        </w:trPr>
        <w:tc>
          <w:tcPr>
            <w:tcW w:w="923" w:type="pct"/>
          </w:tcPr>
          <w:p w14:paraId="39C96A1D" w14:textId="77777777" w:rsidR="00685455" w:rsidRPr="00902631" w:rsidRDefault="00685455" w:rsidP="006F099C">
            <w:r>
              <w:t>GCOS</w:t>
            </w:r>
          </w:p>
        </w:tc>
        <w:tc>
          <w:tcPr>
            <w:tcW w:w="4077" w:type="pct"/>
          </w:tcPr>
          <w:p w14:paraId="7EF89D84" w14:textId="77777777" w:rsidR="00685455" w:rsidRPr="00902631" w:rsidRDefault="00685455" w:rsidP="006F099C">
            <w:r>
              <w:t xml:space="preserve">Global Climate Observing System </w:t>
            </w:r>
          </w:p>
        </w:tc>
      </w:tr>
      <w:tr w:rsidR="00685455" w:rsidRPr="00902631" w14:paraId="3D728DE1" w14:textId="77777777" w:rsidTr="0069303D">
        <w:trPr>
          <w:trHeight w:val="79"/>
        </w:trPr>
        <w:tc>
          <w:tcPr>
            <w:tcW w:w="923" w:type="pct"/>
          </w:tcPr>
          <w:p w14:paraId="5B2B1380" w14:textId="77777777" w:rsidR="00685455" w:rsidRPr="00902631" w:rsidRDefault="00685455" w:rsidP="006F099C">
            <w:r w:rsidRPr="001E3CBF">
              <w:t>GLC</w:t>
            </w:r>
          </w:p>
        </w:tc>
        <w:tc>
          <w:tcPr>
            <w:tcW w:w="4077" w:type="pct"/>
          </w:tcPr>
          <w:p w14:paraId="1E98036C" w14:textId="77777777" w:rsidR="00685455" w:rsidRPr="00902631" w:rsidRDefault="00685455" w:rsidP="006F099C">
            <w:r w:rsidRPr="001E3CBF">
              <w:t>Global Land Cover</w:t>
            </w:r>
          </w:p>
        </w:tc>
      </w:tr>
      <w:tr w:rsidR="00685455" w:rsidRPr="00902631" w14:paraId="3FF37B13" w14:textId="77777777" w:rsidTr="0069303D">
        <w:trPr>
          <w:trHeight w:val="79"/>
        </w:trPr>
        <w:tc>
          <w:tcPr>
            <w:tcW w:w="923" w:type="pct"/>
          </w:tcPr>
          <w:p w14:paraId="5C7219D3" w14:textId="77777777" w:rsidR="00685455" w:rsidRPr="00902631" w:rsidRDefault="00685455" w:rsidP="006F099C">
            <w:r w:rsidRPr="001E3CBF">
              <w:t>GPS</w:t>
            </w:r>
          </w:p>
        </w:tc>
        <w:tc>
          <w:tcPr>
            <w:tcW w:w="4077" w:type="pct"/>
          </w:tcPr>
          <w:p w14:paraId="2055942A" w14:textId="77777777" w:rsidR="00685455" w:rsidRPr="00902631" w:rsidRDefault="00685455" w:rsidP="006F099C">
            <w:r w:rsidRPr="001E3CBF">
              <w:t>Global positioning system</w:t>
            </w:r>
          </w:p>
        </w:tc>
      </w:tr>
      <w:tr w:rsidR="00685455" w:rsidRPr="00902631" w14:paraId="14A5C661" w14:textId="77777777" w:rsidTr="0069303D">
        <w:trPr>
          <w:trHeight w:val="79"/>
        </w:trPr>
        <w:tc>
          <w:tcPr>
            <w:tcW w:w="923" w:type="pct"/>
          </w:tcPr>
          <w:p w14:paraId="6D14A8D7" w14:textId="77777777" w:rsidR="00685455" w:rsidRPr="00902631" w:rsidRDefault="00685455" w:rsidP="006F099C">
            <w:r w:rsidRPr="001E3CBF">
              <w:t>HDR</w:t>
            </w:r>
          </w:p>
        </w:tc>
        <w:tc>
          <w:tcPr>
            <w:tcW w:w="4077" w:type="pct"/>
          </w:tcPr>
          <w:p w14:paraId="4C9E3E6F" w14:textId="77777777" w:rsidR="00685455" w:rsidRPr="00902631" w:rsidRDefault="00685455" w:rsidP="006F099C">
            <w:r w:rsidRPr="001E3CBF">
              <w:t>High dynamic range</w:t>
            </w:r>
          </w:p>
        </w:tc>
      </w:tr>
      <w:tr w:rsidR="00685455" w:rsidRPr="00902631" w14:paraId="47753A78" w14:textId="77777777" w:rsidTr="0069303D">
        <w:trPr>
          <w:trHeight w:val="79"/>
        </w:trPr>
        <w:tc>
          <w:tcPr>
            <w:tcW w:w="923" w:type="pct"/>
          </w:tcPr>
          <w:p w14:paraId="6269C884" w14:textId="47B3856D" w:rsidR="002F636D" w:rsidRPr="00902631" w:rsidRDefault="00685455" w:rsidP="006F099C">
            <w:r>
              <w:t>JCGM</w:t>
            </w:r>
          </w:p>
        </w:tc>
        <w:tc>
          <w:tcPr>
            <w:tcW w:w="4077" w:type="pct"/>
          </w:tcPr>
          <w:p w14:paraId="0F3E575C" w14:textId="6044E76C" w:rsidR="002F636D" w:rsidRPr="00902631" w:rsidRDefault="00685455" w:rsidP="008B0BB9">
            <w:r>
              <w:t>Joint Committee for Guides in Metrology</w:t>
            </w:r>
          </w:p>
        </w:tc>
      </w:tr>
      <w:tr w:rsidR="008B0BB9" w:rsidRPr="00902631" w14:paraId="4E745D02" w14:textId="77777777" w:rsidTr="0069303D">
        <w:trPr>
          <w:trHeight w:val="79"/>
        </w:trPr>
        <w:tc>
          <w:tcPr>
            <w:tcW w:w="923" w:type="pct"/>
          </w:tcPr>
          <w:p w14:paraId="62F91613" w14:textId="0657CBA5" w:rsidR="008B0BB9" w:rsidRDefault="008B0BB9" w:rsidP="006F099C">
            <w:r>
              <w:t>JPEG</w:t>
            </w:r>
          </w:p>
        </w:tc>
        <w:tc>
          <w:tcPr>
            <w:tcW w:w="4077" w:type="pct"/>
          </w:tcPr>
          <w:p w14:paraId="08D0D47C" w14:textId="7937EC60" w:rsidR="008B0BB9" w:rsidRDefault="008B0BB9" w:rsidP="006F099C">
            <w:r>
              <w:t>Joint Photographic Experts Group</w:t>
            </w:r>
          </w:p>
        </w:tc>
      </w:tr>
      <w:tr w:rsidR="00685455" w:rsidRPr="00902631" w14:paraId="446A92B4" w14:textId="77777777" w:rsidTr="0069303D">
        <w:trPr>
          <w:trHeight w:val="79"/>
        </w:trPr>
        <w:tc>
          <w:tcPr>
            <w:tcW w:w="923" w:type="pct"/>
          </w:tcPr>
          <w:p w14:paraId="108CE007" w14:textId="77777777" w:rsidR="00685455" w:rsidRPr="00902631" w:rsidRDefault="00685455" w:rsidP="006F099C">
            <w:r>
              <w:t>LAD</w:t>
            </w:r>
          </w:p>
        </w:tc>
        <w:tc>
          <w:tcPr>
            <w:tcW w:w="4077" w:type="pct"/>
          </w:tcPr>
          <w:p w14:paraId="077B172E" w14:textId="77777777" w:rsidR="00685455" w:rsidRPr="00902631" w:rsidRDefault="00685455" w:rsidP="006F099C">
            <w:r>
              <w:t>Leaf angle distribution</w:t>
            </w:r>
          </w:p>
        </w:tc>
      </w:tr>
      <w:tr w:rsidR="00685455" w:rsidRPr="00902631" w14:paraId="53E5A682" w14:textId="77777777" w:rsidTr="0069303D">
        <w:trPr>
          <w:trHeight w:val="79"/>
        </w:trPr>
        <w:tc>
          <w:tcPr>
            <w:tcW w:w="923" w:type="pct"/>
          </w:tcPr>
          <w:p w14:paraId="478ACBC5" w14:textId="77777777" w:rsidR="00685455" w:rsidRPr="00902631" w:rsidRDefault="00685455" w:rsidP="006F099C">
            <w:r w:rsidRPr="001E3CBF">
              <w:t>LAI</w:t>
            </w:r>
          </w:p>
        </w:tc>
        <w:tc>
          <w:tcPr>
            <w:tcW w:w="4077" w:type="pct"/>
          </w:tcPr>
          <w:p w14:paraId="32B8303D" w14:textId="77777777" w:rsidR="00685455" w:rsidRPr="00902631" w:rsidRDefault="00685455" w:rsidP="006F099C">
            <w:r w:rsidRPr="001E3CBF">
              <w:t>Leaf area index</w:t>
            </w:r>
          </w:p>
        </w:tc>
      </w:tr>
      <w:tr w:rsidR="00685455" w:rsidRPr="00902631" w14:paraId="46841AE6" w14:textId="77777777" w:rsidTr="0069303D">
        <w:trPr>
          <w:trHeight w:val="79"/>
        </w:trPr>
        <w:tc>
          <w:tcPr>
            <w:tcW w:w="923" w:type="pct"/>
          </w:tcPr>
          <w:p w14:paraId="78FF87A2" w14:textId="77777777" w:rsidR="00685455" w:rsidRPr="00902631" w:rsidRDefault="00685455" w:rsidP="006F099C">
            <w:r w:rsidRPr="001E3CBF">
              <w:t>LCC</w:t>
            </w:r>
          </w:p>
        </w:tc>
        <w:tc>
          <w:tcPr>
            <w:tcW w:w="4077" w:type="pct"/>
          </w:tcPr>
          <w:p w14:paraId="7E0347B6" w14:textId="77777777" w:rsidR="00685455" w:rsidRPr="00902631" w:rsidRDefault="00685455" w:rsidP="006F099C">
            <w:r w:rsidRPr="001E3CBF">
              <w:t>Leaf chlorophyll concentration</w:t>
            </w:r>
          </w:p>
        </w:tc>
      </w:tr>
      <w:tr w:rsidR="00685455" w:rsidRPr="00902631" w14:paraId="7A03FBA6" w14:textId="77777777" w:rsidTr="0069303D">
        <w:trPr>
          <w:trHeight w:val="79"/>
        </w:trPr>
        <w:tc>
          <w:tcPr>
            <w:tcW w:w="923" w:type="pct"/>
          </w:tcPr>
          <w:p w14:paraId="294CD686" w14:textId="77777777" w:rsidR="00685455" w:rsidRPr="001E3CBF" w:rsidRDefault="00685455" w:rsidP="006F099C">
            <w:r w:rsidRPr="001E3CBF">
              <w:t>LPV</w:t>
            </w:r>
          </w:p>
        </w:tc>
        <w:tc>
          <w:tcPr>
            <w:tcW w:w="4077" w:type="pct"/>
          </w:tcPr>
          <w:p w14:paraId="03CE9F43" w14:textId="77777777" w:rsidR="00685455" w:rsidRPr="001E3CBF" w:rsidRDefault="00685455" w:rsidP="006F099C">
            <w:r w:rsidRPr="001E3CBF">
              <w:t>Land Product Validation</w:t>
            </w:r>
          </w:p>
        </w:tc>
      </w:tr>
      <w:tr w:rsidR="00685455" w:rsidRPr="00902631" w14:paraId="69347FC9" w14:textId="77777777" w:rsidTr="0069303D">
        <w:trPr>
          <w:trHeight w:val="79"/>
        </w:trPr>
        <w:tc>
          <w:tcPr>
            <w:tcW w:w="923" w:type="pct"/>
          </w:tcPr>
          <w:p w14:paraId="05DA0E50" w14:textId="2151F6E5" w:rsidR="000378E2" w:rsidRPr="001E3CBF" w:rsidRDefault="00685455" w:rsidP="00D80B00">
            <w:r w:rsidRPr="001E3CBF">
              <w:t>LST</w:t>
            </w:r>
          </w:p>
        </w:tc>
        <w:tc>
          <w:tcPr>
            <w:tcW w:w="4077" w:type="pct"/>
          </w:tcPr>
          <w:p w14:paraId="1963C20C" w14:textId="32F99C85" w:rsidR="000378E2" w:rsidRPr="00A0076E" w:rsidRDefault="00685455" w:rsidP="00D80B00">
            <w:pPr>
              <w:rPr>
                <w:rFonts w:cstheme="minorHAnsi"/>
              </w:rPr>
            </w:pPr>
            <w:r w:rsidRPr="001E3CBF">
              <w:t>Land surface temperature</w:t>
            </w:r>
          </w:p>
        </w:tc>
      </w:tr>
      <w:tr w:rsidR="00D80B00" w:rsidRPr="00902631" w14:paraId="0CDE3873" w14:textId="77777777" w:rsidTr="0069303D">
        <w:trPr>
          <w:trHeight w:val="79"/>
        </w:trPr>
        <w:tc>
          <w:tcPr>
            <w:tcW w:w="923" w:type="pct"/>
          </w:tcPr>
          <w:p w14:paraId="6681CF13" w14:textId="1676FE4D" w:rsidR="00D80B00" w:rsidRPr="001E3CBF" w:rsidRDefault="00D80B00" w:rsidP="00D80B00">
            <w:r>
              <w:t>LUT</w:t>
            </w:r>
          </w:p>
        </w:tc>
        <w:tc>
          <w:tcPr>
            <w:tcW w:w="4077" w:type="pct"/>
          </w:tcPr>
          <w:p w14:paraId="1CF20CB5" w14:textId="63B4551A" w:rsidR="00D80B00" w:rsidRPr="001E3CBF" w:rsidRDefault="00D80B00" w:rsidP="00D80B00">
            <w:r>
              <w:t>Look up table</w:t>
            </w:r>
          </w:p>
        </w:tc>
      </w:tr>
      <w:tr w:rsidR="00D80B00" w:rsidRPr="00902631" w14:paraId="4FF92844" w14:textId="77777777" w:rsidTr="0069303D">
        <w:trPr>
          <w:trHeight w:val="79"/>
        </w:trPr>
        <w:tc>
          <w:tcPr>
            <w:tcW w:w="923" w:type="pct"/>
          </w:tcPr>
          <w:p w14:paraId="72B5C8B1" w14:textId="7506B3AB" w:rsidR="00D80B00" w:rsidRPr="001E3CBF" w:rsidRDefault="00D80B00" w:rsidP="00D80B00">
            <w:r>
              <w:t>MSI</w:t>
            </w:r>
          </w:p>
        </w:tc>
        <w:tc>
          <w:tcPr>
            <w:tcW w:w="4077" w:type="pct"/>
          </w:tcPr>
          <w:p w14:paraId="42E11541" w14:textId="2FE332ED" w:rsidR="00D80B00" w:rsidRPr="00D80B00" w:rsidRDefault="00D80B00" w:rsidP="006F099C">
            <w:pPr>
              <w:rPr>
                <w:rFonts w:cstheme="minorHAnsi"/>
              </w:rPr>
            </w:pPr>
            <w:r w:rsidRPr="00C158F5">
              <w:rPr>
                <w:rFonts w:cstheme="minorHAnsi"/>
              </w:rPr>
              <w:t>Multispectral Instrument</w:t>
            </w:r>
          </w:p>
        </w:tc>
      </w:tr>
      <w:tr w:rsidR="00D80B00" w:rsidRPr="00902631" w14:paraId="2919F49B" w14:textId="77777777" w:rsidTr="0069303D">
        <w:trPr>
          <w:trHeight w:val="79"/>
        </w:trPr>
        <w:tc>
          <w:tcPr>
            <w:tcW w:w="923" w:type="pct"/>
          </w:tcPr>
          <w:p w14:paraId="495E4A11" w14:textId="75670E74" w:rsidR="00D80B00" w:rsidRPr="001E3CBF" w:rsidRDefault="00D80B00" w:rsidP="006F099C">
            <w:r>
              <w:t>NCAVEO</w:t>
            </w:r>
          </w:p>
        </w:tc>
        <w:tc>
          <w:tcPr>
            <w:tcW w:w="4077" w:type="pct"/>
          </w:tcPr>
          <w:p w14:paraId="414C59B3" w14:textId="7E3B4DD4" w:rsidR="00D80B00" w:rsidRPr="001E3CBF" w:rsidRDefault="00D80B00" w:rsidP="006F099C">
            <w:r>
              <w:t>Network for Calibration and Validation of Earth Observation</w:t>
            </w:r>
          </w:p>
        </w:tc>
      </w:tr>
      <w:tr w:rsidR="00685455" w:rsidRPr="00902631" w14:paraId="6F5EFF24" w14:textId="77777777" w:rsidTr="0069303D">
        <w:trPr>
          <w:trHeight w:val="79"/>
        </w:trPr>
        <w:tc>
          <w:tcPr>
            <w:tcW w:w="923" w:type="pct"/>
          </w:tcPr>
          <w:p w14:paraId="49FCC3EF" w14:textId="77777777" w:rsidR="00685455" w:rsidRPr="001E3CBF" w:rsidRDefault="00685455" w:rsidP="006F099C">
            <w:r>
              <w:t>NDVI</w:t>
            </w:r>
          </w:p>
        </w:tc>
        <w:tc>
          <w:tcPr>
            <w:tcW w:w="4077" w:type="pct"/>
          </w:tcPr>
          <w:p w14:paraId="00F5741B" w14:textId="77777777" w:rsidR="00685455" w:rsidRPr="001E3CBF" w:rsidRDefault="00685455" w:rsidP="006F099C">
            <w:r>
              <w:t>Normalised difference vegetation index</w:t>
            </w:r>
          </w:p>
        </w:tc>
      </w:tr>
      <w:tr w:rsidR="00685455" w:rsidRPr="00902631" w14:paraId="7EEE7B80" w14:textId="77777777" w:rsidTr="0069303D">
        <w:trPr>
          <w:trHeight w:val="79"/>
        </w:trPr>
        <w:tc>
          <w:tcPr>
            <w:tcW w:w="923" w:type="pct"/>
          </w:tcPr>
          <w:p w14:paraId="1DDF3122" w14:textId="1C3E680D" w:rsidR="004E2938" w:rsidRPr="001E3CBF" w:rsidRDefault="00685455" w:rsidP="006F099C">
            <w:r w:rsidRPr="001E3CBF">
              <w:t>NPL</w:t>
            </w:r>
          </w:p>
        </w:tc>
        <w:tc>
          <w:tcPr>
            <w:tcW w:w="4077" w:type="pct"/>
          </w:tcPr>
          <w:p w14:paraId="166CA50B" w14:textId="63291521" w:rsidR="00685455" w:rsidRPr="001E3CBF" w:rsidRDefault="00685455" w:rsidP="006F099C">
            <w:r w:rsidRPr="001E3CBF">
              <w:t>National Physical Laboratory</w:t>
            </w:r>
            <w:r w:rsidR="003C4600">
              <w:t xml:space="preserve">  </w:t>
            </w:r>
          </w:p>
        </w:tc>
      </w:tr>
      <w:tr w:rsidR="00D80B00" w:rsidRPr="00902631" w14:paraId="6EA17FE6" w14:textId="77777777" w:rsidTr="0069303D">
        <w:trPr>
          <w:trHeight w:val="79"/>
        </w:trPr>
        <w:tc>
          <w:tcPr>
            <w:tcW w:w="923" w:type="pct"/>
          </w:tcPr>
          <w:p w14:paraId="4310E5B7" w14:textId="5F4FAD42" w:rsidR="00D80B00" w:rsidRPr="001E3CBF" w:rsidRDefault="00D80B00" w:rsidP="006F099C">
            <w:r>
              <w:t>ODR</w:t>
            </w:r>
          </w:p>
        </w:tc>
        <w:tc>
          <w:tcPr>
            <w:tcW w:w="4077" w:type="pct"/>
          </w:tcPr>
          <w:p w14:paraId="7A4971D9" w14:textId="7D61ECF1" w:rsidR="00D80B00" w:rsidRPr="001E3CBF" w:rsidRDefault="00D80B00" w:rsidP="006F099C">
            <w:r>
              <w:t>O</w:t>
            </w:r>
            <w:r w:rsidRPr="00960A2A">
              <w:t>rthogon</w:t>
            </w:r>
            <w:r>
              <w:t>al distance regression</w:t>
            </w:r>
            <w:r w:rsidR="003C4600">
              <w:t xml:space="preserve">                  </w:t>
            </w:r>
          </w:p>
        </w:tc>
      </w:tr>
      <w:tr w:rsidR="00685455" w:rsidRPr="00902631" w14:paraId="4F35E8BD" w14:textId="77777777" w:rsidTr="0069303D">
        <w:trPr>
          <w:trHeight w:val="79"/>
        </w:trPr>
        <w:tc>
          <w:tcPr>
            <w:tcW w:w="923" w:type="pct"/>
          </w:tcPr>
          <w:p w14:paraId="2641417D" w14:textId="77777777" w:rsidR="00685455" w:rsidRPr="001E3CBF" w:rsidRDefault="00685455" w:rsidP="006F099C">
            <w:r>
              <w:t>PAI</w:t>
            </w:r>
          </w:p>
        </w:tc>
        <w:tc>
          <w:tcPr>
            <w:tcW w:w="4077" w:type="pct"/>
          </w:tcPr>
          <w:p w14:paraId="307A2211" w14:textId="77777777" w:rsidR="00685455" w:rsidRPr="001E3CBF" w:rsidRDefault="00685455" w:rsidP="006F099C">
            <w:r>
              <w:t>Plant area index</w:t>
            </w:r>
          </w:p>
        </w:tc>
      </w:tr>
      <w:tr w:rsidR="00685455" w:rsidRPr="00902631" w14:paraId="3F218DC3" w14:textId="77777777" w:rsidTr="0069303D">
        <w:trPr>
          <w:trHeight w:val="79"/>
        </w:trPr>
        <w:tc>
          <w:tcPr>
            <w:tcW w:w="923" w:type="pct"/>
          </w:tcPr>
          <w:p w14:paraId="143E2545" w14:textId="77777777" w:rsidR="00685455" w:rsidRPr="001E3CBF" w:rsidRDefault="00685455" w:rsidP="006F099C">
            <w:r w:rsidRPr="001E3CBF">
              <w:t>PAR</w:t>
            </w:r>
          </w:p>
        </w:tc>
        <w:tc>
          <w:tcPr>
            <w:tcW w:w="4077" w:type="pct"/>
          </w:tcPr>
          <w:p w14:paraId="2F287A58" w14:textId="77777777" w:rsidR="00685455" w:rsidRPr="001E3CBF" w:rsidRDefault="00685455" w:rsidP="006F099C">
            <w:r w:rsidRPr="001E3CBF">
              <w:t>Photosynthetically active radiation</w:t>
            </w:r>
          </w:p>
        </w:tc>
      </w:tr>
      <w:tr w:rsidR="00685455" w:rsidRPr="00902631" w14:paraId="0089FF7D" w14:textId="77777777" w:rsidTr="0069303D">
        <w:trPr>
          <w:trHeight w:val="79"/>
        </w:trPr>
        <w:tc>
          <w:tcPr>
            <w:tcW w:w="923" w:type="pct"/>
          </w:tcPr>
          <w:p w14:paraId="5F722B1F" w14:textId="647CB062" w:rsidR="00C0653F" w:rsidRPr="001E3CBF" w:rsidRDefault="00685455" w:rsidP="00DF6982">
            <w:r w:rsidRPr="001E3CBF">
              <w:t>RGB</w:t>
            </w:r>
          </w:p>
        </w:tc>
        <w:tc>
          <w:tcPr>
            <w:tcW w:w="4077" w:type="pct"/>
          </w:tcPr>
          <w:p w14:paraId="39ED2FC9" w14:textId="7102924F" w:rsidR="00EE2CBD" w:rsidRPr="00BA6473" w:rsidRDefault="00685455" w:rsidP="009C14BA">
            <w:pPr>
              <w:rPr>
                <w:rFonts w:cstheme="minorHAnsi"/>
              </w:rPr>
            </w:pPr>
            <w:r w:rsidRPr="001E3CBF">
              <w:t>Red green blue</w:t>
            </w:r>
          </w:p>
        </w:tc>
      </w:tr>
      <w:tr w:rsidR="00D80B00" w:rsidRPr="00902631" w14:paraId="58882711" w14:textId="77777777" w:rsidTr="0069303D">
        <w:trPr>
          <w:trHeight w:val="79"/>
        </w:trPr>
        <w:tc>
          <w:tcPr>
            <w:tcW w:w="923" w:type="pct"/>
          </w:tcPr>
          <w:p w14:paraId="284901D3" w14:textId="09A48EBF" w:rsidR="00D80B00" w:rsidRPr="001E3CBF" w:rsidRDefault="00DF6982" w:rsidP="009C14BA">
            <w:r>
              <w:t>RTM</w:t>
            </w:r>
          </w:p>
        </w:tc>
        <w:tc>
          <w:tcPr>
            <w:tcW w:w="4077" w:type="pct"/>
          </w:tcPr>
          <w:p w14:paraId="13D7CAB4" w14:textId="4F77A45E" w:rsidR="00D80B00" w:rsidRPr="001E3CBF" w:rsidRDefault="00DF6982" w:rsidP="009C14BA">
            <w:r w:rsidRPr="00C158F5">
              <w:rPr>
                <w:rFonts w:cstheme="minorHAnsi"/>
              </w:rPr>
              <w:t>Radiative transfer model</w:t>
            </w:r>
          </w:p>
        </w:tc>
      </w:tr>
      <w:tr w:rsidR="00DF6982" w:rsidRPr="00902631" w14:paraId="336DE47D" w14:textId="77777777" w:rsidTr="0069303D">
        <w:trPr>
          <w:trHeight w:val="79"/>
        </w:trPr>
        <w:tc>
          <w:tcPr>
            <w:tcW w:w="923" w:type="pct"/>
          </w:tcPr>
          <w:p w14:paraId="5C141546" w14:textId="2E424885" w:rsidR="00DF6982" w:rsidRPr="001E3CBF" w:rsidRDefault="00DF6982" w:rsidP="00DF6982">
            <w:r w:rsidRPr="009C3D81">
              <w:t>SI</w:t>
            </w:r>
          </w:p>
        </w:tc>
        <w:tc>
          <w:tcPr>
            <w:tcW w:w="4077" w:type="pct"/>
          </w:tcPr>
          <w:p w14:paraId="0980F619" w14:textId="00549A75" w:rsidR="00DF6982" w:rsidRPr="001E3CBF" w:rsidRDefault="00DF6982" w:rsidP="009C14BA">
            <w:r w:rsidRPr="00C158F5">
              <w:rPr>
                <w:rFonts w:cstheme="minorHAnsi"/>
              </w:rPr>
              <w:t>International System of Unit</w:t>
            </w:r>
            <w:r>
              <w:rPr>
                <w:rFonts w:cstheme="minorHAnsi"/>
              </w:rPr>
              <w:t>s</w:t>
            </w:r>
          </w:p>
        </w:tc>
      </w:tr>
      <w:tr w:rsidR="00DF6982" w:rsidRPr="00902631" w14:paraId="69A29281" w14:textId="77777777" w:rsidTr="0069303D">
        <w:trPr>
          <w:trHeight w:val="79"/>
        </w:trPr>
        <w:tc>
          <w:tcPr>
            <w:tcW w:w="923" w:type="pct"/>
          </w:tcPr>
          <w:p w14:paraId="296A5C55" w14:textId="3FE4D974" w:rsidR="00DF6982" w:rsidRPr="001E3CBF" w:rsidRDefault="00DF6982" w:rsidP="00DF6982">
            <w:r w:rsidRPr="009C3D81">
              <w:t>SLA</w:t>
            </w:r>
          </w:p>
        </w:tc>
        <w:tc>
          <w:tcPr>
            <w:tcW w:w="4077" w:type="pct"/>
          </w:tcPr>
          <w:p w14:paraId="7064E498" w14:textId="5E5EDF21" w:rsidR="00DF6982" w:rsidRPr="001E3CBF" w:rsidRDefault="00DF6982" w:rsidP="009C14BA">
            <w:r>
              <w:rPr>
                <w:rFonts w:cstheme="minorHAnsi"/>
              </w:rPr>
              <w:t>Specific Leaf Area</w:t>
            </w:r>
          </w:p>
        </w:tc>
      </w:tr>
      <w:tr w:rsidR="00DF6982" w:rsidRPr="00902631" w14:paraId="7AE80E1F" w14:textId="77777777" w:rsidTr="0069303D">
        <w:trPr>
          <w:trHeight w:val="79"/>
        </w:trPr>
        <w:tc>
          <w:tcPr>
            <w:tcW w:w="923" w:type="pct"/>
          </w:tcPr>
          <w:p w14:paraId="11515C95" w14:textId="49770763" w:rsidR="00DF6982" w:rsidRPr="001E3CBF" w:rsidRDefault="00DF6982" w:rsidP="00DF6982">
            <w:r w:rsidRPr="009C3D81">
              <w:t>SMF</w:t>
            </w:r>
          </w:p>
        </w:tc>
        <w:tc>
          <w:tcPr>
            <w:tcW w:w="4077" w:type="pct"/>
          </w:tcPr>
          <w:p w14:paraId="795988F5" w14:textId="4C14D4BC" w:rsidR="00DF6982" w:rsidRPr="001E3CBF" w:rsidRDefault="00DF6982" w:rsidP="009C14BA">
            <w:r>
              <w:t>Spectral mismatch factor</w:t>
            </w:r>
          </w:p>
        </w:tc>
      </w:tr>
      <w:tr w:rsidR="00DF6982" w:rsidRPr="00902631" w14:paraId="570B55F9" w14:textId="77777777" w:rsidTr="0069303D">
        <w:trPr>
          <w:trHeight w:val="79"/>
        </w:trPr>
        <w:tc>
          <w:tcPr>
            <w:tcW w:w="923" w:type="pct"/>
          </w:tcPr>
          <w:p w14:paraId="48181B2A" w14:textId="76634F68" w:rsidR="00DF6982" w:rsidRPr="001E3CBF" w:rsidRDefault="00DF6982" w:rsidP="00DF6982">
            <w:r w:rsidRPr="009C3D81">
              <w:lastRenderedPageBreak/>
              <w:t>SPAD</w:t>
            </w:r>
          </w:p>
        </w:tc>
        <w:tc>
          <w:tcPr>
            <w:tcW w:w="4077" w:type="pct"/>
          </w:tcPr>
          <w:p w14:paraId="5FD705EE" w14:textId="64D81957" w:rsidR="00DF6982" w:rsidRPr="001E3CBF" w:rsidRDefault="00DF6982" w:rsidP="009C14BA">
            <w:r w:rsidRPr="00100786">
              <w:t>Special Products Analysis Division</w:t>
            </w:r>
          </w:p>
        </w:tc>
      </w:tr>
      <w:tr w:rsidR="00DF6982" w:rsidRPr="00902631" w14:paraId="586CD372" w14:textId="77777777" w:rsidTr="0069303D">
        <w:trPr>
          <w:trHeight w:val="79"/>
        </w:trPr>
        <w:tc>
          <w:tcPr>
            <w:tcW w:w="923" w:type="pct"/>
          </w:tcPr>
          <w:p w14:paraId="6C2FDFED" w14:textId="5B310B51" w:rsidR="00DF6982" w:rsidRPr="001E3CBF" w:rsidRDefault="00DF6982" w:rsidP="009C14BA">
            <w:r>
              <w:t>SWIR</w:t>
            </w:r>
          </w:p>
        </w:tc>
        <w:tc>
          <w:tcPr>
            <w:tcW w:w="4077" w:type="pct"/>
          </w:tcPr>
          <w:p w14:paraId="03AE7FE3" w14:textId="3DE36B43" w:rsidR="00DF6982" w:rsidRPr="001E3CBF" w:rsidRDefault="00DF6982" w:rsidP="009C14BA">
            <w:r>
              <w:rPr>
                <w:rFonts w:cstheme="minorHAnsi"/>
              </w:rPr>
              <w:t>Shortwave infrared</w:t>
            </w:r>
          </w:p>
        </w:tc>
      </w:tr>
      <w:tr w:rsidR="00DF6982" w:rsidRPr="00902631" w14:paraId="63C77F79" w14:textId="77777777" w:rsidTr="0069303D">
        <w:trPr>
          <w:trHeight w:val="79"/>
        </w:trPr>
        <w:tc>
          <w:tcPr>
            <w:tcW w:w="923" w:type="pct"/>
          </w:tcPr>
          <w:p w14:paraId="122D7609" w14:textId="663DEFA4" w:rsidR="00DF6982" w:rsidRPr="001E3CBF" w:rsidRDefault="00DF6982" w:rsidP="009C14BA">
            <w:r>
              <w:t>SZA</w:t>
            </w:r>
          </w:p>
        </w:tc>
        <w:tc>
          <w:tcPr>
            <w:tcW w:w="4077" w:type="pct"/>
          </w:tcPr>
          <w:p w14:paraId="7515E38D" w14:textId="7CC4EBDB" w:rsidR="00DF6982" w:rsidRPr="001E3CBF" w:rsidRDefault="00DF6982" w:rsidP="009C14BA">
            <w:r>
              <w:rPr>
                <w:rFonts w:cstheme="minorHAnsi"/>
              </w:rPr>
              <w:t>Solar Zenith Angle</w:t>
            </w:r>
          </w:p>
        </w:tc>
      </w:tr>
      <w:tr w:rsidR="00685455" w:rsidRPr="00902631" w14:paraId="50CB0973" w14:textId="77777777" w:rsidTr="0069303D">
        <w:trPr>
          <w:trHeight w:val="79"/>
        </w:trPr>
        <w:tc>
          <w:tcPr>
            <w:tcW w:w="923" w:type="pct"/>
          </w:tcPr>
          <w:p w14:paraId="491B11F6" w14:textId="617277E6" w:rsidR="00685455" w:rsidRPr="001E3CBF" w:rsidRDefault="00685455" w:rsidP="00685455">
            <w:r w:rsidRPr="001E3CBF">
              <w:t>TREES</w:t>
            </w:r>
          </w:p>
        </w:tc>
        <w:tc>
          <w:tcPr>
            <w:tcW w:w="4077" w:type="pct"/>
          </w:tcPr>
          <w:p w14:paraId="2E8CE303" w14:textId="7F6E90E3" w:rsidR="00685455" w:rsidRPr="001E3CBF" w:rsidRDefault="00685455" w:rsidP="00685455">
            <w:r w:rsidRPr="001E3CBF">
              <w:t>Traceability in Terrestrial Vegetation Sensors and Products</w:t>
            </w:r>
          </w:p>
        </w:tc>
      </w:tr>
      <w:tr w:rsidR="00685455" w:rsidRPr="00902631" w14:paraId="16F3FC1E" w14:textId="77777777" w:rsidTr="0069303D">
        <w:trPr>
          <w:trHeight w:val="79"/>
        </w:trPr>
        <w:tc>
          <w:tcPr>
            <w:tcW w:w="923" w:type="pct"/>
          </w:tcPr>
          <w:p w14:paraId="18365ED1" w14:textId="4FB9489A" w:rsidR="00685455" w:rsidRPr="001E3CBF" w:rsidRDefault="00685455" w:rsidP="00685455">
            <w:r w:rsidRPr="001E3CBF">
              <w:t>TTL</w:t>
            </w:r>
          </w:p>
        </w:tc>
        <w:tc>
          <w:tcPr>
            <w:tcW w:w="4077" w:type="pct"/>
          </w:tcPr>
          <w:p w14:paraId="78E029D3" w14:textId="12232AC4" w:rsidR="00685455" w:rsidRPr="001E3CBF" w:rsidRDefault="00685455" w:rsidP="00685455">
            <w:r w:rsidRPr="001E3CBF">
              <w:t>Through the lens</w:t>
            </w:r>
          </w:p>
        </w:tc>
      </w:tr>
      <w:tr w:rsidR="00685455" w:rsidRPr="00902631" w14:paraId="2B6B096E" w14:textId="77777777" w:rsidTr="0069303D">
        <w:trPr>
          <w:trHeight w:val="79"/>
        </w:trPr>
        <w:tc>
          <w:tcPr>
            <w:tcW w:w="923" w:type="pct"/>
          </w:tcPr>
          <w:p w14:paraId="291BD83A" w14:textId="6A2C6D7A" w:rsidR="00685455" w:rsidRPr="001E3CBF" w:rsidRDefault="00685455" w:rsidP="00685455">
            <w:r w:rsidRPr="001E3CBF">
              <w:t>UAV</w:t>
            </w:r>
          </w:p>
        </w:tc>
        <w:tc>
          <w:tcPr>
            <w:tcW w:w="4077" w:type="pct"/>
          </w:tcPr>
          <w:p w14:paraId="2C42EDEE" w14:textId="4570DE13" w:rsidR="00685455" w:rsidRPr="001E3CBF" w:rsidRDefault="00685455" w:rsidP="00685455">
            <w:r w:rsidRPr="001E3CBF">
              <w:t>Unmanned aerial vehicle</w:t>
            </w:r>
          </w:p>
        </w:tc>
      </w:tr>
      <w:tr w:rsidR="00685455" w:rsidRPr="00902631" w14:paraId="011675C1" w14:textId="77777777" w:rsidTr="0069303D">
        <w:trPr>
          <w:trHeight w:val="79"/>
        </w:trPr>
        <w:tc>
          <w:tcPr>
            <w:tcW w:w="923" w:type="pct"/>
          </w:tcPr>
          <w:p w14:paraId="44559960" w14:textId="1604694E" w:rsidR="00685455" w:rsidRPr="001E3CBF" w:rsidRDefault="00685455" w:rsidP="00685455">
            <w:r w:rsidRPr="001E3CBF">
              <w:t>UCLM</w:t>
            </w:r>
          </w:p>
        </w:tc>
        <w:tc>
          <w:tcPr>
            <w:tcW w:w="4077" w:type="pct"/>
          </w:tcPr>
          <w:p w14:paraId="22E9DE9B" w14:textId="4248861D" w:rsidR="00685455" w:rsidRPr="001E3CBF" w:rsidRDefault="00685455" w:rsidP="00685455">
            <w:r w:rsidRPr="001E3CBF">
              <w:t>University of Castilla-La-Mancha</w:t>
            </w:r>
          </w:p>
        </w:tc>
      </w:tr>
      <w:tr w:rsidR="00685455" w:rsidRPr="00902631" w14:paraId="24D8C38A" w14:textId="77777777" w:rsidTr="0069303D">
        <w:trPr>
          <w:trHeight w:val="79"/>
        </w:trPr>
        <w:tc>
          <w:tcPr>
            <w:tcW w:w="923" w:type="pct"/>
          </w:tcPr>
          <w:p w14:paraId="55B02F0D" w14:textId="734DE9E3" w:rsidR="00685455" w:rsidRPr="001E3CBF" w:rsidRDefault="00685455" w:rsidP="00685455">
            <w:r w:rsidRPr="001E3CBF">
              <w:t>UHS</w:t>
            </w:r>
          </w:p>
        </w:tc>
        <w:tc>
          <w:tcPr>
            <w:tcW w:w="4077" w:type="pct"/>
          </w:tcPr>
          <w:p w14:paraId="6309E511" w14:textId="0F12A420" w:rsidR="00685455" w:rsidRPr="001E3CBF" w:rsidRDefault="00685455" w:rsidP="00685455">
            <w:r w:rsidRPr="001E3CBF">
              <w:t>Ultra-high speed</w:t>
            </w:r>
          </w:p>
        </w:tc>
      </w:tr>
      <w:tr w:rsidR="00685455" w:rsidRPr="00902631" w14:paraId="6B44EDD6" w14:textId="77777777" w:rsidTr="0069303D">
        <w:trPr>
          <w:trHeight w:val="79"/>
        </w:trPr>
        <w:tc>
          <w:tcPr>
            <w:tcW w:w="923" w:type="pct"/>
          </w:tcPr>
          <w:p w14:paraId="2AD258D4" w14:textId="592F2070" w:rsidR="00685455" w:rsidRPr="001E3CBF" w:rsidRDefault="00685455" w:rsidP="00685455">
            <w:r w:rsidRPr="001E3CBF">
              <w:t>UOS</w:t>
            </w:r>
          </w:p>
        </w:tc>
        <w:tc>
          <w:tcPr>
            <w:tcW w:w="4077" w:type="pct"/>
          </w:tcPr>
          <w:p w14:paraId="62A692BB" w14:textId="58CA9771" w:rsidR="00685455" w:rsidRPr="001E3CBF" w:rsidRDefault="00685455" w:rsidP="00685455">
            <w:r w:rsidRPr="001E3CBF">
              <w:t>University of Southampton</w:t>
            </w:r>
            <w:r w:rsidR="003C4600">
              <w:t xml:space="preserve">                       </w:t>
            </w:r>
          </w:p>
        </w:tc>
      </w:tr>
      <w:tr w:rsidR="00685455" w:rsidRPr="00902631" w14:paraId="0941D508" w14:textId="77777777" w:rsidTr="0069303D">
        <w:trPr>
          <w:trHeight w:val="79"/>
        </w:trPr>
        <w:tc>
          <w:tcPr>
            <w:tcW w:w="923" w:type="pct"/>
          </w:tcPr>
          <w:p w14:paraId="4E650ABA" w14:textId="0C405ED4" w:rsidR="00685455" w:rsidRPr="001E3CBF" w:rsidRDefault="00685455" w:rsidP="00685455">
            <w:r w:rsidRPr="001E3CBF">
              <w:t>USB</w:t>
            </w:r>
          </w:p>
        </w:tc>
        <w:tc>
          <w:tcPr>
            <w:tcW w:w="4077" w:type="pct"/>
          </w:tcPr>
          <w:p w14:paraId="15594F46" w14:textId="1C82AF47" w:rsidR="00685455" w:rsidRPr="001E3CBF" w:rsidRDefault="00685455" w:rsidP="00685455">
            <w:r w:rsidRPr="001E3CBF">
              <w:t>Universal serial bus</w:t>
            </w:r>
          </w:p>
        </w:tc>
      </w:tr>
      <w:tr w:rsidR="00685455" w:rsidRPr="00902631" w14:paraId="223DAC7B" w14:textId="77777777" w:rsidTr="0069303D">
        <w:trPr>
          <w:trHeight w:val="79"/>
        </w:trPr>
        <w:tc>
          <w:tcPr>
            <w:tcW w:w="923" w:type="pct"/>
          </w:tcPr>
          <w:p w14:paraId="3D964BCE" w14:textId="49E6C636" w:rsidR="00592E1E" w:rsidRPr="001E3CBF" w:rsidRDefault="00685455" w:rsidP="009C14BA">
            <w:r w:rsidRPr="001E3CBF">
              <w:t>UTC</w:t>
            </w:r>
          </w:p>
        </w:tc>
        <w:tc>
          <w:tcPr>
            <w:tcW w:w="4077" w:type="pct"/>
          </w:tcPr>
          <w:p w14:paraId="49E6E4A5" w14:textId="23B8C1BB" w:rsidR="00592E1E" w:rsidRPr="001E3CBF" w:rsidRDefault="00685455" w:rsidP="009C14BA">
            <w:r w:rsidRPr="001E3CBF">
              <w:t>Coordinated universal time</w:t>
            </w:r>
          </w:p>
        </w:tc>
      </w:tr>
      <w:tr w:rsidR="009C14BA" w:rsidRPr="00902631" w14:paraId="5443F7B1" w14:textId="77777777" w:rsidTr="0069303D">
        <w:trPr>
          <w:trHeight w:val="79"/>
        </w:trPr>
        <w:tc>
          <w:tcPr>
            <w:tcW w:w="923" w:type="pct"/>
          </w:tcPr>
          <w:p w14:paraId="375C0D6A" w14:textId="51061282" w:rsidR="009C14BA" w:rsidRPr="001E3CBF" w:rsidRDefault="009C14BA" w:rsidP="00685455">
            <w:r>
              <w:t>UV</w:t>
            </w:r>
          </w:p>
        </w:tc>
        <w:tc>
          <w:tcPr>
            <w:tcW w:w="4077" w:type="pct"/>
          </w:tcPr>
          <w:p w14:paraId="617B5A4C" w14:textId="77EA3E2C" w:rsidR="009C14BA" w:rsidRPr="001E3CBF" w:rsidRDefault="009C14BA" w:rsidP="00685455">
            <w:r>
              <w:t>Ultraviolet</w:t>
            </w:r>
          </w:p>
        </w:tc>
      </w:tr>
      <w:tr w:rsidR="00685455" w:rsidRPr="00902631" w14:paraId="76E820E8" w14:textId="77777777" w:rsidTr="0069303D">
        <w:trPr>
          <w:trHeight w:val="79"/>
        </w:trPr>
        <w:tc>
          <w:tcPr>
            <w:tcW w:w="923" w:type="pct"/>
          </w:tcPr>
          <w:p w14:paraId="365C5831" w14:textId="77777777" w:rsidR="00685455" w:rsidRDefault="00685455" w:rsidP="00685455">
            <w:r w:rsidRPr="001E3CBF">
              <w:t>VALERI</w:t>
            </w:r>
          </w:p>
          <w:p w14:paraId="330EA67A" w14:textId="7B3F52A3" w:rsidR="00592E1E" w:rsidRPr="001E3CBF" w:rsidRDefault="00592E1E" w:rsidP="00685455">
            <w:r>
              <w:t>VIS</w:t>
            </w:r>
          </w:p>
        </w:tc>
        <w:tc>
          <w:tcPr>
            <w:tcW w:w="4077" w:type="pct"/>
          </w:tcPr>
          <w:p w14:paraId="5D381589" w14:textId="77777777" w:rsidR="00685455" w:rsidRDefault="00685455" w:rsidP="00685455">
            <w:r w:rsidRPr="001E3CBF">
              <w:t>Validation of European Land Remote Sensing Instruments</w:t>
            </w:r>
          </w:p>
          <w:p w14:paraId="54156E36" w14:textId="28D7B0AF" w:rsidR="00592E1E" w:rsidRPr="001E3CBF" w:rsidRDefault="00592E1E" w:rsidP="00685455">
            <w:r>
              <w:t>Visible</w:t>
            </w:r>
          </w:p>
        </w:tc>
      </w:tr>
      <w:tr w:rsidR="00685455" w:rsidRPr="00902631" w14:paraId="1ACA9C04" w14:textId="77777777" w:rsidTr="0069303D">
        <w:trPr>
          <w:trHeight w:val="79"/>
        </w:trPr>
        <w:tc>
          <w:tcPr>
            <w:tcW w:w="923" w:type="pct"/>
          </w:tcPr>
          <w:p w14:paraId="42434F21" w14:textId="3FCBC2B2" w:rsidR="00685455" w:rsidRPr="001E3CBF" w:rsidRDefault="00685455" w:rsidP="00685455">
            <w:r w:rsidRPr="001E3CBF">
              <w:t>VNIR</w:t>
            </w:r>
          </w:p>
        </w:tc>
        <w:tc>
          <w:tcPr>
            <w:tcW w:w="4077" w:type="pct"/>
          </w:tcPr>
          <w:p w14:paraId="2B3F7FBA" w14:textId="06F90527" w:rsidR="00685455" w:rsidRPr="001E3CBF" w:rsidRDefault="00685455" w:rsidP="00685455">
            <w:r w:rsidRPr="001E3CBF">
              <w:t>Visible near infrared</w:t>
            </w:r>
          </w:p>
        </w:tc>
      </w:tr>
      <w:tr w:rsidR="00685455" w:rsidRPr="00902631" w14:paraId="1FE7B6E2" w14:textId="77777777" w:rsidTr="0069303D">
        <w:trPr>
          <w:trHeight w:val="79"/>
        </w:trPr>
        <w:tc>
          <w:tcPr>
            <w:tcW w:w="923" w:type="pct"/>
          </w:tcPr>
          <w:p w14:paraId="610ADBB0" w14:textId="1A475E85" w:rsidR="00685455" w:rsidRPr="001E3CBF" w:rsidRDefault="00685455" w:rsidP="00685455">
            <w:r w:rsidRPr="001E3CBF">
              <w:t>WGCV</w:t>
            </w:r>
          </w:p>
        </w:tc>
        <w:tc>
          <w:tcPr>
            <w:tcW w:w="4077" w:type="pct"/>
          </w:tcPr>
          <w:p w14:paraId="789AE0FA" w14:textId="3F01D461" w:rsidR="00685455" w:rsidRPr="001E3CBF" w:rsidRDefault="00685455" w:rsidP="00685455">
            <w:r w:rsidRPr="001E3CBF">
              <w:t>Working Group on Calibration and Validation</w:t>
            </w:r>
          </w:p>
        </w:tc>
      </w:tr>
    </w:tbl>
    <w:p w14:paraId="0F48E6CC" w14:textId="77777777" w:rsidR="00FD3124" w:rsidRDefault="00FD3124" w:rsidP="000E27EB">
      <w:pPr>
        <w:pStyle w:val="Heading1"/>
        <w:numPr>
          <w:ilvl w:val="0"/>
          <w:numId w:val="2"/>
        </w:numPr>
        <w:sectPr w:rsidR="00FD3124" w:rsidSect="00C036F8">
          <w:pgSz w:w="11906" w:h="16838"/>
          <w:pgMar w:top="1440" w:right="1440" w:bottom="1440" w:left="1440" w:header="708" w:footer="708" w:gutter="0"/>
          <w:cols w:space="708"/>
          <w:docGrid w:linePitch="360"/>
        </w:sectPr>
      </w:pPr>
    </w:p>
    <w:p w14:paraId="5C89FFDD" w14:textId="07E5A072" w:rsidR="008B7C78" w:rsidRPr="008B7C78" w:rsidRDefault="00767032" w:rsidP="00FD3124">
      <w:pPr>
        <w:pStyle w:val="Heading1"/>
        <w:numPr>
          <w:ilvl w:val="0"/>
          <w:numId w:val="2"/>
        </w:numPr>
      </w:pPr>
      <w:bookmarkStart w:id="6" w:name="_Toc44515951"/>
      <w:r>
        <w:lastRenderedPageBreak/>
        <w:t>Introduction</w:t>
      </w:r>
      <w:bookmarkEnd w:id="6"/>
    </w:p>
    <w:p w14:paraId="6EFAB0F2" w14:textId="77777777" w:rsidR="00BD626B" w:rsidRPr="00BD626B" w:rsidRDefault="00BD626B" w:rsidP="0069303D">
      <w:pPr>
        <w:spacing w:after="0"/>
      </w:pPr>
    </w:p>
    <w:p w14:paraId="4E3ACC1F" w14:textId="4A446824" w:rsidR="00D60F20" w:rsidRPr="00B31C8C" w:rsidRDefault="00D60F20" w:rsidP="00FD3124">
      <w:pPr>
        <w:pStyle w:val="Heading2"/>
        <w:numPr>
          <w:ilvl w:val="1"/>
          <w:numId w:val="2"/>
        </w:numPr>
      </w:pPr>
      <w:bookmarkStart w:id="7" w:name="_Toc44515952"/>
      <w:r w:rsidRPr="00B31C8C">
        <w:t>Purpose and Scope</w:t>
      </w:r>
      <w:bookmarkEnd w:id="7"/>
    </w:p>
    <w:p w14:paraId="0BF4C7B1" w14:textId="77777777" w:rsidR="00BD626B" w:rsidRPr="00BD626B" w:rsidRDefault="00BD626B" w:rsidP="0069303D">
      <w:pPr>
        <w:spacing w:after="0"/>
      </w:pPr>
    </w:p>
    <w:p w14:paraId="2BEBC4E3" w14:textId="1FCF7B8A" w:rsidR="00340825" w:rsidRDefault="00A4601C" w:rsidP="009C14BA">
      <w:pPr>
        <w:spacing w:line="360" w:lineRule="auto"/>
        <w:jc w:val="both"/>
      </w:pPr>
      <w:r w:rsidRPr="00A4601C">
        <w:t>This document forms deliverable D-</w:t>
      </w:r>
      <w:r w:rsidR="009C14BA">
        <w:t>20</w:t>
      </w:r>
      <w:r w:rsidRPr="00A4601C">
        <w:t xml:space="preserve"> of the ESA project ‘Fiducial Reference Measurements for Vegetation</w:t>
      </w:r>
      <w:r w:rsidR="002F6442">
        <w:t xml:space="preserve"> Phase 2</w:t>
      </w:r>
      <w:r w:rsidRPr="00A4601C">
        <w:t xml:space="preserve"> (FRM4VEG)’. Its purpose is to detail Fiducial Reference Measurement (FRM) protocols and procedures for the fraction of absorbed photosynthetically active radiation (FAPAR) and canopy chlorophyll content (CCC). </w:t>
      </w:r>
      <w:r w:rsidR="00862D97">
        <w:t xml:space="preserve">The FRM Protocols and Procedures for FAPAR and CCC (FFP-FAPAR/CCC) is a manual for calibrating field instrumentation, conducting field measurements in relation to both campaign and permanent field acquisitions, as well as describing how those measurements should be treated for upscaling to represent satellite pixels. The document is organized into </w:t>
      </w:r>
      <w:r w:rsidR="007F775D">
        <w:t>7</w:t>
      </w:r>
      <w:r w:rsidR="00862D97">
        <w:t xml:space="preserve"> main sections:</w:t>
      </w:r>
    </w:p>
    <w:p w14:paraId="1539EF53" w14:textId="016FCF7F" w:rsidR="00C538CD" w:rsidRPr="0068439A" w:rsidRDefault="00C538CD" w:rsidP="00C538CD">
      <w:pPr>
        <w:pStyle w:val="ListParagraph"/>
        <w:numPr>
          <w:ilvl w:val="0"/>
          <w:numId w:val="22"/>
        </w:numPr>
        <w:spacing w:line="360" w:lineRule="auto"/>
        <w:jc w:val="both"/>
      </w:pPr>
      <w:r w:rsidRPr="0068439A">
        <w:rPr>
          <w:b/>
          <w:bCs/>
        </w:rPr>
        <w:t>Section 1</w:t>
      </w:r>
      <w:r w:rsidRPr="0068439A">
        <w:t xml:space="preserve"> provides a summary of the FPP-</w:t>
      </w:r>
      <w:r w:rsidR="009116F4">
        <w:t>FC</w:t>
      </w:r>
      <w:r w:rsidRPr="0068439A">
        <w:t xml:space="preserve"> document with an overview of the FRM projects and requirements.</w:t>
      </w:r>
    </w:p>
    <w:p w14:paraId="0A1CE05A" w14:textId="27570ED4" w:rsidR="002F6442" w:rsidRDefault="002F6442" w:rsidP="002F6442">
      <w:pPr>
        <w:pStyle w:val="ListParagraph"/>
        <w:numPr>
          <w:ilvl w:val="0"/>
          <w:numId w:val="22"/>
        </w:numPr>
        <w:spacing w:line="360" w:lineRule="auto"/>
      </w:pPr>
      <w:r w:rsidRPr="002504CB">
        <w:rPr>
          <w:b/>
          <w:bCs/>
        </w:rPr>
        <w:t>Section 2</w:t>
      </w:r>
      <w:r>
        <w:t xml:space="preserve"> </w:t>
      </w:r>
      <w:r w:rsidR="00E82026">
        <w:t xml:space="preserve">provides </w:t>
      </w:r>
      <w:r>
        <w:t xml:space="preserve">an overview of </w:t>
      </w:r>
      <w:r w:rsidR="00445122">
        <w:t>the</w:t>
      </w:r>
      <w:r>
        <w:t xml:space="preserve"> terminology </w:t>
      </w:r>
      <w:r w:rsidR="00EB3ACD">
        <w:t>for both FAPAR and CCC.</w:t>
      </w:r>
    </w:p>
    <w:p w14:paraId="26346592" w14:textId="712F646D" w:rsidR="006A3146" w:rsidRPr="0068439A" w:rsidRDefault="006A3146" w:rsidP="006A3146">
      <w:pPr>
        <w:pStyle w:val="ListParagraph"/>
        <w:numPr>
          <w:ilvl w:val="0"/>
          <w:numId w:val="22"/>
        </w:numPr>
        <w:spacing w:line="360" w:lineRule="auto"/>
        <w:jc w:val="both"/>
        <w:rPr>
          <w:lang w:eastAsia="en-GB"/>
        </w:rPr>
      </w:pPr>
      <w:r w:rsidRPr="0068439A">
        <w:rPr>
          <w:b/>
          <w:bCs/>
        </w:rPr>
        <w:t>Section 3</w:t>
      </w:r>
      <w:r w:rsidRPr="0068439A">
        <w:t xml:space="preserve"> reviews the instruments which can be used to measure </w:t>
      </w:r>
      <w:r>
        <w:t>FAPAR and CCC</w:t>
      </w:r>
      <w:r w:rsidRPr="0068439A">
        <w:t xml:space="preserve"> with their role in the supporting calibration and validation of satellite data. </w:t>
      </w:r>
    </w:p>
    <w:p w14:paraId="0E269233" w14:textId="77777777" w:rsidR="005341DA" w:rsidRPr="0068439A" w:rsidRDefault="005341DA" w:rsidP="005341DA">
      <w:pPr>
        <w:pStyle w:val="ListParagraph"/>
        <w:numPr>
          <w:ilvl w:val="0"/>
          <w:numId w:val="22"/>
        </w:numPr>
        <w:spacing w:line="360" w:lineRule="auto"/>
        <w:jc w:val="both"/>
      </w:pPr>
      <w:r w:rsidRPr="0068439A">
        <w:rPr>
          <w:b/>
          <w:bCs/>
        </w:rPr>
        <w:t>Section 4</w:t>
      </w:r>
      <w:r w:rsidRPr="0068439A">
        <w:t xml:space="preserve"> describes the calibration of the instruments both in laboratory and in the field.</w:t>
      </w:r>
    </w:p>
    <w:p w14:paraId="2BAC4FAC" w14:textId="422C9C17" w:rsidR="00E161C2" w:rsidRPr="0068439A" w:rsidRDefault="00E161C2" w:rsidP="00E161C2">
      <w:pPr>
        <w:pStyle w:val="ListParagraph"/>
        <w:numPr>
          <w:ilvl w:val="0"/>
          <w:numId w:val="22"/>
        </w:numPr>
        <w:spacing w:line="360" w:lineRule="auto"/>
        <w:jc w:val="both"/>
      </w:pPr>
      <w:r w:rsidRPr="0068439A">
        <w:rPr>
          <w:b/>
          <w:bCs/>
        </w:rPr>
        <w:t>Section 5</w:t>
      </w:r>
      <w:r w:rsidRPr="0068439A">
        <w:t xml:space="preserve"> describes the procedures that should be followed in the field in order to support the systematic collection of in situ data with the goal of satellite product validation to </w:t>
      </w:r>
      <w:r w:rsidR="002F2AB0">
        <w:t>FRM</w:t>
      </w:r>
      <w:r w:rsidRPr="0068439A">
        <w:t xml:space="preserve"> standard</w:t>
      </w:r>
      <w:r w:rsidR="002F2AB0">
        <w:t>s</w:t>
      </w:r>
      <w:r w:rsidRPr="0068439A">
        <w:t>, and a description of requirements for permanent field sites.</w:t>
      </w:r>
    </w:p>
    <w:p w14:paraId="40935624" w14:textId="446CE6D0" w:rsidR="002F6442" w:rsidRDefault="002F6442" w:rsidP="002F6442">
      <w:pPr>
        <w:pStyle w:val="ListParagraph"/>
        <w:numPr>
          <w:ilvl w:val="0"/>
          <w:numId w:val="22"/>
        </w:numPr>
        <w:spacing w:line="360" w:lineRule="auto"/>
      </w:pPr>
      <w:r w:rsidRPr="002504CB">
        <w:rPr>
          <w:b/>
          <w:bCs/>
        </w:rPr>
        <w:t xml:space="preserve">Section </w:t>
      </w:r>
      <w:r w:rsidR="00820C1E">
        <w:rPr>
          <w:b/>
          <w:bCs/>
        </w:rPr>
        <w:t>6</w:t>
      </w:r>
      <w:r>
        <w:t xml:space="preserve"> underlines the importance of report</w:t>
      </w:r>
      <w:r w:rsidR="002F2AB0">
        <w:t>ing</w:t>
      </w:r>
      <w:r>
        <w:t xml:space="preserve"> quantitative indication </w:t>
      </w:r>
      <w:r w:rsidR="002F2AB0">
        <w:t xml:space="preserve">on </w:t>
      </w:r>
      <w:r>
        <w:t xml:space="preserve">the quality of the results to assess the reliability of the measurement of </w:t>
      </w:r>
      <w:r w:rsidR="002F2AB0">
        <w:t xml:space="preserve">the </w:t>
      </w:r>
      <w:r>
        <w:t>physical quantity.</w:t>
      </w:r>
    </w:p>
    <w:p w14:paraId="2B2D7595" w14:textId="5DD183DD" w:rsidR="00E959AB" w:rsidRPr="0068439A" w:rsidRDefault="00E959AB" w:rsidP="00E959AB">
      <w:pPr>
        <w:pStyle w:val="ListParagraph"/>
        <w:numPr>
          <w:ilvl w:val="0"/>
          <w:numId w:val="22"/>
        </w:numPr>
        <w:spacing w:line="360" w:lineRule="auto"/>
        <w:jc w:val="both"/>
      </w:pPr>
      <w:r>
        <w:rPr>
          <w:b/>
          <w:bCs/>
        </w:rPr>
        <w:t xml:space="preserve">Appendix 1: </w:t>
      </w:r>
      <w:r>
        <w:t xml:space="preserve">provides </w:t>
      </w:r>
      <w:r w:rsidRPr="0068439A">
        <w:t xml:space="preserve">a practical example of a field campaign from FRM4VEG Phase 1, by summarising the field activities to measure </w:t>
      </w:r>
      <w:r>
        <w:t>FAPAR and CCC</w:t>
      </w:r>
      <w:r w:rsidRPr="0068439A">
        <w:t xml:space="preserve"> and by describing the processing of field and satellite data.</w:t>
      </w:r>
    </w:p>
    <w:p w14:paraId="4B8445C8" w14:textId="77777777" w:rsidR="002F6442" w:rsidRPr="002504CB" w:rsidRDefault="002F6442" w:rsidP="00FD3124">
      <w:pPr>
        <w:spacing w:after="0"/>
        <w:ind w:left="360"/>
        <w:rPr>
          <w:rFonts w:cstheme="minorHAnsi"/>
        </w:rPr>
      </w:pPr>
    </w:p>
    <w:p w14:paraId="2C75EF7C" w14:textId="409A91E3" w:rsidR="002F6442" w:rsidRPr="007C2852" w:rsidRDefault="002F6442" w:rsidP="00FD3124">
      <w:pPr>
        <w:pStyle w:val="Heading2"/>
      </w:pPr>
      <w:bookmarkStart w:id="8" w:name="_Toc38979720"/>
      <w:bookmarkStart w:id="9" w:name="_Toc44515953"/>
      <w:r>
        <w:t>Overview of FRM Requirements</w:t>
      </w:r>
      <w:bookmarkEnd w:id="8"/>
      <w:bookmarkEnd w:id="9"/>
    </w:p>
    <w:p w14:paraId="43713C1E" w14:textId="77777777" w:rsidR="002F6442" w:rsidRDefault="002F6442" w:rsidP="0069303D">
      <w:pPr>
        <w:pStyle w:val="ListParagraph"/>
        <w:spacing w:after="0" w:line="360" w:lineRule="auto"/>
        <w:jc w:val="both"/>
        <w:rPr>
          <w:rFonts w:cstheme="minorHAnsi"/>
        </w:rPr>
      </w:pPr>
    </w:p>
    <w:p w14:paraId="41946E9F" w14:textId="77777777" w:rsidR="00FB10E5" w:rsidRPr="0068439A" w:rsidRDefault="00FB10E5" w:rsidP="00FB10E5">
      <w:pPr>
        <w:spacing w:line="360" w:lineRule="auto"/>
        <w:jc w:val="both"/>
        <w:rPr>
          <w:rFonts w:cstheme="minorHAnsi"/>
          <w:lang w:eastAsia="en-GB"/>
        </w:rPr>
      </w:pPr>
      <w:r w:rsidRPr="0068439A">
        <w:rPr>
          <w:rFonts w:cstheme="minorHAnsi"/>
          <w:lang w:eastAsia="en-GB"/>
        </w:rPr>
        <w:t xml:space="preserve">The ESA sponsored Fiducial Reference Measurement (FRM) programme aims to provide a suite of reference measurements (of land, ocean and atmosphere variables) with an associated uncertainty that can be used to conduct satellite product validation through conformity testing. That is, the process that determines whether the estimated target quantity (i.e. the satellite estimate) falls within the range of tolerable values (i.e. the reference estimate), or not </w:t>
      </w:r>
      <w:r w:rsidRPr="0068439A">
        <w:rPr>
          <w:rFonts w:cstheme="minorHAnsi"/>
          <w:lang w:eastAsia="en-GB"/>
        </w:rPr>
        <w:fldChar w:fldCharType="begin" w:fldLock="1"/>
      </w:r>
      <w:r w:rsidRPr="0068439A">
        <w:rPr>
          <w:rFonts w:cstheme="minorHAnsi"/>
          <w:lang w:eastAsia="en-GB"/>
        </w:rPr>
        <w:instrText>ADDIN CSL_CITATION {"citationItems":[{"id":"ITEM-1","itemData":{"DOI":"10.1016/j.rse.2015.08.016","ISSN":"00344257","abstract":"The RAdiative transfer Model Intercomparison (RAMI) activity focuses on the benchmarking of canopy radiative transfer (RT) models. For the current fourth phase of RAMI, six highly realistic virtual plant environments were constructed on the basis of intensive field data collected from (both deciduous and coniferous) forest stands as well as test sites in Europe and South Africa. Twelve RT modelling groups provided simulations of canopy scale (directional and hemispherically integrated) radiative quantities, as well as a series of binary hemispherical photographs acquired from different locations within the virtual canopies. The simulation results showed much greater variance than those recently analysed for the abstract canopy scenarios of RAMI-IV. Canopy complexity is among the most likely drivers behind operator induced errors that gave rise to the discrepancies. Conformity testing was introduced to separate the simulation results into acceptable and non-acceptable contributions. More specifically, a shared risk approach is used to evaluate the compliance of RT model simulations on the basis of reference data generated with the weighted ensemble averaging technique from ISO-13528. However, using concepts from legal metrology, the uncertainty of this reference solution will be shown to prevent a confident assessment of model performance with respect to the selected tolerance intervals. As an alternative, guarded risk decision rules will be presented to account explicitly for the uncertainty associated with the reference and candidate methods. Both guarded acceptance and guarded rejection approaches are used to make confident statements about the acceptance and/or rejection of RT model simulations with respect to the predefined tolerance intervals.","author":[{"dropping-particle":"","family":"Widlowski","given":"Jean Luc","non-dropping-particle":"","parse-names":false,"suffix":""},{"dropping-particle":"","family":"Mio","given":"Corrado","non-dropping-particle":"","parse-names":false,"suffix":""},{"dropping-particle":"","family":"Disney","given":"Mathias","non-dropping-particle":"","parse-names":false,"suffix":""},{"dropping-particle":"","family":"Adams","given":"Jennifer","non-dropping-particle":"","parse-names":false,"suffix":""},{"dropping-particle":"","family":"Andredakis","given":"Ioannis","non-dropping-particle":"","parse-names":false,"suffix":""},{"dropping-particle":"","family":"Atzberger","given":"Clement","non-dropping-particle":"","parse-names":false,"suffix":""},{"dropping-particle":"","family":"Brennan","given":"James","non-dropping-particle":"","parse-names":false,"suffix":""},{"dropping-particle":"","family":"Busetto","given":"Lorenzo","non-dropping-particle":"","parse-names":false,"suffix":""},{"dropping-particle":"","family":"Chelle","given":"Michaël","non-dropping-particle":"","parse-names":false,"suffix":""},{"dropping-particle":"","family":"Ceccherini","given":"Guido","non-dropping-particle":"","parse-names":false,"suffix":""},{"dropping-particle":"","family":"Colombo","given":"Roberto","non-dropping-particle":"","parse-names":false,"suffix":""},{"dropping-particle":"","family":"Côté","given":"Jean Francois","non-dropping-particle":"","parse-names":false,"suffix":""},{"dropping-particle":"","family":"Eenmäe","given":"Alo","non-dropping-particle":"","parse-names":false,"suffix":""},{"dropping-particle":"","family":"Essery","given":"Richard","non-dropping-particle":"","parse-names":false,"suffix":""},{"dropping-particle":"","family":"Gastellu-Etchegorry","given":"Jean Philippe","non-dropping-particle":"","parse-names":false,"suffix":""},{"dropping-particle":"","family":"Gobron","given":"Nadine","non-dropping-particle":"","parse-names":false,"suffix":""},{"dropping-particle":"","family":"Grau","given":"Eloi","non-dropping-particle":"","parse-names":false,"suffix":""},{"dropping-particle":"","family":"Haverd","given":"Vanessa","non-dropping-particle":"","parse-names":false,"suffix":""},{"dropping-particle":"","family":"Homolová","given":"Lucie","non-dropping-particle":"","parse-names":false,"suffix":""},{"dropping-particle":"","family":"Huang","given":"Huaguo","non-dropping-particle":"","parse-names":false,"suffix":""},{"dropping-particle":"","family":"Hunt","given":"Linda","non-dropping-particle":"","parse-names":false,"suffix":""},{"dropping-particle":"","family":"Kobayashi","given":"Hideki","non-dropping-particle":"","parse-names":false,"suffix":""},{"dropping-particle":"","family":"Koetz","given":"Benjamin","non-dropping-particle":"","parse-names":false,"suffix":""},{"dropping-particle":"","family":"Kuusk","given":"Andres","non-dropping-particle":"","parse-names":false,"suffix":""},{"dropping-particle":"","family":"Kuusk","given":"Joel","non-dropping-particle":"","parse-names":false,"suffix":""},{"dropping-particle":"","family":"Lang","given":"Mait","non-dropping-particle":"","parse-names":false,"suffix":""},{"dropping-particle":"","family":"Lewis","given":"Philip E.","non-dropping-particle":"","parse-names":false,"suffix":""},{"dropping-particle":"","family":"Lovell","given":"Jennifer L.","non-dropping-particle":"","parse-names":false,"suffix":""},{"dropping-particle":"","family":"Malenovský","given":"Zbyněk","non-dropping-particle":"","parse-names":false,"suffix":""},{"dropping-particle":"","family":"Meroni","given":"Michele","non-dropping-particle":"","parse-names":false,"suffix":""},{"dropping-particle":"","family":"Morsdorf","given":"Felix","non-dropping-particle":"","parse-names":false,"suffix":""},{"dropping-particle":"","family":"Mõttus","given":"Matti","non-dropping-particle":"","parse-names":false,"suffix":""},{"dropping-particle":"","family":"Ni-Meister","given":"Wenge","non-dropping-particle":"","parse-names":false,"suffix":""},{"dropping-particle":"","family":"Pinty","given":"Bernard","non-dropping-particle":"","parse-names":false,"suffix":""},{"dropping-particle":"","family":"Rautiainen","given":"Miina","non-dropping-particle":"","parse-names":false,"suffix":""},{"dropping-particle":"","family":"Schlerf","given":"Martin","non-dropping-particle":"","parse-names":false,"suffix":""},{"dropping-particle":"","family":"Somers","given":"Ben","non-dropping-particle":"","parse-names":false,"suffix":""},{"dropping-particle":"","family":"Stuckens","given":"Jan","non-dropping-particle":"","parse-names":false,"suffix":""},{"dropping-particle":"","family":"Verstraete","given":"Michel M.","non-dropping-particle":"","parse-names":false,"suffix":""},{"dropping-particle":"","family":"Yang","given":"Wenze","non-dropping-particle":"","parse-names":false,"suffix":""},{"dropping-particle":"","family":"Zhao","given":"Feng","non-dropping-particle":"","parse-names":false,"suffix":""},{"dropping-particle":"","family":"Zenone","given":"Terenzio","non-dropping-particle":"","parse-names":false,"suffix":""}],"container-title":"Remote Sensing of Environment","id":"ITEM-1","issued":{"date-parts":[["2015"]]},"page":"418-437","title":"The fourth phase of the radiative transfer model intercomparison (RAMI) exercise: Actual canopy scenarios and conformity testing","type":"article-journal","volume":"169"},"uris":["http://www.mendeley.com/documents/?uuid=dafd8bba-0f31-4b17-8b60-acd42db4ddd0"]}],"mendeley":{"formattedCitation":"[1]","plainTextFormattedCitation":"[1]","previouslyFormattedCitation":"[1]"},"properties":{"noteIndex":0},"schema":"https://github.com/citation-style-language/schema/raw/master/csl-citation.json"}</w:instrText>
      </w:r>
      <w:r w:rsidRPr="0068439A">
        <w:rPr>
          <w:rFonts w:cstheme="minorHAnsi"/>
          <w:lang w:eastAsia="en-GB"/>
        </w:rPr>
        <w:fldChar w:fldCharType="separate"/>
      </w:r>
      <w:r w:rsidRPr="0068439A">
        <w:rPr>
          <w:rFonts w:cstheme="minorHAnsi"/>
          <w:noProof/>
          <w:lang w:eastAsia="en-GB"/>
        </w:rPr>
        <w:t>[1]</w:t>
      </w:r>
      <w:r w:rsidRPr="0068439A">
        <w:rPr>
          <w:rFonts w:cstheme="minorHAnsi"/>
          <w:lang w:eastAsia="en-GB"/>
        </w:rPr>
        <w:fldChar w:fldCharType="end"/>
      </w:r>
      <w:r w:rsidRPr="0068439A">
        <w:rPr>
          <w:rFonts w:cstheme="minorHAnsi"/>
          <w:lang w:eastAsia="en-GB"/>
        </w:rPr>
        <w:t>.</w:t>
      </w:r>
    </w:p>
    <w:p w14:paraId="7664ABEA" w14:textId="77777777" w:rsidR="00FB10E5" w:rsidRPr="0068439A" w:rsidRDefault="00FB10E5" w:rsidP="00FB10E5">
      <w:pPr>
        <w:spacing w:line="360" w:lineRule="auto"/>
        <w:jc w:val="both"/>
        <w:rPr>
          <w:rFonts w:cstheme="minorHAnsi"/>
          <w:lang w:eastAsia="en-GB"/>
        </w:rPr>
      </w:pPr>
      <w:r w:rsidRPr="0068439A">
        <w:rPr>
          <w:rFonts w:cstheme="minorHAnsi"/>
          <w:lang w:eastAsia="en-GB"/>
        </w:rPr>
        <w:lastRenderedPageBreak/>
        <w:t>All FRMs should:</w:t>
      </w:r>
    </w:p>
    <w:p w14:paraId="0F242E44" w14:textId="37720471" w:rsidR="00FB10E5" w:rsidRPr="0068439A" w:rsidRDefault="00FB10E5" w:rsidP="00FD3124">
      <w:pPr>
        <w:pStyle w:val="ListParagraph"/>
        <w:numPr>
          <w:ilvl w:val="0"/>
          <w:numId w:val="30"/>
        </w:numPr>
        <w:autoSpaceDE w:val="0"/>
        <w:autoSpaceDN w:val="0"/>
        <w:adjustRightInd w:val="0"/>
        <w:spacing w:after="0" w:line="360" w:lineRule="auto"/>
        <w:ind w:left="284" w:hanging="284"/>
        <w:jc w:val="both"/>
        <w:rPr>
          <w:rFonts w:cstheme="minorHAnsi"/>
          <w:lang w:eastAsia="en-GB"/>
        </w:rPr>
      </w:pPr>
      <w:bookmarkStart w:id="10" w:name="_Hlk39211753"/>
      <w:r w:rsidRPr="0068439A">
        <w:rPr>
          <w:rFonts w:cstheme="minorHAnsi"/>
          <w:lang w:eastAsia="en-GB"/>
        </w:rPr>
        <w:t xml:space="preserve">Have documented SI traceability (or conform to appropriate international community standards), utilising instruments that have been characterised using metrological standards, both pre-deployment and evaluated regularly post-deployment </w:t>
      </w:r>
      <w:r w:rsidRPr="0068439A">
        <w:rPr>
          <w:rFonts w:cstheme="minorHAnsi"/>
          <w:lang w:eastAsia="en-GB"/>
        </w:rPr>
        <w:fldChar w:fldCharType="begin" w:fldLock="1"/>
      </w:r>
      <w:r w:rsidRPr="0068439A">
        <w:rPr>
          <w:rFonts w:cstheme="minorHAnsi"/>
          <w:lang w:eastAsia="en-GB"/>
        </w:rPr>
        <w:instrText>ADDIN CSL_CITATION {"citationItems":[{"id":"ITEM-1","itemData":{"author":[{"dropping-particle":"","family":"Theocharous","given":"E","non-dropping-particle":"","parse-names":false,"suffix":""},{"dropping-particle":"","family":"Fox","given":"N P","non-dropping-particle":"","parse-names":false,"suffix":""}],"id":"ITEM-1","issued":{"date-parts":[["2010"]]},"title":"NPL REPORT OP 4 CEOS comparison of IR brightness temperature measurements in support of satellite validation. Part II: Laboratory comparison of the brightness temperature of blackbodies","type":"report"},"uris":["http://www.mendeley.com/documents/?uuid=5eda7ac8-4282-3e17-8250-3d6c92cb1a5d"]}],"mendeley":{"formattedCitation":"[2]","plainTextFormattedCitation":"[2]","previouslyFormattedCitation":"[2]"},"properties":{"noteIndex":0},"schema":"https://github.com/citation-style-language/schema/raw/master/csl-citation.json"}</w:instrText>
      </w:r>
      <w:r w:rsidRPr="0068439A">
        <w:rPr>
          <w:rFonts w:cstheme="minorHAnsi"/>
          <w:lang w:eastAsia="en-GB"/>
        </w:rPr>
        <w:fldChar w:fldCharType="separate"/>
      </w:r>
      <w:r w:rsidRPr="0068439A">
        <w:rPr>
          <w:rFonts w:cstheme="minorHAnsi"/>
          <w:noProof/>
          <w:lang w:eastAsia="en-GB"/>
        </w:rPr>
        <w:t>[2]</w:t>
      </w:r>
      <w:r w:rsidRPr="0068439A">
        <w:rPr>
          <w:rFonts w:cstheme="minorHAnsi"/>
          <w:lang w:eastAsia="en-GB"/>
        </w:rPr>
        <w:fldChar w:fldCharType="end"/>
      </w:r>
      <w:r w:rsidRPr="0068439A">
        <w:rPr>
          <w:rFonts w:cstheme="minorHAnsi"/>
          <w:lang w:eastAsia="en-GB"/>
        </w:rPr>
        <w:t xml:space="preserve">, </w:t>
      </w:r>
      <w:r w:rsidRPr="0068439A">
        <w:rPr>
          <w:rFonts w:cstheme="minorHAnsi"/>
          <w:lang w:eastAsia="en-GB"/>
        </w:rPr>
        <w:fldChar w:fldCharType="begin" w:fldLock="1"/>
      </w:r>
      <w:r w:rsidR="00C51520">
        <w:rPr>
          <w:rFonts w:cstheme="minorHAnsi"/>
          <w:lang w:eastAsia="en-GB"/>
        </w:rPr>
        <w:instrText>ADDIN CSL_CITATION {"citationItems":[{"id":"ITEM-1","itemData":{"author":[{"dropping-particle":"","family":"Fox","given":"N.","non-dropping-particle":"","parse-names":false,"suffix":""}],"id":"ITEM-1","issued":{"date-parts":[["2010"]]},"title":"QA4EO: A guide to comparisons – organisation, operation and analysis to establish measurement equivalence to underpin the Quality Assurance requirements of GEO (QA4EO-QAEO-GEN-DQK-004) Version 4.0","type":"article-journal"},"uris":["http://www.mendeley.com/documents/?uuid=6eab09ab-0e62-499e-960c-e0ad9e92c204"]}],"mendeley":{"formattedCitation":"[3]","plainTextFormattedCitation":"[3]","previouslyFormattedCitation":"[3]"},"properties":{"noteIndex":0},"schema":"https://github.com/citation-style-language/schema/raw/master/csl-citation.json"}</w:instrText>
      </w:r>
      <w:r w:rsidRPr="0068439A">
        <w:rPr>
          <w:rFonts w:cstheme="minorHAnsi"/>
          <w:lang w:eastAsia="en-GB"/>
        </w:rPr>
        <w:fldChar w:fldCharType="separate"/>
      </w:r>
      <w:r w:rsidRPr="0068439A">
        <w:rPr>
          <w:rFonts w:cstheme="minorHAnsi"/>
          <w:noProof/>
          <w:lang w:eastAsia="en-GB"/>
        </w:rPr>
        <w:t>[3]</w:t>
      </w:r>
      <w:r w:rsidRPr="0068439A">
        <w:rPr>
          <w:rFonts w:cstheme="minorHAnsi"/>
          <w:lang w:eastAsia="en-GB"/>
        </w:rPr>
        <w:fldChar w:fldCharType="end"/>
      </w:r>
      <w:r w:rsidRPr="0068439A">
        <w:rPr>
          <w:rFonts w:cstheme="minorHAnsi"/>
          <w:lang w:eastAsia="en-GB"/>
        </w:rPr>
        <w:t>.</w:t>
      </w:r>
    </w:p>
    <w:p w14:paraId="7A0F9CB9" w14:textId="77777777" w:rsidR="00FB10E5" w:rsidRPr="0068439A" w:rsidRDefault="00FB10E5" w:rsidP="00FD3124">
      <w:pPr>
        <w:pStyle w:val="ListParagraph"/>
        <w:numPr>
          <w:ilvl w:val="0"/>
          <w:numId w:val="30"/>
        </w:numPr>
        <w:spacing w:line="360" w:lineRule="auto"/>
        <w:ind w:left="284" w:hanging="284"/>
        <w:rPr>
          <w:lang w:eastAsia="en-GB"/>
        </w:rPr>
      </w:pPr>
      <w:r w:rsidRPr="0068439A">
        <w:rPr>
          <w:lang w:eastAsia="en-GB"/>
        </w:rPr>
        <w:t>Be independent from the satellite geophysical retrieval process.</w:t>
      </w:r>
    </w:p>
    <w:p w14:paraId="43FC63FC" w14:textId="311F4784" w:rsidR="00FB10E5" w:rsidRPr="0068439A" w:rsidRDefault="00FB10E5" w:rsidP="00FD3124">
      <w:pPr>
        <w:pStyle w:val="ListParagraph"/>
        <w:numPr>
          <w:ilvl w:val="0"/>
          <w:numId w:val="30"/>
        </w:numPr>
        <w:autoSpaceDE w:val="0"/>
        <w:autoSpaceDN w:val="0"/>
        <w:adjustRightInd w:val="0"/>
        <w:spacing w:after="0" w:line="360" w:lineRule="auto"/>
        <w:ind w:left="284" w:hanging="284"/>
        <w:jc w:val="both"/>
        <w:rPr>
          <w:rFonts w:cstheme="minorHAnsi"/>
          <w:lang w:eastAsia="en-GB"/>
        </w:rPr>
      </w:pPr>
      <w:r w:rsidRPr="0068439A">
        <w:rPr>
          <w:rFonts w:cstheme="minorHAnsi"/>
          <w:lang w:eastAsia="en-GB"/>
        </w:rPr>
        <w:t xml:space="preserve">Be accompanied by an uncertainty budget for all instruments, derived measurements and validation methods </w:t>
      </w:r>
      <w:r w:rsidRPr="0068439A">
        <w:rPr>
          <w:rFonts w:cstheme="minorHAnsi"/>
          <w:lang w:eastAsia="en-GB"/>
        </w:rPr>
        <w:fldChar w:fldCharType="begin" w:fldLock="1"/>
      </w:r>
      <w:r w:rsidR="00C51520">
        <w:rPr>
          <w:rFonts w:cstheme="minorHAnsi"/>
          <w:lang w:eastAsia="en-GB"/>
        </w:rPr>
        <w:instrText>ADDIN CSL_CITATION {"citationItems":[{"id":"ITEM-1","itemData":{"abstract":"When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fields.","author":[{"dropping-particle":"","family":"Working Group 1 of the Joint Committee for Guides in Metrology","given":"","non-dropping-particle":"","parse-names":false,"suffix":""}],"id":"ITEM-1","issued":{"date-parts":[["2008"]]},"publisher":"Bureau International des Poids et Mesures","publisher-place":"Paris, France","title":"Evaluation of measurement data — Guide to the expression of uncertainty in measurement","type":"book"},"uris":["http://www.mendeley.com/documents/?uuid=742c897d-7840-4b76-9626-1cf60b423326"]}],"mendeley":{"formattedCitation":"[4]","plainTextFormattedCitation":"[4]","previouslyFormattedCitation":"[4]"},"properties":{"noteIndex":0},"schema":"https://github.com/citation-style-language/schema/raw/master/csl-citation.json"}</w:instrText>
      </w:r>
      <w:r w:rsidRPr="0068439A">
        <w:rPr>
          <w:rFonts w:cstheme="minorHAnsi"/>
          <w:lang w:eastAsia="en-GB"/>
        </w:rPr>
        <w:fldChar w:fldCharType="separate"/>
      </w:r>
      <w:r w:rsidRPr="0068439A">
        <w:rPr>
          <w:rFonts w:cstheme="minorHAnsi"/>
          <w:noProof/>
          <w:lang w:eastAsia="en-GB"/>
        </w:rPr>
        <w:t>[4]</w:t>
      </w:r>
      <w:r w:rsidRPr="0068439A">
        <w:rPr>
          <w:rFonts w:cstheme="minorHAnsi"/>
          <w:lang w:eastAsia="en-GB"/>
        </w:rPr>
        <w:fldChar w:fldCharType="end"/>
      </w:r>
      <w:r w:rsidRPr="0068439A">
        <w:rPr>
          <w:rFonts w:cstheme="minorHAnsi"/>
          <w:lang w:eastAsia="en-GB"/>
        </w:rPr>
        <w:t>.</w:t>
      </w:r>
    </w:p>
    <w:p w14:paraId="4494A146" w14:textId="77777777" w:rsidR="00FB10E5" w:rsidRPr="0068439A" w:rsidRDefault="00FB10E5" w:rsidP="00FD3124">
      <w:pPr>
        <w:pStyle w:val="ListParagraph"/>
        <w:numPr>
          <w:ilvl w:val="0"/>
          <w:numId w:val="30"/>
        </w:numPr>
        <w:autoSpaceDE w:val="0"/>
        <w:autoSpaceDN w:val="0"/>
        <w:adjustRightInd w:val="0"/>
        <w:spacing w:after="0" w:line="360" w:lineRule="auto"/>
        <w:ind w:left="284" w:hanging="284"/>
        <w:jc w:val="both"/>
        <w:rPr>
          <w:rFonts w:cstheme="minorHAnsi"/>
          <w:lang w:eastAsia="en-GB"/>
        </w:rPr>
      </w:pPr>
      <w:r w:rsidRPr="0068439A">
        <w:rPr>
          <w:rFonts w:cstheme="minorHAnsi"/>
          <w:lang w:eastAsia="en-GB"/>
        </w:rPr>
        <w:t>Adhere to community-agreed, published and openly available measurement protocols/ procedures and management practices.</w:t>
      </w:r>
    </w:p>
    <w:p w14:paraId="1C364ACD" w14:textId="234BC14C" w:rsidR="00FB10E5" w:rsidRPr="0068439A" w:rsidRDefault="00FB10E5" w:rsidP="00FD3124">
      <w:pPr>
        <w:pStyle w:val="ListParagraph"/>
        <w:numPr>
          <w:ilvl w:val="0"/>
          <w:numId w:val="30"/>
        </w:numPr>
        <w:autoSpaceDE w:val="0"/>
        <w:autoSpaceDN w:val="0"/>
        <w:adjustRightInd w:val="0"/>
        <w:spacing w:after="0" w:line="360" w:lineRule="auto"/>
        <w:ind w:left="284" w:hanging="284"/>
        <w:jc w:val="both"/>
      </w:pPr>
      <w:r w:rsidRPr="0068439A">
        <w:rPr>
          <w:rFonts w:cstheme="minorHAnsi"/>
          <w:lang w:eastAsia="en-GB"/>
        </w:rPr>
        <w:t>Be accessible to other researchers allowing independent verification of processing systems.</w:t>
      </w:r>
      <w:bookmarkEnd w:id="10"/>
    </w:p>
    <w:p w14:paraId="69E05C68" w14:textId="7211C977" w:rsidR="00FB10E5" w:rsidRPr="0068439A" w:rsidRDefault="00FB10E5" w:rsidP="00FD3124">
      <w:pPr>
        <w:spacing w:before="240" w:line="360" w:lineRule="auto"/>
        <w:jc w:val="both"/>
        <w:rPr>
          <w:rFonts w:cstheme="minorHAnsi"/>
        </w:rPr>
      </w:pPr>
      <w:r w:rsidRPr="0068439A">
        <w:rPr>
          <w:rFonts w:cstheme="minorHAnsi"/>
        </w:rPr>
        <w:t xml:space="preserve">A number of FRM projects have been created for various satellite retrievals </w:t>
      </w:r>
      <w:r w:rsidRPr="0068439A">
        <w:rPr>
          <w:rFonts w:cstheme="minorHAnsi"/>
        </w:rPr>
        <w:fldChar w:fldCharType="begin" w:fldLock="1"/>
      </w:r>
      <w:r w:rsidR="00C51520">
        <w:rPr>
          <w:rFonts w:cstheme="minorHAnsi"/>
        </w:rPr>
        <w:instrText>ADDIN CSL_CITATION {"citationItems":[{"id":"ITEM-1","itemData":{"URL":"https://earth.esa.int/web/sppa/activities/frm","accessed":{"date-parts":[["2019","3","8"]]},"author":[{"dropping-particle":"","family":"ESA","given":"","non-dropping-particle":"","parse-names":false,"suffix":""}],"id":"ITEM-1","issued":{"date-parts":[["2019"]]},"note":"Available from: https://earth.esa.int/web/sppa/activities/frm [accessed 08/03/2019].","title":"Fiducial Reference Measurements: FRM","type":"webpage"},"uris":["http://www.mendeley.com/documents/?uuid=162db558-0961-469d-a8e6-4a08004895be"]}],"mendeley":{"formattedCitation":"[5]","plainTextFormattedCitation":"[5]","previouslyFormattedCitation":"[5]"},"properties":{"noteIndex":0},"schema":"https://github.com/citation-style-language/schema/raw/master/csl-citation.json"}</w:instrText>
      </w:r>
      <w:r w:rsidRPr="0068439A">
        <w:rPr>
          <w:rFonts w:cstheme="minorHAnsi"/>
        </w:rPr>
        <w:fldChar w:fldCharType="separate"/>
      </w:r>
      <w:r w:rsidRPr="0068439A">
        <w:rPr>
          <w:rFonts w:cstheme="minorHAnsi"/>
          <w:noProof/>
        </w:rPr>
        <w:t>[5]</w:t>
      </w:r>
      <w:r w:rsidRPr="0068439A">
        <w:rPr>
          <w:rFonts w:cstheme="minorHAnsi"/>
        </w:rPr>
        <w:fldChar w:fldCharType="end"/>
      </w:r>
      <w:r w:rsidRPr="0068439A">
        <w:rPr>
          <w:rFonts w:cstheme="minorHAnsi"/>
        </w:rPr>
        <w:t>:</w:t>
      </w:r>
    </w:p>
    <w:p w14:paraId="5F45FBFD"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FRM4VEG: Fiducial Reference Measurements for Vegetation.</w:t>
      </w:r>
    </w:p>
    <w:p w14:paraId="1AE0FC91"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FRM4SOC: Fiducial Reference Measurements for Satellite Ocean Colour.</w:t>
      </w:r>
    </w:p>
    <w:p w14:paraId="4446107B"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FRM4ALT: Fiducial Reference Measurements for Altimetry.</w:t>
      </w:r>
    </w:p>
    <w:p w14:paraId="4EF3154D"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FRM-BOUSSOLE: Buoy for the acquisition of long-term optical time series.</w:t>
      </w:r>
    </w:p>
    <w:p w14:paraId="5E8503E9"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FRM4DOAS: Fiducial Reference Measurements for Ground-Based DOAS Air-Quality Observations.</w:t>
      </w:r>
    </w:p>
    <w:p w14:paraId="2FF3F2CA"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FRM4GHG: Fiducial Reference Measurements for Ground-Based FTIR Greenhouse Gas Observations.</w:t>
      </w:r>
    </w:p>
    <w:p w14:paraId="3CB5ED80" w14:textId="77777777" w:rsidR="00FB10E5" w:rsidRPr="0068439A" w:rsidRDefault="00FB10E5" w:rsidP="00FB10E5">
      <w:pPr>
        <w:pStyle w:val="ListParagraph"/>
        <w:numPr>
          <w:ilvl w:val="0"/>
          <w:numId w:val="8"/>
        </w:numPr>
        <w:spacing w:line="360" w:lineRule="auto"/>
        <w:jc w:val="both"/>
        <w:rPr>
          <w:rFonts w:cstheme="minorHAnsi"/>
        </w:rPr>
      </w:pPr>
      <w:r w:rsidRPr="0068439A">
        <w:rPr>
          <w:rFonts w:cstheme="minorHAnsi"/>
        </w:rPr>
        <w:t>FRM4STS: Fiducial Reference Measurements for Validation of Surface Temperatures from Satellites.</w:t>
      </w:r>
    </w:p>
    <w:p w14:paraId="2A65113B" w14:textId="77777777" w:rsidR="00FB10E5" w:rsidRPr="0068439A" w:rsidRDefault="00FB10E5" w:rsidP="00FB10E5">
      <w:pPr>
        <w:pStyle w:val="ListParagraph"/>
        <w:numPr>
          <w:ilvl w:val="0"/>
          <w:numId w:val="8"/>
        </w:numPr>
        <w:spacing w:line="360" w:lineRule="auto"/>
        <w:jc w:val="both"/>
        <w:rPr>
          <w:rFonts w:cstheme="minorHAnsi"/>
        </w:rPr>
      </w:pPr>
      <w:proofErr w:type="spellStart"/>
      <w:r w:rsidRPr="0068439A">
        <w:rPr>
          <w:rFonts w:cstheme="minorHAnsi"/>
        </w:rPr>
        <w:t>Pandonia</w:t>
      </w:r>
      <w:proofErr w:type="spellEnd"/>
      <w:r w:rsidRPr="0068439A">
        <w:rPr>
          <w:rFonts w:cstheme="minorHAnsi"/>
        </w:rPr>
        <w:t xml:space="preserve"> FRM: Fiducial Reference Measurements for Ground-Based Direct-Sun Air-Quality Observations.</w:t>
      </w:r>
    </w:p>
    <w:p w14:paraId="0252D416" w14:textId="3D7B97D0" w:rsidR="00FB10E5" w:rsidRPr="0068439A" w:rsidRDefault="00970428" w:rsidP="00FD3124">
      <w:pPr>
        <w:spacing w:line="360" w:lineRule="auto"/>
        <w:jc w:val="both"/>
        <w:rPr>
          <w:rFonts w:cstheme="minorHAnsi"/>
        </w:rPr>
      </w:pPr>
      <w:r w:rsidRPr="0068439A">
        <w:rPr>
          <w:rFonts w:cstheme="minorHAnsi"/>
          <w:lang w:eastAsia="en-GB"/>
        </w:rPr>
        <w:t>FRM4V</w:t>
      </w:r>
      <w:r>
        <w:rPr>
          <w:rFonts w:cstheme="minorHAnsi"/>
          <w:lang w:eastAsia="en-GB"/>
        </w:rPr>
        <w:t>EG</w:t>
      </w:r>
      <w:r w:rsidRPr="0068439A">
        <w:rPr>
          <w:rFonts w:cstheme="minorHAnsi"/>
          <w:lang w:eastAsia="en-GB"/>
        </w:rPr>
        <w:t xml:space="preserve"> </w:t>
      </w:r>
      <w:r w:rsidR="00FB10E5" w:rsidRPr="0068439A">
        <w:rPr>
          <w:rFonts w:cstheme="minorHAnsi"/>
          <w:lang w:eastAsia="en-GB"/>
        </w:rPr>
        <w:t xml:space="preserve">Phase 2 develops the methods and guidance documentation which should be followed by the international validation community when a) collecting campaign and permanent FRMs and b) performing validation of satellite-derived products, over the vegetated land surface. </w:t>
      </w:r>
    </w:p>
    <w:p w14:paraId="3E9F06B1" w14:textId="77777777" w:rsidR="00FB10E5" w:rsidRPr="0068439A" w:rsidRDefault="00FB10E5" w:rsidP="00FB10E5">
      <w:pPr>
        <w:spacing w:line="360" w:lineRule="auto"/>
        <w:jc w:val="both"/>
        <w:rPr>
          <w:rFonts w:cstheme="minorHAnsi"/>
        </w:rPr>
      </w:pPr>
    </w:p>
    <w:p w14:paraId="03164135" w14:textId="07D04ACD" w:rsidR="002F6442" w:rsidRDefault="002F6442" w:rsidP="00340825"/>
    <w:p w14:paraId="45A1CD19" w14:textId="77777777" w:rsidR="00970428" w:rsidRDefault="00970428" w:rsidP="00A12B5A">
      <w:pPr>
        <w:pStyle w:val="Heading1"/>
        <w:numPr>
          <w:ilvl w:val="0"/>
          <w:numId w:val="2"/>
        </w:numPr>
        <w:sectPr w:rsidR="00970428" w:rsidSect="00C036F8">
          <w:pgSz w:w="11906" w:h="16838"/>
          <w:pgMar w:top="1440" w:right="1440" w:bottom="1440" w:left="1440" w:header="708" w:footer="708" w:gutter="0"/>
          <w:cols w:space="708"/>
          <w:docGrid w:linePitch="360"/>
        </w:sectPr>
      </w:pPr>
      <w:bookmarkStart w:id="11" w:name="_Toc514748866"/>
      <w:bookmarkStart w:id="12" w:name="_Toc514853533"/>
      <w:bookmarkStart w:id="13" w:name="_Toc514853853"/>
      <w:bookmarkStart w:id="14" w:name="_Toc514853923"/>
      <w:bookmarkStart w:id="15" w:name="_Toc514853993"/>
      <w:bookmarkStart w:id="16" w:name="_Toc514854087"/>
      <w:bookmarkStart w:id="17" w:name="_Toc514854156"/>
      <w:bookmarkStart w:id="18" w:name="_Toc515216367"/>
      <w:bookmarkStart w:id="19" w:name="_Toc515217089"/>
      <w:bookmarkEnd w:id="11"/>
      <w:bookmarkEnd w:id="12"/>
      <w:bookmarkEnd w:id="13"/>
      <w:bookmarkEnd w:id="14"/>
      <w:bookmarkEnd w:id="15"/>
      <w:bookmarkEnd w:id="16"/>
      <w:bookmarkEnd w:id="17"/>
      <w:bookmarkEnd w:id="18"/>
      <w:bookmarkEnd w:id="19"/>
    </w:p>
    <w:p w14:paraId="454DE06F" w14:textId="49A3AD30" w:rsidR="00D03BF1" w:rsidRDefault="00AA080F" w:rsidP="00FD3124">
      <w:pPr>
        <w:pStyle w:val="Heading1"/>
        <w:numPr>
          <w:ilvl w:val="0"/>
          <w:numId w:val="2"/>
        </w:numPr>
      </w:pPr>
      <w:bookmarkStart w:id="20" w:name="_Toc44515954"/>
      <w:r>
        <w:lastRenderedPageBreak/>
        <w:t>FAPAR and CCC</w:t>
      </w:r>
      <w:r w:rsidR="00415C4B">
        <w:t xml:space="preserve"> Terminology</w:t>
      </w:r>
      <w:bookmarkEnd w:id="20"/>
    </w:p>
    <w:p w14:paraId="602E6C7A" w14:textId="77777777" w:rsidR="00D03BF1" w:rsidRPr="00D03BF1" w:rsidRDefault="00D03BF1" w:rsidP="0069303D">
      <w:pPr>
        <w:spacing w:after="0"/>
      </w:pPr>
    </w:p>
    <w:p w14:paraId="7F862295" w14:textId="1BA3F282" w:rsidR="00A12B5A" w:rsidRDefault="00FD3124" w:rsidP="00FD3124">
      <w:pPr>
        <w:pStyle w:val="Heading2"/>
        <w:numPr>
          <w:ilvl w:val="1"/>
          <w:numId w:val="2"/>
        </w:numPr>
      </w:pPr>
      <w:bookmarkStart w:id="21" w:name="_Toc44515955"/>
      <w:r>
        <w:t>FAPAR</w:t>
      </w:r>
      <w:bookmarkEnd w:id="21"/>
    </w:p>
    <w:p w14:paraId="39C1B857" w14:textId="77777777" w:rsidR="00954DEC" w:rsidRPr="00954DEC" w:rsidRDefault="00954DEC" w:rsidP="0069303D">
      <w:pPr>
        <w:spacing w:after="0"/>
      </w:pPr>
    </w:p>
    <w:p w14:paraId="4644E1D2" w14:textId="3C714F7D" w:rsidR="00607652" w:rsidRDefault="00607652" w:rsidP="00607652">
      <w:pPr>
        <w:spacing w:line="360" w:lineRule="auto"/>
        <w:jc w:val="both"/>
      </w:pPr>
      <w:r w:rsidRPr="000D6BC0">
        <w:t>The fraction of absorbed photosynthetically active radiation (FAPAR) is recognised as an essential climate variable (ECV) by the Global Climate Observing System (GCOS) as it has a primary role in estimation of</w:t>
      </w:r>
      <w:r>
        <w:t xml:space="preserve"> the</w:t>
      </w:r>
      <w:r w:rsidRPr="000D6BC0">
        <w:t xml:space="preserve"> carbon balance.</w:t>
      </w:r>
      <w:r w:rsidR="003C4600">
        <w:t xml:space="preserve"> </w:t>
      </w:r>
      <w:r w:rsidRPr="000D6BC0">
        <w:t>FAPAR is generally defined as the fraction of photosynthetically active radiation (PAR) absorbed by vegetation, where PAR is the solar radiation reaching the vegetati</w:t>
      </w:r>
      <w:r>
        <w:t xml:space="preserve">on in the wavelength region 400 nm to </w:t>
      </w:r>
      <w:r w:rsidRPr="000D6BC0">
        <w:t>700 nm.</w:t>
      </w:r>
      <w:r w:rsidR="003C4600">
        <w:t xml:space="preserve"> </w:t>
      </w:r>
      <w:r w:rsidRPr="000D6BC0">
        <w:t xml:space="preserve">It is a </w:t>
      </w:r>
      <w:r>
        <w:t>dimensionless</w:t>
      </w:r>
      <w:r w:rsidRPr="000D6BC0">
        <w:t xml:space="preserve"> quantity varying from </w:t>
      </w:r>
      <w:r>
        <w:t>zero</w:t>
      </w:r>
      <w:r w:rsidRPr="000D6BC0">
        <w:t xml:space="preserve"> (over bare soil) to almost </w:t>
      </w:r>
      <w:r>
        <w:t>one</w:t>
      </w:r>
      <w:r w:rsidRPr="000D6BC0">
        <w:t xml:space="preserve"> for the largest amount</w:t>
      </w:r>
      <w:r>
        <w:t>s</w:t>
      </w:r>
      <w:r w:rsidRPr="000D6BC0">
        <w:t xml:space="preserve"> of green vegetation.</w:t>
      </w:r>
      <w:r w:rsidR="003C4600">
        <w:t xml:space="preserve"> </w:t>
      </w:r>
      <w:r w:rsidRPr="000D6BC0">
        <w:t>Since FAPAR is mainly used as a descriptor of photosynthesis and evapotranspiration processes, only the green photosynthetic elements (leaves, needles, or other green ele</w:t>
      </w:r>
      <w:r>
        <w:t>ments) should be accounted for.</w:t>
      </w:r>
    </w:p>
    <w:p w14:paraId="5B9814AC" w14:textId="0E1CE753" w:rsidR="00607652" w:rsidRDefault="00607652" w:rsidP="00FD3124">
      <w:pPr>
        <w:spacing w:after="0" w:line="360" w:lineRule="auto"/>
        <w:jc w:val="both"/>
      </w:pPr>
      <w:r w:rsidRPr="000D6BC0">
        <w:t>FAPAR depends on the illumination conditions, i.e. the angular position of the sun and the relative contributions of the direct and diffuse illumination.</w:t>
      </w:r>
      <w:r w:rsidR="003C4600">
        <w:t xml:space="preserve"> </w:t>
      </w:r>
      <w:r w:rsidRPr="000D6BC0">
        <w:t xml:space="preserve">Both black-sky (assuming only direct radiation) and white-sky (assuming that all incoming radiation is in the form of isotropic diffuse radiation) </w:t>
      </w:r>
      <w:r>
        <w:t>FAPAR values may be considered.</w:t>
      </w:r>
      <w:r w:rsidR="003C4600">
        <w:t xml:space="preserve"> </w:t>
      </w:r>
      <w:r w:rsidRPr="000D6BC0">
        <w:t xml:space="preserve">FAPAR </w:t>
      </w:r>
      <w:r>
        <w:t>may also be considered on an instantaneous</w:t>
      </w:r>
      <w:r w:rsidRPr="000D6BC0">
        <w:t xml:space="preserve"> (at the time of acquisition) or </w:t>
      </w:r>
      <w:r>
        <w:t xml:space="preserve">temporally </w:t>
      </w:r>
      <w:r w:rsidRPr="000D6BC0">
        <w:t xml:space="preserve">integrated </w:t>
      </w:r>
      <w:r>
        <w:t>basis.</w:t>
      </w:r>
    </w:p>
    <w:p w14:paraId="729D4C7D" w14:textId="77777777" w:rsidR="006A7C15" w:rsidRPr="00FD3124" w:rsidRDefault="006A7C15" w:rsidP="00A4601C"/>
    <w:p w14:paraId="3CB24EAC" w14:textId="37B6C594" w:rsidR="00A4601C" w:rsidRPr="00697B53" w:rsidRDefault="0071535E" w:rsidP="00FD3124">
      <w:pPr>
        <w:pStyle w:val="Heading3"/>
        <w:numPr>
          <w:ilvl w:val="2"/>
          <w:numId w:val="2"/>
        </w:numPr>
      </w:pPr>
      <w:bookmarkStart w:id="22" w:name="_Toc44515956"/>
      <w:r w:rsidRPr="00FD3124">
        <w:t>FAPAR</w:t>
      </w:r>
      <w:r>
        <w:t xml:space="preserve"> </w:t>
      </w:r>
      <w:r w:rsidR="00937D64" w:rsidRPr="00697B53">
        <w:t>Principles of Measurement</w:t>
      </w:r>
      <w:bookmarkEnd w:id="22"/>
    </w:p>
    <w:p w14:paraId="75440A0C" w14:textId="1A239CEA" w:rsidR="002F1F7E" w:rsidRDefault="002F1F7E" w:rsidP="0069303D">
      <w:pPr>
        <w:spacing w:after="0"/>
      </w:pPr>
    </w:p>
    <w:p w14:paraId="1BAAE7A7" w14:textId="459ACEA3" w:rsidR="00B70E18" w:rsidRPr="00BC0206" w:rsidRDefault="00B70E18" w:rsidP="00B70E18">
      <w:pPr>
        <w:spacing w:line="360" w:lineRule="auto"/>
        <w:jc w:val="both"/>
      </w:pPr>
      <w:r w:rsidRPr="04772265">
        <w:t xml:space="preserve">The </w:t>
      </w:r>
      <w:r>
        <w:t xml:space="preserve">fraction of </w:t>
      </w:r>
      <w:r w:rsidRPr="04772265">
        <w:t xml:space="preserve">PAR absorbed by </w:t>
      </w:r>
      <w:r>
        <w:t xml:space="preserve">a </w:t>
      </w:r>
      <w:r w:rsidRPr="04772265">
        <w:t>canop</w:t>
      </w:r>
      <w:r>
        <w:t>y</w:t>
      </w:r>
      <w:r w:rsidRPr="04772265">
        <w:t xml:space="preserve"> may be </w:t>
      </w:r>
      <w:r>
        <w:t>directly measured using quantum</w:t>
      </w:r>
      <w:r w:rsidRPr="04772265">
        <w:t xml:space="preserve"> sensors</w:t>
      </w:r>
      <w:r>
        <w:t>,</w:t>
      </w:r>
      <w:r w:rsidRPr="04772265">
        <w:t xml:space="preserve"> or </w:t>
      </w:r>
      <w:r>
        <w:t xml:space="preserve">it may be </w:t>
      </w:r>
      <w:r w:rsidRPr="04772265">
        <w:t xml:space="preserve">estimated </w:t>
      </w:r>
      <w:r>
        <w:t xml:space="preserve">from measurements of transmission or gap fraction, the latter of which is equivalent to transmission if leaves are assumed to be </w:t>
      </w:r>
      <w:r w:rsidRPr="00220120">
        <w:t>black.</w:t>
      </w:r>
      <w:r w:rsidR="003C4600">
        <w:t xml:space="preserve"> </w:t>
      </w:r>
      <w:r w:rsidRPr="00220120">
        <w:t>Quantum sensors consist of a detector and filter that is sensitive to the PAR region of the electromagnetic spectrum, and typically incorporate cosine correction to provide a measurement integrated over the entire hemisphere.</w:t>
      </w:r>
      <w:r w:rsidR="003C4600">
        <w:t xml:space="preserve"> </w:t>
      </w:r>
      <w:r w:rsidRPr="00215FD1">
        <w:t>When measured directly, t</w:t>
      </w:r>
      <w:r w:rsidRPr="00215FD1">
        <w:rPr>
          <w:rFonts w:ascii="Calibri" w:eastAsia="Calibri" w:hAnsi="Calibri" w:cs="Calibri"/>
        </w:rPr>
        <w:t xml:space="preserve">he </w:t>
      </w:r>
      <w:r>
        <w:rPr>
          <w:rFonts w:ascii="Calibri" w:eastAsia="Calibri" w:hAnsi="Calibri" w:cs="Calibri"/>
        </w:rPr>
        <w:t>PAR absorbed by a canopy is determined</w:t>
      </w:r>
      <w:r w:rsidRPr="00D6736A">
        <w:rPr>
          <w:rFonts w:ascii="Calibri" w:eastAsia="Calibri" w:hAnsi="Calibri" w:cs="Calibri"/>
        </w:rPr>
        <w:t xml:space="preserve"> </w:t>
      </w:r>
      <w:r>
        <w:rPr>
          <w:rFonts w:ascii="Calibri" w:eastAsia="Calibri" w:hAnsi="Calibri" w:cs="Calibri"/>
        </w:rPr>
        <w:t xml:space="preserve">based on a closure of the PAR balance, </w:t>
      </w:r>
      <w:r w:rsidRPr="00D6736A">
        <w:rPr>
          <w:rFonts w:ascii="Calibri" w:eastAsia="Calibri" w:hAnsi="Calibri" w:cs="Calibri"/>
        </w:rPr>
        <w:t xml:space="preserve">considering hemispherical fluxes </w:t>
      </w:r>
      <w:r>
        <w:rPr>
          <w:rFonts w:ascii="Calibri" w:eastAsia="Calibri" w:hAnsi="Calibri" w:cs="Calibri"/>
        </w:rPr>
        <w:t>at the boundaries of the canopy.</w:t>
      </w:r>
      <w:r w:rsidR="003C4600">
        <w:rPr>
          <w:rFonts w:ascii="Calibri" w:eastAsia="Calibri" w:hAnsi="Calibri" w:cs="Calibri"/>
        </w:rPr>
        <w:t xml:space="preserve"> </w:t>
      </w:r>
      <w:r>
        <w:rPr>
          <w:rFonts w:ascii="Calibri" w:eastAsia="Calibri" w:hAnsi="Calibri" w:cs="Calibri"/>
        </w:rPr>
        <w:t>It is computed as</w:t>
      </w:r>
      <w:r>
        <w:rPr>
          <w:rFonts w:ascii="Calibri" w:eastAsia="Calibri" w:hAnsi="Calibri" w:cs="Calibri"/>
        </w:rPr>
        <w:tab/>
      </w:r>
      <w:r>
        <w:rPr>
          <w:rFonts w:ascii="Calibri" w:eastAsia="Calibri" w:hAnsi="Calibri" w:cs="Calibri"/>
        </w:rPr>
        <w:br/>
      </w:r>
    </w:p>
    <w:p w14:paraId="0685B8DB" w14:textId="22105BE8" w:rsidR="00B70E18" w:rsidRDefault="00F123E0" w:rsidP="00B70E18">
      <w:pPr>
        <w:spacing w:line="360" w:lineRule="auto"/>
        <w:jc w:val="both"/>
      </w:pPr>
      <m:oMathPara>
        <m:oMath>
          <m:sSubSup>
            <m:sSubSupPr>
              <m:ctrlPr>
                <w:rPr>
                  <w:rFonts w:ascii="Cambria Math" w:hAnsi="Cambria Math"/>
                  <w:i/>
                </w:rPr>
              </m:ctrlPr>
            </m:sSubSupPr>
            <m:e>
              <m:sSub>
                <m:sSubPr>
                  <m:ctrlPr>
                    <w:rPr>
                      <w:rFonts w:ascii="Cambria Math" w:hAnsi="Cambria Math"/>
                      <w:i/>
                    </w:rPr>
                  </m:ctrlPr>
                </m:sSubPr>
                <m:e>
                  <m:r>
                    <w:rPr>
                      <w:rFonts w:ascii="Cambria Math" w:hAnsi="Cambria Math"/>
                    </w:rPr>
                    <m:t>PAR</m:t>
                  </m:r>
                </m:e>
                <m:sub>
                  <m:r>
                    <w:rPr>
                      <w:rFonts w:ascii="Cambria Math" w:hAnsi="Cambria Math"/>
                    </w:rPr>
                    <m:t>a</m:t>
                  </m:r>
                </m:sub>
              </m:sSub>
              <m:r>
                <w:rPr>
                  <w:rFonts w:ascii="Cambria Math" w:hAnsi="Cambria Math"/>
                </w:rPr>
                <m:t>=PAR</m:t>
              </m:r>
            </m:e>
            <m:sub>
              <m:r>
                <w:rPr>
                  <w:rFonts w:ascii="Cambria Math" w:hAnsi="Cambria Math"/>
                </w:rPr>
                <m:t>H</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PAR</m:t>
              </m:r>
            </m:e>
            <m:sub>
              <m:r>
                <w:rPr>
                  <w:rFonts w:ascii="Cambria Math" w:hAnsi="Cambria Math"/>
                </w:rPr>
                <m:t>H</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PAR</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PAR</m:t>
              </m:r>
            </m:e>
            <m:sub>
              <m:r>
                <w:rPr>
                  <w:rFonts w:ascii="Cambria Math" w:hAnsi="Cambria Math"/>
                </w:rPr>
                <m:t>0</m:t>
              </m:r>
            </m:sub>
            <m:sup>
              <m:r>
                <w:rPr>
                  <w:rFonts w:ascii="Cambria Math" w:hAnsi="Cambria Math"/>
                </w:rPr>
                <m:t>↑</m:t>
              </m:r>
            </m:sup>
          </m:sSubSup>
          <m:r>
            <m:rPr>
              <m:sty m:val="p"/>
            </m:rPr>
            <w:rPr>
              <w:rFonts w:eastAsiaTheme="minorEastAsia"/>
            </w:rPr>
            <w:br/>
          </m:r>
        </m:oMath>
        <m:oMath>
          <m:r>
            <m:rPr>
              <m:sty m:val="p"/>
            </m:rPr>
            <w:rPr>
              <w:rFonts w:eastAsiaTheme="minorEastAsia"/>
            </w:rPr>
            <w:br/>
          </m:r>
          <m:r>
            <m:rPr>
              <m:sty m:val="p"/>
            </m:rPr>
            <w:rPr>
              <w:rFonts w:eastAsiaTheme="minorEastAsia"/>
            </w:rPr>
            <m:t xml:space="preserve">where </m:t>
          </m:r>
          <m:sSup>
            <m:sSupPr>
              <m:ctrlPr>
                <w:rPr>
                  <w:rFonts w:ascii="Cambria Math" w:hAnsi="Cambria Math"/>
                  <w:i/>
                </w:rPr>
              </m:ctrlPr>
            </m:sSupPr>
            <m:e>
              <m:r>
                <w:rPr>
                  <w:rFonts w:ascii="Cambria Math" w:hAnsi="Cambria Math"/>
                </w:rPr>
                <m:t>PAR</m:t>
              </m:r>
            </m:e>
            <m:sup>
              <m:r>
                <w:rPr>
                  <w:rFonts w:ascii="Cambria Math" w:hAnsi="Cambria Math"/>
                </w:rPr>
                <m:t>↓</m:t>
              </m:r>
            </m:sup>
          </m:sSup>
        </m:oMath>
      </m:oMathPara>
      <w:r w:rsidR="00B70E18">
        <w:rPr>
          <w:rFonts w:eastAsiaTheme="minorEastAsia"/>
        </w:rPr>
        <w:t xml:space="preserve"> and </w:t>
      </w:r>
      <m:oMath>
        <m:sSup>
          <m:sSupPr>
            <m:ctrlPr>
              <w:rPr>
                <w:rFonts w:ascii="Cambria Math" w:hAnsi="Cambria Math"/>
                <w:i/>
              </w:rPr>
            </m:ctrlPr>
          </m:sSupPr>
          <m:e>
            <m:r>
              <w:rPr>
                <w:rFonts w:ascii="Cambria Math" w:hAnsi="Cambria Math"/>
              </w:rPr>
              <m:t>PAR</m:t>
            </m:r>
          </m:e>
          <m:sup>
            <m:r>
              <w:rPr>
                <w:rFonts w:ascii="Cambria Math" w:hAnsi="Cambria Math"/>
              </w:rPr>
              <m:t>↑</m:t>
            </m:r>
          </m:sup>
        </m:sSup>
      </m:oMath>
      <w:r w:rsidR="00B70E18">
        <w:rPr>
          <w:rFonts w:eastAsiaTheme="minorEastAsia"/>
        </w:rPr>
        <w:t>are downward and upward PAR fluxes measured at the bottom (</w:t>
      </w:r>
      <m:oMath>
        <m:sSub>
          <m:sSubPr>
            <m:ctrlPr>
              <w:rPr>
                <w:rFonts w:ascii="Cambria Math" w:eastAsiaTheme="minorEastAsia" w:hAnsi="Cambria Math"/>
                <w:i/>
              </w:rPr>
            </m:ctrlPr>
          </m:sSubPr>
          <m:e>
            <m:r>
              <w:rPr>
                <w:rFonts w:ascii="Cambria Math" w:eastAsiaTheme="minorEastAsia" w:hAnsi="Cambria Math"/>
              </w:rPr>
              <m:t>PAR</m:t>
            </m:r>
          </m:e>
          <m:sub>
            <m:r>
              <w:rPr>
                <w:rFonts w:ascii="Cambria Math" w:eastAsiaTheme="minorEastAsia" w:hAnsi="Cambria Math"/>
              </w:rPr>
              <m:t>0</m:t>
            </m:r>
          </m:sub>
        </m:sSub>
      </m:oMath>
      <w:r w:rsidR="00B70E18">
        <w:rPr>
          <w:rFonts w:eastAsiaTheme="minorEastAsia"/>
        </w:rPr>
        <w:t>) and top (</w:t>
      </w:r>
      <m:oMath>
        <m:sSub>
          <m:sSubPr>
            <m:ctrlPr>
              <w:rPr>
                <w:rFonts w:ascii="Cambria Math" w:eastAsiaTheme="minorEastAsia" w:hAnsi="Cambria Math"/>
                <w:i/>
              </w:rPr>
            </m:ctrlPr>
          </m:sSubPr>
          <m:e>
            <m:r>
              <w:rPr>
                <w:rFonts w:ascii="Cambria Math" w:eastAsiaTheme="minorEastAsia" w:hAnsi="Cambria Math"/>
              </w:rPr>
              <m:t>PAR</m:t>
            </m:r>
          </m:e>
          <m:sub>
            <m:r>
              <w:rPr>
                <w:rFonts w:ascii="Cambria Math" w:eastAsiaTheme="minorEastAsia" w:hAnsi="Cambria Math"/>
              </w:rPr>
              <m:t>H</m:t>
            </m:r>
          </m:sub>
        </m:sSub>
      </m:oMath>
      <w:r w:rsidR="00B70E18">
        <w:rPr>
          <w:rFonts w:eastAsiaTheme="minorEastAsia"/>
        </w:rPr>
        <w:t>) of the canopy.</w:t>
      </w:r>
      <w:r w:rsidR="003C4600">
        <w:t xml:space="preserve"> </w:t>
      </w:r>
      <w:r w:rsidR="00B70E18">
        <w:t xml:space="preserve">Thus, the measurement of each term of the PAR balance requires several </w:t>
      </w:r>
      <w:r w:rsidR="00B70E18" w:rsidRPr="005A17B3">
        <w:t>quantum sensors (Figure 1):</w:t>
      </w:r>
    </w:p>
    <w:p w14:paraId="53114C1A" w14:textId="77777777" w:rsidR="00B70E18" w:rsidRDefault="00F123E0" w:rsidP="00B70E18">
      <w:pPr>
        <w:numPr>
          <w:ilvl w:val="0"/>
          <w:numId w:val="3"/>
        </w:numPr>
        <w:spacing w:after="0" w:line="360" w:lineRule="auto"/>
        <w:ind w:left="360"/>
        <w:jc w:val="both"/>
      </w:pPr>
      <m:oMath>
        <m:sSubSup>
          <m:sSubSupPr>
            <m:ctrlPr>
              <w:rPr>
                <w:rFonts w:ascii="Cambria Math" w:hAnsi="Cambria Math"/>
                <w:i/>
              </w:rPr>
            </m:ctrlPr>
          </m:sSubSupPr>
          <m:e>
            <m:r>
              <w:rPr>
                <w:rFonts w:ascii="Cambria Math" w:hAnsi="Cambria Math"/>
              </w:rPr>
              <m:t>PAR</m:t>
            </m:r>
          </m:e>
          <m:sub>
            <m:r>
              <w:rPr>
                <w:rFonts w:ascii="Cambria Math" w:hAnsi="Cambria Math"/>
              </w:rPr>
              <m:t>H</m:t>
            </m:r>
          </m:sub>
          <m:sup>
            <m:r>
              <w:rPr>
                <w:rFonts w:ascii="Cambria Math" w:hAnsi="Cambria Math"/>
              </w:rPr>
              <m:t>↓</m:t>
            </m:r>
          </m:sup>
        </m:sSubSup>
      </m:oMath>
      <w:r w:rsidR="00B70E18">
        <w:t xml:space="preserve"> - incident PAR at the bottom of the canopy may be measured using upwards facing quantum sensors at the top of the canopy.</w:t>
      </w:r>
    </w:p>
    <w:p w14:paraId="59A1512B" w14:textId="77777777" w:rsidR="00B70E18" w:rsidRDefault="00F123E0" w:rsidP="00B70E18">
      <w:pPr>
        <w:numPr>
          <w:ilvl w:val="0"/>
          <w:numId w:val="3"/>
        </w:numPr>
        <w:spacing w:after="0" w:line="360" w:lineRule="auto"/>
        <w:ind w:left="360"/>
        <w:jc w:val="both"/>
      </w:pPr>
      <m:oMath>
        <m:sSubSup>
          <m:sSubSupPr>
            <m:ctrlPr>
              <w:rPr>
                <w:rFonts w:ascii="Cambria Math" w:hAnsi="Cambria Math"/>
                <w:i/>
              </w:rPr>
            </m:ctrlPr>
          </m:sSubSupPr>
          <m:e>
            <m:r>
              <w:rPr>
                <w:rFonts w:ascii="Cambria Math" w:hAnsi="Cambria Math"/>
              </w:rPr>
              <m:t>PAR</m:t>
            </m:r>
          </m:e>
          <m:sub>
            <m:r>
              <w:rPr>
                <w:rFonts w:ascii="Cambria Math" w:hAnsi="Cambria Math"/>
              </w:rPr>
              <m:t>H</m:t>
            </m:r>
          </m:sub>
          <m:sup>
            <m:r>
              <w:rPr>
                <w:rFonts w:ascii="Cambria Math" w:hAnsi="Cambria Math"/>
              </w:rPr>
              <m:t>↑</m:t>
            </m:r>
          </m:sup>
        </m:sSubSup>
      </m:oMath>
      <w:r w:rsidR="00B70E18">
        <w:t xml:space="preserve"> - reflected PAR may be measured using downwards facing quantum sensors at the top of the canopy</w:t>
      </w:r>
    </w:p>
    <w:p w14:paraId="1CB3C2A7" w14:textId="77777777" w:rsidR="00B70E18" w:rsidRDefault="00F123E0" w:rsidP="00B70E18">
      <w:pPr>
        <w:numPr>
          <w:ilvl w:val="0"/>
          <w:numId w:val="3"/>
        </w:numPr>
        <w:spacing w:after="0" w:line="360" w:lineRule="auto"/>
        <w:ind w:left="360"/>
        <w:jc w:val="both"/>
      </w:pPr>
      <m:oMath>
        <m:sSubSup>
          <m:sSubSupPr>
            <m:ctrlPr>
              <w:rPr>
                <w:rFonts w:ascii="Cambria Math" w:hAnsi="Cambria Math"/>
                <w:i/>
              </w:rPr>
            </m:ctrlPr>
          </m:sSubSupPr>
          <m:e>
            <m:r>
              <w:rPr>
                <w:rFonts w:ascii="Cambria Math" w:hAnsi="Cambria Math"/>
              </w:rPr>
              <m:t>PAR</m:t>
            </m:r>
          </m:e>
          <m:sub>
            <m:r>
              <w:rPr>
                <w:rFonts w:ascii="Cambria Math" w:hAnsi="Cambria Math"/>
              </w:rPr>
              <m:t>0</m:t>
            </m:r>
          </m:sub>
          <m:sup>
            <m:r>
              <w:rPr>
                <w:rFonts w:ascii="Cambria Math" w:hAnsi="Cambria Math"/>
              </w:rPr>
              <m:t>↓</m:t>
            </m:r>
          </m:sup>
        </m:sSubSup>
      </m:oMath>
      <w:r w:rsidR="00B70E18">
        <w:t xml:space="preserve"> - transmitted PAR may be measured using upwards facing quantum sensors at the bottom of the canopy.</w:t>
      </w:r>
    </w:p>
    <w:p w14:paraId="373F46F4" w14:textId="77777777" w:rsidR="00B70E18" w:rsidRDefault="00F123E0" w:rsidP="00B70E18">
      <w:pPr>
        <w:numPr>
          <w:ilvl w:val="0"/>
          <w:numId w:val="3"/>
        </w:numPr>
        <w:spacing w:after="0" w:line="360" w:lineRule="auto"/>
        <w:ind w:left="360"/>
        <w:jc w:val="both"/>
      </w:pPr>
      <m:oMath>
        <m:sSubSup>
          <m:sSubSupPr>
            <m:ctrlPr>
              <w:rPr>
                <w:rFonts w:ascii="Cambria Math" w:hAnsi="Cambria Math"/>
                <w:i/>
              </w:rPr>
            </m:ctrlPr>
          </m:sSubSupPr>
          <m:e>
            <m:r>
              <w:rPr>
                <w:rFonts w:ascii="Cambria Math" w:hAnsi="Cambria Math"/>
              </w:rPr>
              <m:t>PAR</m:t>
            </m:r>
          </m:e>
          <m:sub>
            <m:r>
              <w:rPr>
                <w:rFonts w:ascii="Cambria Math" w:hAnsi="Cambria Math"/>
              </w:rPr>
              <m:t>0</m:t>
            </m:r>
          </m:sub>
          <m:sup>
            <m:r>
              <w:rPr>
                <w:rFonts w:ascii="Cambria Math" w:hAnsi="Cambria Math"/>
              </w:rPr>
              <m:t>↑</m:t>
            </m:r>
          </m:sup>
        </m:sSubSup>
      </m:oMath>
      <w:r w:rsidR="00B70E18">
        <w:t xml:space="preserve"> - PAR reflected by the soil may be measured using downwards facing sensors</w:t>
      </w:r>
      <w:r w:rsidR="00B70E18" w:rsidRPr="000A682C">
        <w:t xml:space="preserve"> </w:t>
      </w:r>
      <w:r w:rsidR="00B70E18">
        <w:t>at the bottom of the canopy.</w:t>
      </w:r>
    </w:p>
    <w:p w14:paraId="1191C0A8" w14:textId="77777777" w:rsidR="00B70E18" w:rsidRDefault="00B70E18" w:rsidP="00B70E18">
      <w:pPr>
        <w:spacing w:after="0" w:line="276" w:lineRule="auto"/>
        <w:ind w:left="360"/>
        <w:jc w:val="both"/>
      </w:pPr>
    </w:p>
    <w:p w14:paraId="54DD9B8B" w14:textId="01355C6A" w:rsidR="000043E3" w:rsidRDefault="00B70E18" w:rsidP="000043E3">
      <w:pPr>
        <w:spacing w:line="360" w:lineRule="auto"/>
        <w:jc w:val="both"/>
      </w:pPr>
      <w:r>
        <w:t>The number of quantum sensors required to derive representative measurements of a canopy depends on its heterogeneity, in addition to the footprint of the sensor itself.</w:t>
      </w:r>
      <w:r w:rsidR="003C4600">
        <w:t xml:space="preserve"> </w:t>
      </w:r>
      <w:r>
        <w:t>Approximately half of the flux collected by a quantum sensor comes from a circle with a radius equal to the height of the sensor</w:t>
      </w:r>
      <w:r w:rsidR="009611AE">
        <w:t xml:space="preserve"> </w:t>
      </w:r>
      <w:r>
        <w:fldChar w:fldCharType="begin" w:fldLock="1"/>
      </w:r>
      <w:r w:rsidR="009611AE">
        <w:instrText>ADDIN CSL_CITATION {"citationItems":[{"id":"ITEM-1","itemData":{"DOI":"10.1016/S0168-1923(97)00011-7","ISSN":"01681923","author":[{"dropping-particle":"","family":"Schmid","given":"H P","non-dropping-particle":"","parse-names":false,"suffix":""}],"container-title":"Agricultural and Forest Meteorology","id":"ITEM-1","issue":"2-3","issued":{"date-parts":[["1997"]]},"page":"179-200","title":"Experimental design for flux measurements: matching scales of observations and fluxes","type":"article-journal","volume":"87"},"uris":["http://www.mendeley.com/documents/?uuid=5b7db343-a97f-4489-9539-8cbda50413e3"]}],"mendeley":{"formattedCitation":"[6]","plainTextFormattedCitation":"[6]","previouslyFormattedCitation":"[6]"},"properties":{"noteIndex":0},"schema":"https://github.com/citation-style-language/schema/raw/master/csl-citation.json"}</w:instrText>
      </w:r>
      <w:r>
        <w:fldChar w:fldCharType="separate"/>
      </w:r>
      <w:r w:rsidR="00C51520" w:rsidRPr="00C51520">
        <w:rPr>
          <w:noProof/>
        </w:rPr>
        <w:t>[6]</w:t>
      </w:r>
      <w:r>
        <w:fldChar w:fldCharType="end"/>
      </w:r>
      <w:r>
        <w:t>.</w:t>
      </w:r>
      <w:r w:rsidR="003C4600">
        <w:t xml:space="preserve"> </w:t>
      </w:r>
      <w:r>
        <w:t>Between five and fifty sensors are therefore required for the terms measured at the bottom of the canopy, because distances to the soil, top of the canopy and bottom of the canopy are generally limited.</w:t>
      </w:r>
      <w:r w:rsidR="003C4600">
        <w:t xml:space="preserve"> </w:t>
      </w:r>
      <w:r>
        <w:t>Conversely, a smaller number of sensors are typically required to measure the reflected PAR, depending on the distance between the sensor and the top of the canopy.</w:t>
      </w:r>
      <w:r w:rsidR="003C4600">
        <w:t xml:space="preserve"> </w:t>
      </w:r>
      <w:r>
        <w:t>Where possible, these sensors should be positioned at a distance of at least five times the typical size of heterogeneities</w:t>
      </w:r>
      <w:r w:rsidR="00132903">
        <w:t xml:space="preserve"> </w:t>
      </w:r>
      <w:r w:rsidR="00132903">
        <w:fldChar w:fldCharType="begin" w:fldLock="1"/>
      </w:r>
      <w:r w:rsidR="00132903">
        <w:instrText>ADDIN CSL_CITATION {"citationItems":[{"id":"ITEM-1","itemData":{"DOI":"10.1016/S0168-1923(97)00011-7","ISSN":"01681923","author":[{"dropping-particle":"","family":"Schmid","given":"H P","non-dropping-particle":"","parse-names":false,"suffix":""}],"container-title":"Agricultural and Forest Meteorology","id":"ITEM-1","issue":"2-3","issued":{"date-parts":[["1997"]]},"page":"179-200","title":"Experimental design for flux measurements: matching scales of observations and fluxes","type":"article-journal","volume":"87"},"uris":["http://www.mendeley.com/documents/?uuid=5b7db343-a97f-4489-9539-8cbda50413e3"]}],"mendeley":{"formattedCitation":"[6]","plainTextFormattedCitation":"[6]","previouslyFormattedCitation":"[6]"},"properties":{"noteIndex":0},"schema":"https://github.com/citation-style-language/schema/raw/master/csl-citation.json"}</w:instrText>
      </w:r>
      <w:r w:rsidR="00132903">
        <w:fldChar w:fldCharType="separate"/>
      </w:r>
      <w:r w:rsidR="00132903" w:rsidRPr="00C51520">
        <w:rPr>
          <w:noProof/>
        </w:rPr>
        <w:t>[6]</w:t>
      </w:r>
      <w:r w:rsidR="00132903">
        <w:fldChar w:fldCharType="end"/>
      </w:r>
      <w:r>
        <w:t>.</w:t>
      </w:r>
      <w:r w:rsidR="003C4600">
        <w:t xml:space="preserve"> </w:t>
      </w:r>
      <w:r>
        <w:t>In the case of incoming PAR at the top of the canopy, only a single sensor is required because the incident radiation field is rarely locally heterogeneous.</w:t>
      </w:r>
    </w:p>
    <w:p w14:paraId="571E9206" w14:textId="3D71E150" w:rsidR="00105321" w:rsidRDefault="00B70E18" w:rsidP="000043E3">
      <w:pPr>
        <w:spacing w:line="360" w:lineRule="auto"/>
        <w:jc w:val="center"/>
      </w:pPr>
      <w:r>
        <w:br/>
      </w:r>
      <w:r w:rsidRPr="00973D39">
        <w:rPr>
          <w:noProof/>
          <w:lang w:eastAsia="en-GB"/>
        </w:rPr>
        <w:drawing>
          <wp:inline distT="0" distB="0" distL="0" distR="0" wp14:anchorId="6DC93E38" wp14:editId="1CC5BE3C">
            <wp:extent cx="2475914" cy="2194958"/>
            <wp:effectExtent l="0" t="0" r="63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6825" r="9496" b="3846"/>
                    <a:stretch>
                      <a:fillRect/>
                    </a:stretch>
                  </pic:blipFill>
                  <pic:spPr bwMode="auto">
                    <a:xfrm>
                      <a:off x="0" y="0"/>
                      <a:ext cx="2488998" cy="2206557"/>
                    </a:xfrm>
                    <a:prstGeom prst="rect">
                      <a:avLst/>
                    </a:prstGeom>
                    <a:noFill/>
                    <a:ln w="9525">
                      <a:noFill/>
                      <a:miter lim="800000"/>
                      <a:headEnd/>
                      <a:tailEnd/>
                    </a:ln>
                  </pic:spPr>
                </pic:pic>
              </a:graphicData>
            </a:graphic>
          </wp:inline>
        </w:drawing>
      </w:r>
    </w:p>
    <w:p w14:paraId="5F80592E" w14:textId="77777777" w:rsidR="0007612D" w:rsidRDefault="0007612D" w:rsidP="0007612D">
      <w:pPr>
        <w:pStyle w:val="Caption"/>
        <w:jc w:val="center"/>
      </w:pPr>
      <w:bookmarkStart w:id="23" w:name="_Toc41595336"/>
      <w:r>
        <w:t xml:space="preserve">Figure </w:t>
      </w:r>
      <w:fldSimple w:instr=" SEQ Figure \* ARABIC ">
        <w:r>
          <w:rPr>
            <w:noProof/>
          </w:rPr>
          <w:t>1</w:t>
        </w:r>
      </w:fldSimple>
      <w:r>
        <w:t xml:space="preserve">: </w:t>
      </w:r>
      <w:r w:rsidRPr="009E63E6">
        <w:t>The PAR balance as measured with quantum sensors facing upwards and downwards at the top and the bottom of the canopy.</w:t>
      </w:r>
      <w:bookmarkEnd w:id="23"/>
    </w:p>
    <w:p w14:paraId="3F9400C7" w14:textId="77777777" w:rsidR="00B70E18" w:rsidRDefault="00B70E18" w:rsidP="00B70E18">
      <w:pPr>
        <w:spacing w:after="0"/>
        <w:jc w:val="both"/>
      </w:pPr>
      <w:r>
        <w:br/>
        <w:t>When all terms are measured, FAPAR may be derived as</w:t>
      </w:r>
    </w:p>
    <w:p w14:paraId="2BEE96A1" w14:textId="77777777" w:rsidR="00B70E18" w:rsidRDefault="00B70E18" w:rsidP="00B70E18">
      <w:pPr>
        <w:spacing w:after="0"/>
        <w:jc w:val="both"/>
      </w:pPr>
    </w:p>
    <w:p w14:paraId="7B156B23" w14:textId="77777777" w:rsidR="00B70E18" w:rsidRDefault="00B70E18" w:rsidP="00B70E18">
      <w:pPr>
        <w:spacing w:after="0"/>
        <w:jc w:val="both"/>
      </w:pPr>
      <m:oMathPara>
        <m:oMath>
          <m:r>
            <w:rPr>
              <w:rFonts w:ascii="Cambria Math" w:hAnsi="Cambria Math"/>
            </w:rPr>
            <w:lastRenderedPageBreak/>
            <m:t>FAPAR=1-</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(1-</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eastAsiaTheme="minorEastAsia" w:hAnsi="Cambria Math"/>
            </w:rPr>
            <m:t>)</m:t>
          </m:r>
          <m:r>
            <m:rPr>
              <m:sty m:val="p"/>
            </m:rPr>
            <w:rPr>
              <w:rFonts w:eastAsiaTheme="minorEastAsia"/>
            </w:rPr>
            <w:br/>
          </m:r>
        </m:oMath>
      </m:oMathPara>
    </w:p>
    <w:p w14:paraId="7FBC16F2" w14:textId="2D86FD9A" w:rsidR="00B70E18" w:rsidRDefault="00B70E18" w:rsidP="00FD3124">
      <w:pPr>
        <w:spacing w:after="0" w:line="360" w:lineRule="auto"/>
        <w:jc w:val="both"/>
      </w:pPr>
      <w:r>
        <w:t xml:space="preserve">where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Pr="5465A504">
        <w:rPr>
          <w:rFonts w:eastAsiaTheme="minorEastAsia"/>
        </w:rPr>
        <w:t xml:space="preserve"> is the reflectance of the canopy,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Pr="5465A504">
        <w:rPr>
          <w:rFonts w:eastAsiaTheme="minorEastAsia"/>
        </w:rPr>
        <w:t xml:space="preserve"> is the transmittance of the canopy and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Pr>
          <w:rFonts w:eastAsiaTheme="minorEastAsia"/>
        </w:rPr>
        <w:t xml:space="preserve"> is the reflectance of the soil, all integrated in the PAR region.</w:t>
      </w:r>
      <w:r w:rsidR="003C4600">
        <w:rPr>
          <w:rFonts w:eastAsiaTheme="minorEastAsia"/>
        </w:rPr>
        <w:t xml:space="preserve"> </w:t>
      </w:r>
      <w:r>
        <w:rPr>
          <w:rFonts w:eastAsiaTheme="minorEastAsia"/>
        </w:rPr>
        <w:t>Note all</w:t>
      </w:r>
      <w:r w:rsidRPr="5465A504">
        <w:rPr>
          <w:rFonts w:eastAsiaTheme="minorEastAsia"/>
        </w:rPr>
        <w:t xml:space="preserve"> </w:t>
      </w:r>
      <w:r>
        <w:rPr>
          <w:rFonts w:eastAsiaTheme="minorEastAsia"/>
        </w:rPr>
        <w:t xml:space="preserve">correspond to bi-hemispherical reflectance quantities </w:t>
      </w:r>
      <w:r w:rsidR="00485E1A">
        <w:rPr>
          <w:rFonts w:eastAsiaTheme="minorEastAsia"/>
        </w:rPr>
        <w:fldChar w:fldCharType="begin" w:fldLock="1"/>
      </w:r>
      <w:r w:rsidR="00485E1A">
        <w:rPr>
          <w:rFonts w:eastAsiaTheme="minorEastAsia"/>
        </w:rPr>
        <w:instrText>ADDIN CSL_CITATION {"citationItems":[{"id":"ITEM-1","itemData":{"DOI":"10.1016/j.rse.2006.03.002","author":[{"dropping-particle":"","family":"Schaepman-Strub","given":"G","non-dropping-particle":"","parse-names":false,"suffix":""},{"dropping-particle":"","family":"Schaepman","given":"M E","non-dropping-particle":"","parse-names":false,"suffix":""},{"dropping-particle":"","family":"Painter","given":"T H","non-dropping-particle":"","parse-names":false,"suffix":""},{"dropping-particle":"","family":"Dangel","given":"S","non-dropping-particle":"","parse-names":false,"suffix":""},{"dropping-particle":"","family":"Martonchik","given":"V J","non-dropping-particle":"","parse-names":false,"suffix":""}],"container-title":"Remote Sensing of Environment","id":"ITEM-1","issued":{"date-parts":[["2006"]]},"page":"27-42","title":"Reflectance quantities in optical remote sensing — definitions and case studies","type":"article-journal","volume":"103"},"uris":["http://www.mendeley.com/documents/?uuid=fb9c6f56-61f7-4261-b79a-5d1f889ccb2f"]}],"mendeley":{"formattedCitation":"[7]","plainTextFormattedCitation":"[7]","previouslyFormattedCitation":"[7]"},"properties":{"noteIndex":0},"schema":"https://github.com/citation-style-language/schema/raw/master/csl-citation.json"}</w:instrText>
      </w:r>
      <w:r w:rsidR="00485E1A">
        <w:rPr>
          <w:rFonts w:eastAsiaTheme="minorEastAsia"/>
        </w:rPr>
        <w:fldChar w:fldCharType="separate"/>
      </w:r>
      <w:r w:rsidR="00485E1A" w:rsidRPr="00485E1A">
        <w:rPr>
          <w:rFonts w:eastAsiaTheme="minorEastAsia"/>
          <w:noProof/>
        </w:rPr>
        <w:t>[7]</w:t>
      </w:r>
      <w:r w:rsidR="00485E1A">
        <w:rPr>
          <w:rFonts w:eastAsiaTheme="minorEastAsia"/>
        </w:rPr>
        <w:fldChar w:fldCharType="end"/>
      </w:r>
      <w:r>
        <w:rPr>
          <w:rFonts w:eastAsiaTheme="minorEastAsia"/>
        </w:rPr>
        <w:t xml:space="preserve">, </w:t>
      </w:r>
      <w:r>
        <w:rPr>
          <w:rFonts w:eastAsiaTheme="minorEastAsia"/>
        </w:rPr>
        <w:fldChar w:fldCharType="begin" w:fldLock="1"/>
      </w:r>
      <w:r w:rsidR="00B60D54">
        <w:rPr>
          <w:rFonts w:eastAsiaTheme="minorEastAsia"/>
        </w:rPr>
        <w:instrText>ADDIN CSL_CITATION {"citationItems":[{"id":"ITEM-1","itemData":{"author":[{"dropping-particle":"","family":"Nicodemus","given":"F.E.","non-dropping-particle":"","parse-names":false,"suffix":""},{"dropping-particle":"","family":"Richmond","given":"J.C.","non-dropping-particle":"","parse-names":false,"suffix":""},{"dropping-particle":"","family":"Hsia","given":"J.J.","non-dropping-particle":"","parse-names":false,"suffix":""}],"id":"ITEM-1","issued":{"date-parts":[["1977"]]},"publisher":"Department of Commerce National Bureau of Standards","publisher-place":"Washington D.C., United States","title":"Geometrical considerations and nomenclature for reflectance","type":"book"},"uris":["http://www.mendeley.com/documents/?uuid=75f72163-81c0-4427-88c4-6ee81a8675f1"]}],"mendeley":{"formattedCitation":"[8]","plainTextFormattedCitation":"[8]","previouslyFormattedCitation":"[8]"},"properties":{"noteIndex":0},"schema":"https://github.com/citation-style-language/schema/raw/master/csl-citation.json"}</w:instrText>
      </w:r>
      <w:r>
        <w:rPr>
          <w:rFonts w:eastAsiaTheme="minorEastAsia"/>
        </w:rPr>
        <w:fldChar w:fldCharType="separate"/>
      </w:r>
      <w:r w:rsidR="00C51520" w:rsidRPr="00C51520">
        <w:rPr>
          <w:rFonts w:eastAsiaTheme="minorEastAsia"/>
          <w:noProof/>
        </w:rPr>
        <w:t>[8]</w:t>
      </w:r>
      <w:r>
        <w:rPr>
          <w:rFonts w:eastAsiaTheme="minorEastAsia"/>
        </w:rPr>
        <w:fldChar w:fldCharType="end"/>
      </w:r>
      <w:r>
        <w:t>.</w:t>
      </w:r>
    </w:p>
    <w:p w14:paraId="5090F7E4" w14:textId="77777777" w:rsidR="005D0F84" w:rsidRDefault="005D0F84" w:rsidP="00B70E18">
      <w:pPr>
        <w:spacing w:line="360" w:lineRule="auto"/>
        <w:jc w:val="both"/>
      </w:pPr>
    </w:p>
    <w:p w14:paraId="4C88C9EC" w14:textId="66E59198" w:rsidR="00841ED2" w:rsidRPr="000E3FB6" w:rsidRDefault="00841ED2" w:rsidP="00FD3124">
      <w:pPr>
        <w:pStyle w:val="Heading3"/>
        <w:numPr>
          <w:ilvl w:val="2"/>
          <w:numId w:val="2"/>
        </w:numPr>
      </w:pPr>
      <w:bookmarkStart w:id="24" w:name="_Toc40901523"/>
      <w:bookmarkStart w:id="25" w:name="_Toc44515957"/>
      <w:bookmarkEnd w:id="24"/>
      <w:r w:rsidRPr="000E3FB6">
        <w:t xml:space="preserve">The Two Flux Approach: </w:t>
      </w:r>
      <w:r w:rsidR="00FD3124">
        <w:t>FIPAR</w:t>
      </w:r>
      <w:bookmarkEnd w:id="25"/>
    </w:p>
    <w:p w14:paraId="7A4F2246" w14:textId="1C218BB4" w:rsidR="002D1B87" w:rsidRDefault="002D1B87" w:rsidP="0069303D">
      <w:pPr>
        <w:spacing w:after="0"/>
      </w:pPr>
    </w:p>
    <w:p w14:paraId="6ED4CA1F" w14:textId="77777777" w:rsidR="007E0E87" w:rsidRDefault="007E0E87" w:rsidP="007E0E87">
      <w:pPr>
        <w:spacing w:line="360" w:lineRule="auto"/>
        <w:jc w:val="both"/>
      </w:pPr>
      <w:r>
        <w:t>Where very little multiple scattering is expected in the PAR domain, FAPAR may be simplified to</w:t>
      </w:r>
      <w:r>
        <w:br/>
      </w:r>
    </w:p>
    <w:p w14:paraId="745B0BA8" w14:textId="77777777" w:rsidR="007E0E87" w:rsidRDefault="007E0E87" w:rsidP="007E0E87">
      <w:pPr>
        <w:spacing w:after="0" w:line="360" w:lineRule="auto"/>
        <w:rPr>
          <w:rFonts w:eastAsiaTheme="minorEastAsia"/>
        </w:rPr>
      </w:pPr>
      <m:oMathPara>
        <m:oMath>
          <m:r>
            <w:rPr>
              <w:rFonts w:ascii="Cambria Math" w:hAnsi="Cambria Math"/>
            </w:rPr>
            <m:t>FAPAR≈</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(1-</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eastAsiaTheme="minorEastAsia" w:hAnsi="Cambria Math"/>
            </w:rPr>
            <m:t>)</m:t>
          </m:r>
          <m:r>
            <m:rPr>
              <m:sty m:val="p"/>
            </m:rPr>
            <w:rPr>
              <w:rFonts w:eastAsiaTheme="minorEastAsia"/>
            </w:rPr>
            <w:br/>
          </m:r>
        </m:oMath>
      </m:oMathPara>
    </w:p>
    <w:p w14:paraId="63DB2ABC" w14:textId="0EAC806B" w:rsidR="007E0E87" w:rsidRPr="00D6736A" w:rsidRDefault="007E0E87" w:rsidP="007E0E87">
      <w:pPr>
        <w:spacing w:after="0" w:line="360" w:lineRule="auto"/>
        <w:jc w:val="both"/>
        <w:rPr>
          <w:rFonts w:eastAsiaTheme="minorEastAsia"/>
        </w:rPr>
      </w:pPr>
      <w:r>
        <w:rPr>
          <w:rFonts w:eastAsiaTheme="minorEastAsia"/>
        </w:rPr>
        <w:t>w</w:t>
      </w:r>
      <w:r w:rsidRPr="5465A504">
        <w:rPr>
          <w:rFonts w:eastAsiaTheme="minorEastAsia"/>
        </w:rPr>
        <w:t xml:space="preserve">here </w:t>
      </w:r>
      <m:oMath>
        <m:sSub>
          <m:sSubPr>
            <m:ctrlPr>
              <w:rPr>
                <w:rFonts w:ascii="Cambria Math" w:hAnsi="Cambria Math"/>
                <w:i/>
              </w:rPr>
            </m:ctrlPr>
          </m:sSubPr>
          <m:e>
            <m:r>
              <w:rPr>
                <w:rFonts w:ascii="Cambria Math" w:hAnsi="Cambria Math"/>
              </w:rPr>
              <m:t>R</m:t>
            </m:r>
          </m:e>
          <m:sub>
            <m:r>
              <w:rPr>
                <w:rFonts w:ascii="Cambria Math" w:hAnsi="Cambria Math"/>
              </w:rPr>
              <m:t>∞</m:t>
            </m:r>
          </m:sub>
        </m:sSub>
      </m:oMath>
      <w:r w:rsidRPr="5465A504">
        <w:rPr>
          <w:rFonts w:eastAsiaTheme="minorEastAsia"/>
        </w:rPr>
        <w:t xml:space="preserve"> is the asymptotic value of canopy re</w:t>
      </w:r>
      <w:r>
        <w:rPr>
          <w:rFonts w:eastAsiaTheme="minorEastAsia"/>
        </w:rPr>
        <w:t>flectance when leaf area index (LAI) tends towards infinity</w:t>
      </w:r>
      <w:r w:rsidR="009611AE">
        <w:rPr>
          <w:rFonts w:eastAsiaTheme="minorEastAsia"/>
        </w:rPr>
        <w:t xml:space="preserve"> </w:t>
      </w:r>
      <w:r>
        <w:rPr>
          <w:rFonts w:eastAsiaTheme="minorEastAsia"/>
        </w:rPr>
        <w:fldChar w:fldCharType="begin" w:fldLock="1"/>
      </w:r>
      <w:r w:rsidR="00B60D54">
        <w:rPr>
          <w:rFonts w:eastAsiaTheme="minorEastAsia"/>
        </w:rPr>
        <w:instrText>ADDIN CSL_CITATION {"citationItems":[{"id":"ITEM-1","itemData":{"author":[{"dropping-particle":"","family":"Baret","given":"F","non-dropping-particle":"","parse-names":false,"suffix":""},{"dropping-particle":"","family":"Fernandes","given":"R","non-dropping-particle":"","parse-names":false,"suffix":""}],"id":"ITEM-1","issued":{"date-parts":[["2012"]]},"publisher":"Institut National de la Recherche Agronomique","publisher-place":"Avignon, France","title":"VALSE-2 Validation Concept","type":"book"},"uris":["http://www.mendeley.com/documents/?uuid=af6b1f50-cc5e-46e1-9a04-d8b171275831"]}],"mendeley":{"formattedCitation":"[9]","plainTextFormattedCitation":"[9]","previouslyFormattedCitation":"[9]"},"properties":{"noteIndex":0},"schema":"https://github.com/citation-style-language/schema/raw/master/csl-citation.json"}</w:instrText>
      </w:r>
      <w:r>
        <w:rPr>
          <w:rFonts w:eastAsiaTheme="minorEastAsia"/>
        </w:rPr>
        <w:fldChar w:fldCharType="separate"/>
      </w:r>
      <w:r w:rsidR="00C51520" w:rsidRPr="00C51520">
        <w:rPr>
          <w:rFonts w:eastAsiaTheme="minorEastAsia"/>
          <w:noProof/>
        </w:rPr>
        <w:t>[9]</w:t>
      </w:r>
      <w:r>
        <w:rPr>
          <w:rFonts w:eastAsiaTheme="minorEastAsia"/>
        </w:rPr>
        <w:fldChar w:fldCharType="end"/>
      </w:r>
      <w:r>
        <w:rPr>
          <w:rFonts w:eastAsiaTheme="minorEastAsia"/>
        </w:rPr>
        <w:t>.</w:t>
      </w:r>
      <w:r w:rsidR="003C4600">
        <w:rPr>
          <w:rFonts w:eastAsiaTheme="minorEastAsia"/>
        </w:rPr>
        <w:t xml:space="preserve"> </w:t>
      </w:r>
      <w:r w:rsidRPr="5465A504">
        <w:rPr>
          <w:rFonts w:eastAsiaTheme="minorEastAsia"/>
        </w:rPr>
        <w:t xml:space="preserve">Values of </w:t>
      </w:r>
      <m:oMath>
        <m:sSub>
          <m:sSubPr>
            <m:ctrlPr>
              <w:rPr>
                <w:rFonts w:ascii="Cambria Math" w:hAnsi="Cambria Math"/>
                <w:i/>
              </w:rPr>
            </m:ctrlPr>
          </m:sSubPr>
          <m:e>
            <m:r>
              <w:rPr>
                <w:rFonts w:ascii="Cambria Math" w:hAnsi="Cambria Math"/>
              </w:rPr>
              <m:t>R</m:t>
            </m:r>
          </m:e>
          <m:sub>
            <m:r>
              <w:rPr>
                <w:rFonts w:ascii="Cambria Math" w:hAnsi="Cambria Math"/>
              </w:rPr>
              <m:t>∞</m:t>
            </m:r>
          </m:sub>
        </m:sSub>
      </m:oMath>
      <w:r w:rsidRPr="5465A504">
        <w:rPr>
          <w:rFonts w:eastAsiaTheme="minorEastAsia"/>
        </w:rPr>
        <w:t xml:space="preserve"> are generally small</w:t>
      </w:r>
      <w:r>
        <w:rPr>
          <w:rFonts w:eastAsiaTheme="minorEastAsia"/>
        </w:rPr>
        <w:t xml:space="preserve"> (approximately 0.06)</w:t>
      </w:r>
      <w:r w:rsidRPr="5465A504">
        <w:rPr>
          <w:rFonts w:eastAsiaTheme="minorEastAsia"/>
        </w:rPr>
        <w:t xml:space="preserve"> in the </w:t>
      </w:r>
      <w:r>
        <w:rPr>
          <w:rFonts w:eastAsiaTheme="minorEastAsia"/>
        </w:rPr>
        <w:t xml:space="preserve">PAR domain as </w:t>
      </w:r>
      <w:r w:rsidRPr="5465A504">
        <w:rPr>
          <w:rFonts w:eastAsiaTheme="minorEastAsia"/>
        </w:rPr>
        <w:t>m</w:t>
      </w:r>
      <w:r>
        <w:rPr>
          <w:rFonts w:eastAsiaTheme="minorEastAsia"/>
        </w:rPr>
        <w:t xml:space="preserve">ost photons are absorbed by green leaves </w:t>
      </w:r>
      <w:r>
        <w:rPr>
          <w:rFonts w:eastAsiaTheme="minorEastAsia"/>
        </w:rPr>
        <w:fldChar w:fldCharType="begin" w:fldLock="1"/>
      </w:r>
      <w:r w:rsidR="00B60D54">
        <w:rPr>
          <w:rFonts w:eastAsiaTheme="minorEastAsia"/>
        </w:rPr>
        <w:instrText>ADDIN CSL_CITATION {"citationItems":[{"id":"ITEM-1","itemData":{"DOI":"10.1016/0034-4257(91)90009-U","ISBN":"0034-4257","ISSN":"00344257","PMID":"1","author":[{"dropping-particle":"","family":"Baret","given":"F","non-dropping-particle":"","parse-names":false,"suffix":""},{"dropping-particle":"","family":"Guyot","given":"G","non-dropping-particle":"","parse-names":false,"suffix":""}],"container-title":"Remote Sensing of Environment","id":"ITEM-1","issue":"2-3","issued":{"date-parts":[["1991"]]},"page":"161-173","title":"Potentials and limits of vegetation indices for LAI and APAR assessment","type":"article-journal","volume":"35"},"uris":["http://www.mendeley.com/documents/?uuid=759f8268-ca87-46c0-ac9b-9b01c63335d8"]}],"mendeley":{"formattedCitation":"[10]","plainTextFormattedCitation":"[10]","previouslyFormattedCitation":"[10]"},"properties":{"noteIndex":0},"schema":"https://github.com/citation-style-language/schema/raw/master/csl-citation.json"}</w:instrText>
      </w:r>
      <w:r>
        <w:rPr>
          <w:rFonts w:eastAsiaTheme="minorEastAsia"/>
        </w:rPr>
        <w:fldChar w:fldCharType="separate"/>
      </w:r>
      <w:r w:rsidR="00C51520" w:rsidRPr="00C51520">
        <w:rPr>
          <w:rFonts w:eastAsiaTheme="minorEastAsia"/>
          <w:noProof/>
        </w:rPr>
        <w:t>[10]</w:t>
      </w:r>
      <w:r>
        <w:rPr>
          <w:rFonts w:eastAsiaTheme="minorEastAsia"/>
        </w:rPr>
        <w:fldChar w:fldCharType="end"/>
      </w:r>
      <w:r>
        <w:rPr>
          <w:rFonts w:eastAsiaTheme="minorEastAsia"/>
        </w:rPr>
        <w:t>.</w:t>
      </w:r>
      <w:r w:rsidR="003C4600">
        <w:rPr>
          <w:rFonts w:eastAsiaTheme="minorEastAsia"/>
        </w:rPr>
        <w:t xml:space="preserve"> </w:t>
      </w:r>
      <w:r>
        <w:rPr>
          <w:rFonts w:eastAsiaTheme="minorEastAsia"/>
        </w:rPr>
        <w:t>Under these conditions, the PAR balance may be approximated by measuring only the incident (</w:t>
      </w:r>
      <m:oMath>
        <m:sSubSup>
          <m:sSubSupPr>
            <m:ctrlPr>
              <w:rPr>
                <w:rFonts w:ascii="Cambria Math" w:hAnsi="Cambria Math"/>
                <w:i/>
              </w:rPr>
            </m:ctrlPr>
          </m:sSubSupPr>
          <m:e>
            <m:r>
              <w:rPr>
                <w:rFonts w:ascii="Cambria Math" w:hAnsi="Cambria Math"/>
              </w:rPr>
              <m:t>PAR</m:t>
            </m:r>
          </m:e>
          <m:sub>
            <m:r>
              <w:rPr>
                <w:rFonts w:ascii="Cambria Math" w:hAnsi="Cambria Math"/>
              </w:rPr>
              <m:t>H</m:t>
            </m:r>
          </m:sub>
          <m:sup>
            <m:r>
              <w:rPr>
                <w:rFonts w:ascii="Cambria Math" w:hAnsi="Cambria Math"/>
              </w:rPr>
              <m:t>↓</m:t>
            </m:r>
          </m:sup>
        </m:sSubSup>
      </m:oMath>
      <w:r>
        <w:rPr>
          <w:rFonts w:eastAsiaTheme="minorEastAsia"/>
        </w:rPr>
        <w:t>) and transmitted (</w:t>
      </w:r>
      <m:oMath>
        <m:sSubSup>
          <m:sSubSupPr>
            <m:ctrlPr>
              <w:rPr>
                <w:rFonts w:ascii="Cambria Math" w:hAnsi="Cambria Math"/>
                <w:i/>
              </w:rPr>
            </m:ctrlPr>
          </m:sSubSupPr>
          <m:e>
            <m:r>
              <w:rPr>
                <w:rFonts w:ascii="Cambria Math" w:hAnsi="Cambria Math"/>
              </w:rPr>
              <m:t>PAR</m:t>
            </m:r>
          </m:e>
          <m:sub>
            <m:r>
              <w:rPr>
                <w:rFonts w:ascii="Cambria Math" w:hAnsi="Cambria Math"/>
              </w:rPr>
              <m:t>0</m:t>
            </m:r>
          </m:sub>
          <m:sup>
            <m:r>
              <w:rPr>
                <w:rFonts w:ascii="Cambria Math" w:hAnsi="Cambria Math"/>
              </w:rPr>
              <m:t>↓</m:t>
            </m:r>
          </m:sup>
        </m:sSubSup>
      </m:oMath>
      <w:r>
        <w:rPr>
          <w:rFonts w:eastAsiaTheme="minorEastAsia"/>
        </w:rPr>
        <w:t>) terms.</w:t>
      </w:r>
      <w:r w:rsidR="003C4600">
        <w:rPr>
          <w:rFonts w:eastAsiaTheme="minorEastAsia"/>
        </w:rPr>
        <w:t xml:space="preserve"> </w:t>
      </w:r>
      <w:r w:rsidRPr="00D6736A">
        <w:rPr>
          <w:rFonts w:eastAsiaTheme="minorEastAsia"/>
        </w:rPr>
        <w:t>This simplification</w:t>
      </w:r>
      <w:r>
        <w:rPr>
          <w:rFonts w:eastAsiaTheme="minorEastAsia"/>
        </w:rPr>
        <w:t xml:space="preserve"> enables potential issues </w:t>
      </w:r>
      <w:r w:rsidRPr="00D6736A">
        <w:rPr>
          <w:rFonts w:eastAsiaTheme="minorEastAsia"/>
        </w:rPr>
        <w:t>in measuring the soil reflectance term</w:t>
      </w:r>
      <w:r>
        <w:rPr>
          <w:rFonts w:eastAsiaTheme="minorEastAsia"/>
        </w:rPr>
        <w:t xml:space="preserve"> to be avoided</w:t>
      </w:r>
      <w:r w:rsidRPr="00D6736A">
        <w:rPr>
          <w:rFonts w:eastAsiaTheme="minorEastAsia"/>
        </w:rPr>
        <w:t xml:space="preserve">: as highlighted earlier, many sensors are required due to the small distance between the soil and the sensor, and </w:t>
      </w:r>
      <w:r>
        <w:rPr>
          <w:rFonts w:eastAsiaTheme="minorEastAsia"/>
        </w:rPr>
        <w:t xml:space="preserve">the </w:t>
      </w:r>
      <w:r w:rsidRPr="00D6736A">
        <w:rPr>
          <w:rFonts w:eastAsiaTheme="minorEastAsia"/>
        </w:rPr>
        <w:t>possible effect of the sensor shadow in</w:t>
      </w:r>
      <w:r>
        <w:rPr>
          <w:rFonts w:eastAsiaTheme="minorEastAsia"/>
        </w:rPr>
        <w:t xml:space="preserve"> the footprint.</w:t>
      </w:r>
      <w:r w:rsidR="003C4600">
        <w:rPr>
          <w:rFonts w:eastAsiaTheme="minorEastAsia"/>
        </w:rPr>
        <w:t xml:space="preserve"> </w:t>
      </w:r>
      <w:r>
        <w:rPr>
          <w:rFonts w:eastAsiaTheme="minorEastAsia"/>
        </w:rPr>
        <w:t>It also avoids issues</w:t>
      </w:r>
      <w:r w:rsidRPr="00D6736A">
        <w:rPr>
          <w:rFonts w:eastAsiaTheme="minorEastAsia"/>
        </w:rPr>
        <w:t xml:space="preserve"> in the computation of this term from the soil reflectance values that may vary significantly depending on the geometry of the incoming radiation.</w:t>
      </w:r>
    </w:p>
    <w:p w14:paraId="1BD92E0B" w14:textId="177FDE39" w:rsidR="007E0E87" w:rsidRDefault="007E0E87" w:rsidP="00FD3124">
      <w:pPr>
        <w:spacing w:before="240" w:after="0" w:line="360" w:lineRule="auto"/>
        <w:jc w:val="both"/>
      </w:pPr>
      <w:r>
        <w:t>Green leaves are characterised by high absorption in the PAR domain, and thus appear almost black.</w:t>
      </w:r>
      <w:r w:rsidR="003C4600">
        <w:t xml:space="preserve"> </w:t>
      </w:r>
      <w:r>
        <w:t>As such, the contribution of multiple scattering to canopy transmittance is negligible, allowing the fraction of PAR intercepted by the canopy (FIPAR) to be determined according to the fraction of PAR transmitted by the canopy:</w:t>
      </w:r>
    </w:p>
    <w:p w14:paraId="75C81E9B" w14:textId="77777777" w:rsidR="007E0E87" w:rsidRDefault="007E0E87" w:rsidP="007E0E87">
      <w:pPr>
        <w:spacing w:after="0" w:line="360" w:lineRule="auto"/>
        <w:jc w:val="both"/>
      </w:pPr>
    </w:p>
    <w:p w14:paraId="194B0C82" w14:textId="77777777" w:rsidR="007E0E87" w:rsidRDefault="007E0E87" w:rsidP="007E0E87">
      <w:pPr>
        <w:spacing w:after="0" w:line="360" w:lineRule="auto"/>
        <w:jc w:val="both"/>
      </w:pPr>
      <m:oMathPara>
        <m:oMath>
          <m:r>
            <w:rPr>
              <w:rFonts w:ascii="Cambria Math" w:hAnsi="Cambria Math"/>
            </w:rPr>
            <m:t>FIPAR≈(1-</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oMath>
      </m:oMathPara>
    </w:p>
    <w:p w14:paraId="6F2B95CA" w14:textId="77777777" w:rsidR="007E0E87" w:rsidRDefault="007E0E87" w:rsidP="007E0E87">
      <w:pPr>
        <w:spacing w:after="0" w:line="360" w:lineRule="auto"/>
        <w:jc w:val="both"/>
      </w:pPr>
    </w:p>
    <w:p w14:paraId="761E59EB" w14:textId="77777777" w:rsidR="007E0E87" w:rsidRDefault="007E0E87" w:rsidP="007E0E87">
      <w:pPr>
        <w:spacing w:after="0" w:line="360" w:lineRule="auto"/>
        <w:jc w:val="both"/>
        <w:rPr>
          <w:rFonts w:eastAsiaTheme="minorEastAsia"/>
        </w:rPr>
      </w:pPr>
      <w:r>
        <w:rPr>
          <w:rFonts w:eastAsiaTheme="minorEastAsia"/>
        </w:rPr>
        <w:t>Combining these equations enables FAPAR to be related to FIPAR as</w:t>
      </w:r>
    </w:p>
    <w:p w14:paraId="056C902D" w14:textId="77777777" w:rsidR="007E0E87" w:rsidRDefault="007E0E87" w:rsidP="007E0E87">
      <w:pPr>
        <w:spacing w:after="0" w:line="360" w:lineRule="auto"/>
        <w:jc w:val="both"/>
        <w:rPr>
          <w:rFonts w:eastAsiaTheme="minorEastAsia"/>
        </w:rPr>
      </w:pPr>
    </w:p>
    <w:p w14:paraId="30E3AEF1" w14:textId="77777777" w:rsidR="007E0E87" w:rsidRDefault="007E0E87" w:rsidP="007E0E87">
      <w:pPr>
        <w:spacing w:after="0" w:line="360" w:lineRule="auto"/>
        <w:jc w:val="both"/>
      </w:pPr>
      <m:oMathPara>
        <m:oMath>
          <m:r>
            <w:rPr>
              <w:rFonts w:ascii="Cambria Math" w:hAnsi="Cambria Math"/>
            </w:rPr>
            <m:t>FAPAR≈FIPAR (1-</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eastAsiaTheme="minorEastAsia" w:hAnsi="Cambria Math"/>
            </w:rPr>
            <m:t>)</m:t>
          </m:r>
          <m:r>
            <m:rPr>
              <m:sty m:val="p"/>
            </m:rPr>
            <w:rPr>
              <w:rFonts w:eastAsiaTheme="minorEastAsia"/>
            </w:rPr>
            <w:br/>
          </m:r>
        </m:oMath>
      </m:oMathPara>
    </w:p>
    <w:p w14:paraId="29BB2DEA" w14:textId="18053153" w:rsidR="007E0E87" w:rsidRDefault="007E0E87" w:rsidP="007E0E87">
      <w:pPr>
        <w:spacing w:line="360" w:lineRule="auto"/>
      </w:pPr>
      <w:r>
        <w:t xml:space="preserve">An </w:t>
      </w:r>
      <m:oMath>
        <m:sSub>
          <m:sSubPr>
            <m:ctrlPr>
              <w:rPr>
                <w:rFonts w:ascii="Cambria Math" w:hAnsi="Cambria Math"/>
                <w:i/>
              </w:rPr>
            </m:ctrlPr>
          </m:sSubPr>
          <m:e>
            <m:r>
              <w:rPr>
                <w:rFonts w:ascii="Cambria Math" w:hAnsi="Cambria Math"/>
              </w:rPr>
              <m:t>R</m:t>
            </m:r>
          </m:e>
          <m:sub>
            <m:r>
              <w:rPr>
                <w:rFonts w:ascii="Cambria Math" w:hAnsi="Cambria Math"/>
              </w:rPr>
              <m:t>∞</m:t>
            </m:r>
          </m:sub>
        </m:sSub>
      </m:oMath>
      <w:r w:rsidRPr="0558FA6A">
        <w:rPr>
          <w:rFonts w:eastAsiaTheme="minorEastAsia"/>
        </w:rPr>
        <w:t xml:space="preserve"> of 0.06 would be expected</w:t>
      </w:r>
      <w:r>
        <w:t xml:space="preserve"> for a canopy with very high LAI.</w:t>
      </w:r>
      <w:r w:rsidR="003C4600">
        <w:t xml:space="preserve"> </w:t>
      </w:r>
      <w:r>
        <w:t xml:space="preserve">The validity of this approximation was investigated by </w:t>
      </w:r>
      <w:r>
        <w:fldChar w:fldCharType="begin" w:fldLock="1"/>
      </w:r>
      <w:r w:rsidR="00B60D54">
        <w:instrText>ADDIN CSL_CITATION {"citationItems":[{"id":"ITEM-1","itemData":{"DOI":"10.1016/0034-4257(91)90009-U","ISBN":"0034-4257","ISSN":"00344257","PMID":"1","author":[{"dropping-particle":"","family":"Baret","given":"F","non-dropping-particle":"","parse-names":false,"suffix":""},{"dropping-particle":"","family":"Guyot","given":"G","non-dropping-particle":"","parse-names":false,"suffix":""}],"container-title":"Remote Sensing of Environment","id":"ITEM-1","issue":"2-3","issued":{"date-parts":[["1991"]]},"page":"161-173","title":"Potentials and limits of vegetation indices for LAI and APAR assessment","type":"article-journal","volume":"35"},"uris":["http://www.mendeley.com/documents/?uuid=759f8268-ca87-46c0-ac9b-9b01c63335d8"]}],"mendeley":{"formattedCitation":"[10]","plainTextFormattedCitation":"[10]","previouslyFormattedCitation":"[10]"},"properties":{"noteIndex":0},"schema":"https://github.com/citation-style-language/schema/raw/master/csl-citation.json"}</w:instrText>
      </w:r>
      <w:r>
        <w:fldChar w:fldCharType="separate"/>
      </w:r>
      <w:r w:rsidR="00C51520" w:rsidRPr="00C51520">
        <w:rPr>
          <w:noProof/>
        </w:rPr>
        <w:t>[10]</w:t>
      </w:r>
      <w:r>
        <w:fldChar w:fldCharType="end"/>
      </w:r>
      <w:r>
        <w:t xml:space="preserve">, </w:t>
      </w:r>
      <w:r>
        <w:fldChar w:fldCharType="begin" w:fldLock="1"/>
      </w:r>
      <w:r w:rsidR="00B60D54">
        <w:instrText>ADDIN CSL_CITATION {"citationItems":[{"id":"ITEM-1","itemData":{"DOI":"10.1029/2005JD006511","ISBN":"0148-0227","ISSN":"0148-0227","author":[{"dropping-particle":"","family":"Gobron","given":"Nadine","non-dropping-particle":"","parse-names":false,"suffix":""},{"dropping-particle":"","family":"Pinty","given":"Bernard","non-dropping-particle":"","parse-names":false,"suffix":""},{"dropping-particle":"","family":"Aussedat","given":"Ophélie","non-dropping-particle":"","parse-names":false,"suffix":""},{"dropping-particle":"","family":"Chen","given":"Jing M","non-dropping-particle":"","parse-names":false,"suffix":""},{"dropping-particle":"","family":"Cohen","given":"Warren B","non-dropping-particle":"","parse-names":false,"suffix":""},{"dropping-particle":"","family":"Fensholt","given":"Rasmus","non-dropping-particle":"","parse-names":false,"suffix":""},{"dropping-particle":"","family":"Gond","given":"Valery","non-dropping-particle":"","parse-names":false,"suffix":""},{"dropping-particle":"","family":"Huemmrich","given":"Karl Fred","non-dropping-particle":"","parse-names":false,"suffix":""},{"dropping-particle":"","family":"Lavergne","given":"Thomas","non-dropping-particle":"","parse-names":false,"suffix":""},{"dropping-particle":"","family":"Mélin","given":"Frédéric","non-dropping-particle":"","parse-names":false,"suffix":""},{"dropping-particle":"","family":"Privette","given":"Jeffrey L","non-dropping-particle":"","parse-names":false,"suffix":""},{"dropping-particle":"","family":"Sandholt","given":"Inge","non-dropping-particle":"","parse-names":false,"suffix":""},{"dropping-particle":"","family":"Taberner","given":"Malcolm","non-dropping-particle":"","parse-names":false,"suffix":""},{"dropping-particle":"","family":"Turner","given":"David P","non-dropping-particle":"","parse-names":false,"suffix":""},{"dropping-particle":"","family":"Verstraete","given":"Michel M","non-dropping-particle":"","parse-names":false,"suffix":""},{"dropping-particle":"","family":"Widlowski","given":"Jean-Luc","non-dropping-particle":"","parse-names":false,"suffix":""}],"container-title":"Journal of Geophysical Research","id":"ITEM-1","issue":"D13","issued":{"date-parts":[["2006"]]},"page":"D13110","title":"Evaluation of fraction of absorbed photosynthetically active radiation products for different canopy radiation transfer regimes: Methodology and results using Joint Research Center products derived from SeaWiFS against ground-based estimations","type":"article-journal","volume":"111"},"uris":["http://www.mendeley.com/documents/?uuid=84d23a36-1db9-48e4-b5fb-70ebe69bf70c"]}],"mendeley":{"formattedCitation":"[11]","plainTextFormattedCitation":"[11]","previouslyFormattedCitation":"[11]"},"properties":{"noteIndex":0},"schema":"https://github.com/citation-style-language/schema/raw/master/csl-citation.json"}</w:instrText>
      </w:r>
      <w:r>
        <w:fldChar w:fldCharType="separate"/>
      </w:r>
      <w:r w:rsidR="00C51520" w:rsidRPr="00C51520">
        <w:rPr>
          <w:noProof/>
        </w:rPr>
        <w:t>[11]</w:t>
      </w:r>
      <w:r>
        <w:fldChar w:fldCharType="end"/>
      </w:r>
      <w:r>
        <w:t>.</w:t>
      </w:r>
    </w:p>
    <w:p w14:paraId="0CDD4619" w14:textId="31B86FB0" w:rsidR="007E0E87" w:rsidRDefault="007E0E87" w:rsidP="007E0E87">
      <w:pPr>
        <w:spacing w:after="0" w:line="360" w:lineRule="auto"/>
        <w:jc w:val="both"/>
        <w:rPr>
          <w:rFonts w:eastAsiaTheme="minorEastAsia"/>
        </w:rPr>
      </w:pPr>
      <w:proofErr w:type="gramStart"/>
      <w:r>
        <w:rPr>
          <w:rFonts w:eastAsiaTheme="minorEastAsia"/>
        </w:rPr>
        <w:lastRenderedPageBreak/>
        <w:t>A number of</w:t>
      </w:r>
      <w:proofErr w:type="gramEnd"/>
      <w:r>
        <w:rPr>
          <w:rFonts w:eastAsiaTheme="minorEastAsia"/>
        </w:rPr>
        <w:t xml:space="preserve"> individual sensors are available commercially, with a range of performances in terms of spectral sensitivity, cosine response, and price.</w:t>
      </w:r>
      <w:r w:rsidR="003C4600">
        <w:rPr>
          <w:rFonts w:eastAsiaTheme="minorEastAsia"/>
        </w:rPr>
        <w:t xml:space="preserve"> </w:t>
      </w:r>
      <w:r>
        <w:rPr>
          <w:rFonts w:eastAsiaTheme="minorEastAsia"/>
        </w:rPr>
        <w:t xml:space="preserve">Examples include the LI-COR LI-190R, Apogee Instruments SQ-100 series, Delta-T QS5, </w:t>
      </w:r>
      <w:proofErr w:type="spellStart"/>
      <w:r>
        <w:rPr>
          <w:rFonts w:eastAsiaTheme="minorEastAsia"/>
        </w:rPr>
        <w:t>Kipp</w:t>
      </w:r>
      <w:proofErr w:type="spellEnd"/>
      <w:r>
        <w:rPr>
          <w:rFonts w:eastAsiaTheme="minorEastAsia"/>
        </w:rPr>
        <w:t xml:space="preserve"> and </w:t>
      </w:r>
      <w:proofErr w:type="spellStart"/>
      <w:r>
        <w:rPr>
          <w:rFonts w:eastAsiaTheme="minorEastAsia"/>
        </w:rPr>
        <w:t>Zonen</w:t>
      </w:r>
      <w:proofErr w:type="spellEnd"/>
      <w:r>
        <w:rPr>
          <w:rFonts w:eastAsiaTheme="minorEastAsia"/>
        </w:rPr>
        <w:t xml:space="preserve"> PQS1, and Skye SKP-215.</w:t>
      </w:r>
      <w:r w:rsidR="003C4600">
        <w:rPr>
          <w:rFonts w:eastAsiaTheme="minorEastAsia"/>
        </w:rPr>
        <w:t xml:space="preserve"> </w:t>
      </w:r>
      <w:r>
        <w:rPr>
          <w:rFonts w:eastAsiaTheme="minorEastAsia"/>
        </w:rPr>
        <w:t xml:space="preserve">Several manufacturers also provide </w:t>
      </w:r>
      <w:proofErr w:type="gramStart"/>
      <w:r>
        <w:rPr>
          <w:rFonts w:eastAsiaTheme="minorEastAsia"/>
        </w:rPr>
        <w:t>a number of</w:t>
      </w:r>
      <w:proofErr w:type="gramEnd"/>
      <w:r>
        <w:rPr>
          <w:rFonts w:eastAsiaTheme="minorEastAsia"/>
        </w:rPr>
        <w:t xml:space="preserve"> sensors aligned on a single support, enabling spatial variability in incoming PAR at the bottom of the canopy to better represented.</w:t>
      </w:r>
      <w:r w:rsidR="003C4600">
        <w:rPr>
          <w:rFonts w:eastAsiaTheme="minorEastAsia"/>
        </w:rPr>
        <w:t xml:space="preserve"> </w:t>
      </w:r>
      <w:r>
        <w:rPr>
          <w:rFonts w:eastAsiaTheme="minorEastAsia"/>
        </w:rPr>
        <w:t xml:space="preserve">Such systems are known as </w:t>
      </w:r>
      <w:proofErr w:type="spellStart"/>
      <w:r>
        <w:rPr>
          <w:rFonts w:eastAsiaTheme="minorEastAsia"/>
        </w:rPr>
        <w:t>ceptometers</w:t>
      </w:r>
      <w:proofErr w:type="spellEnd"/>
      <w:r>
        <w:rPr>
          <w:rFonts w:eastAsiaTheme="minorEastAsia"/>
        </w:rPr>
        <w:t xml:space="preserve"> and can incorporate up to 80 individual sensors along a length of 1 m.</w:t>
      </w:r>
      <w:r w:rsidR="003C4600">
        <w:rPr>
          <w:rFonts w:eastAsiaTheme="minorEastAsia"/>
        </w:rPr>
        <w:t xml:space="preserve"> </w:t>
      </w:r>
      <w:r>
        <w:rPr>
          <w:rFonts w:eastAsiaTheme="minorEastAsia"/>
        </w:rPr>
        <w:t xml:space="preserve">Examples include the Decagon Devices </w:t>
      </w:r>
      <w:proofErr w:type="spellStart"/>
      <w:r>
        <w:rPr>
          <w:rFonts w:eastAsiaTheme="minorEastAsia"/>
        </w:rPr>
        <w:t>AccuPAR</w:t>
      </w:r>
      <w:proofErr w:type="spellEnd"/>
      <w:r>
        <w:rPr>
          <w:rFonts w:eastAsiaTheme="minorEastAsia"/>
        </w:rPr>
        <w:t xml:space="preserve"> LP-80 and Delta-T </w:t>
      </w:r>
      <w:proofErr w:type="spellStart"/>
      <w:r>
        <w:rPr>
          <w:rFonts w:eastAsiaTheme="minorEastAsia"/>
        </w:rPr>
        <w:t>SunScan</w:t>
      </w:r>
      <w:proofErr w:type="spellEnd"/>
      <w:r>
        <w:rPr>
          <w:rFonts w:eastAsiaTheme="minorEastAsia"/>
        </w:rPr>
        <w:t>.</w:t>
      </w:r>
      <w:r w:rsidR="003C4600">
        <w:rPr>
          <w:rFonts w:eastAsiaTheme="minorEastAsia"/>
        </w:rPr>
        <w:t xml:space="preserve"> </w:t>
      </w:r>
    </w:p>
    <w:p w14:paraId="12CD6FFA" w14:textId="46994BCE" w:rsidR="007E0E87" w:rsidRDefault="007E0E87" w:rsidP="005D0F84">
      <w:pPr>
        <w:spacing w:before="240" w:after="0" w:line="360" w:lineRule="auto"/>
        <w:jc w:val="both"/>
        <w:rPr>
          <w:rFonts w:eastAsiaTheme="minorEastAsia"/>
        </w:rPr>
      </w:pPr>
      <w:r>
        <w:rPr>
          <w:rFonts w:eastAsiaTheme="minorEastAsia"/>
        </w:rPr>
        <w:t>In all cases, approaches based on the PAR balance asses the quantity of PAR absorbed by the canopy independently of the nature of the elements.</w:t>
      </w:r>
      <w:r w:rsidR="003C4600">
        <w:rPr>
          <w:rFonts w:eastAsiaTheme="minorEastAsia"/>
        </w:rPr>
        <w:t xml:space="preserve"> </w:t>
      </w:r>
      <w:r>
        <w:rPr>
          <w:rFonts w:eastAsiaTheme="minorEastAsia"/>
        </w:rPr>
        <w:t xml:space="preserve">As a consequence, when a substantial fraction of canopy elements </w:t>
      </w:r>
      <w:proofErr w:type="gramStart"/>
      <w:r>
        <w:rPr>
          <w:rFonts w:eastAsiaTheme="minorEastAsia"/>
        </w:rPr>
        <w:t>are</w:t>
      </w:r>
      <w:proofErr w:type="gramEnd"/>
      <w:r>
        <w:rPr>
          <w:rFonts w:eastAsiaTheme="minorEastAsia"/>
        </w:rPr>
        <w:t xml:space="preserve"> non-photosynthetically active (e.g. trunks, branches and senescent leaves), the PAR absorbed by green photosynthetically active elements will be overestimated.</w:t>
      </w:r>
    </w:p>
    <w:p w14:paraId="3275FB82" w14:textId="77777777" w:rsidR="002F2AB0" w:rsidRDefault="002F2AB0" w:rsidP="00FD3124">
      <w:pPr>
        <w:spacing w:after="0" w:line="360" w:lineRule="auto"/>
        <w:jc w:val="both"/>
        <w:rPr>
          <w:rFonts w:eastAsiaTheme="minorEastAsia"/>
        </w:rPr>
      </w:pPr>
    </w:p>
    <w:p w14:paraId="2677F0B5" w14:textId="623BC41F" w:rsidR="002F2AB0" w:rsidRPr="00697B53" w:rsidRDefault="002F2AB0" w:rsidP="00FD3124">
      <w:pPr>
        <w:pStyle w:val="Heading3"/>
        <w:numPr>
          <w:ilvl w:val="2"/>
          <w:numId w:val="2"/>
        </w:numPr>
      </w:pPr>
      <w:bookmarkStart w:id="26" w:name="_Toc44515958"/>
      <w:r>
        <w:t>Multi-angular Measurements of Canopy Transmittance/Gap Fraction</w:t>
      </w:r>
      <w:bookmarkEnd w:id="26"/>
    </w:p>
    <w:p w14:paraId="09BEEBE0" w14:textId="77777777" w:rsidR="002F2AB0" w:rsidRDefault="002F2AB0" w:rsidP="00FD3124">
      <w:pPr>
        <w:spacing w:after="0" w:line="360" w:lineRule="auto"/>
        <w:jc w:val="both"/>
        <w:rPr>
          <w:rFonts w:eastAsiaTheme="minorEastAsia"/>
        </w:rPr>
      </w:pPr>
    </w:p>
    <w:p w14:paraId="432EE802" w14:textId="2969026E" w:rsidR="002F2AB0" w:rsidRDefault="002F2AB0" w:rsidP="002F2AB0">
      <w:pPr>
        <w:spacing w:line="360" w:lineRule="auto"/>
        <w:jc w:val="both"/>
      </w:pPr>
      <w:r>
        <w:t>Incoming PAR may be decomposed into the direct component coming from the sun, and the diffuse component due to light scattering in the atmosphere.</w:t>
      </w:r>
      <w:r w:rsidR="003C4600">
        <w:t xml:space="preserve"> </w:t>
      </w:r>
      <w:r>
        <w:t>For each of those components, an FAPAR value can be associated.</w:t>
      </w:r>
      <w:r w:rsidR="003C4600">
        <w:t xml:space="preserve"> </w:t>
      </w:r>
      <w:r>
        <w:t>The total FAPAR can then be determined as</w:t>
      </w:r>
    </w:p>
    <w:p w14:paraId="7987736F" w14:textId="5684F6E8" w:rsidR="002F2AB0" w:rsidRDefault="002F2AB0" w:rsidP="002F2AB0">
      <w:pPr>
        <w:spacing w:line="360" w:lineRule="auto"/>
        <w:jc w:val="both"/>
      </w:pPr>
      <m:oMathPara>
        <m:oMath>
          <m:r>
            <m:rPr>
              <m:sty m:val="p"/>
            </m:rPr>
            <w:rPr>
              <w:rFonts w:ascii="Cambria Math" w:hAnsi="Cambria Math"/>
            </w:rPr>
            <w:br/>
          </m:r>
        </m:oMath>
        <m:oMath>
          <m:r>
            <w:rPr>
              <w:rFonts w:ascii="Cambria Math" w:hAnsi="Cambria Math"/>
            </w:rPr>
            <m:t>FAPAR=FAPAR</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e>
          </m:d>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diff</m:t>
                  </m:r>
                </m:sub>
              </m:sSub>
            </m:e>
          </m:d>
          <m:r>
            <w:rPr>
              <w:rFonts w:ascii="Cambria Math" w:hAnsi="Cambria Math"/>
            </w:rPr>
            <m:t>+</m:t>
          </m:r>
          <m:sSub>
            <m:sSubPr>
              <m:ctrlPr>
                <w:rPr>
                  <w:rFonts w:ascii="Cambria Math" w:hAnsi="Cambria Math"/>
                  <w:i/>
                </w:rPr>
              </m:ctrlPr>
            </m:sSubPr>
            <m:e>
              <m:r>
                <w:rPr>
                  <w:rFonts w:ascii="Cambria Math" w:hAnsi="Cambria Math"/>
                </w:rPr>
                <m:t>FAPAR</m:t>
              </m:r>
            </m:e>
            <m:sub>
              <m:r>
                <w:rPr>
                  <w:rFonts w:ascii="Cambria Math" w:hAnsi="Cambria Math"/>
                </w:rPr>
                <m:t>diff</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diff</m:t>
              </m:r>
            </m:sub>
          </m:sSub>
          <m:r>
            <m:rPr>
              <m:sty m:val="p"/>
            </m:rPr>
            <w:rPr>
              <w:rFonts w:ascii="Cambria Math" w:eastAsiaTheme="minorEastAsia" w:hAnsi="Cambria Math"/>
            </w:rPr>
            <w:br/>
          </m:r>
        </m:oMath>
        <m:oMath>
          <m:r>
            <m:rPr>
              <m:sty m:val="p"/>
            </m:rPr>
            <w:rPr>
              <w:rFonts w:ascii="Cambria Math" w:hAnsi="Cambria Math"/>
            </w:rPr>
            <w:br/>
          </m:r>
        </m:oMath>
      </m:oMathPara>
      <w:r w:rsidR="004E0813">
        <w:rPr>
          <w:rFonts w:eastAsiaTheme="minorEastAsia"/>
        </w:rPr>
        <w:t xml:space="preserve">where </w:t>
      </w:r>
      <m:oMath>
        <m:sSub>
          <m:sSubPr>
            <m:ctrlPr>
              <w:rPr>
                <w:rFonts w:ascii="Cambria Math" w:hAnsi="Cambria Math"/>
                <w:i/>
              </w:rPr>
            </m:ctrlPr>
          </m:sSubPr>
          <m:e>
            <m:r>
              <w:rPr>
                <w:rFonts w:ascii="Cambria Math" w:hAnsi="Cambria Math"/>
              </w:rPr>
              <m:t>f</m:t>
            </m:r>
          </m:e>
          <m:sub>
            <m:r>
              <w:rPr>
                <w:rFonts w:ascii="Cambria Math" w:hAnsi="Cambria Math"/>
              </w:rPr>
              <m:t>diff</m:t>
            </m:r>
          </m:sub>
        </m:sSub>
      </m:oMath>
      <w:r>
        <w:t xml:space="preserve"> is the fraction of diffuse PAR</w:t>
      </w:r>
      <w:r w:rsidRPr="00784996">
        <w:t xml:space="preserve">, </w:t>
      </w:r>
      <m:oMath>
        <m:r>
          <w:rPr>
            <w:rFonts w:ascii="Cambria Math" w:hAnsi="Cambria Math"/>
          </w:rPr>
          <m:t>FAPAR</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s</m:t>
                </m:r>
              </m:sub>
            </m:sSub>
          </m:e>
        </m:d>
      </m:oMath>
      <w:r w:rsidRPr="00784996">
        <w:t xml:space="preserve"> is the direct </w:t>
      </w:r>
      <w:r>
        <w:t xml:space="preserve">FAPAR </w:t>
      </w:r>
      <w:r w:rsidRPr="00784996">
        <w:t>(</w:t>
      </w:r>
      <w:r>
        <w:t xml:space="preserve">also known as </w:t>
      </w:r>
      <w:r w:rsidRPr="00784996">
        <w:t>black-sky</w:t>
      </w:r>
      <w:r>
        <w:t xml:space="preserve"> FAPAR</w:t>
      </w:r>
      <w:r w:rsidRPr="00784996">
        <w:t xml:space="preserve">) </w:t>
      </w:r>
      <w:r>
        <w:t>from the sun at a given illumination geometry</w:t>
      </w:r>
      <w:r w:rsidRPr="00784996">
        <w:t>,</w:t>
      </w:r>
      <w:r>
        <w:t xml:space="preserve"> and</w:t>
      </w:r>
      <w:r w:rsidRPr="00784996">
        <w:t xml:space="preserve"> </w:t>
      </w:r>
      <m:oMath>
        <m:sSub>
          <m:sSubPr>
            <m:ctrlPr>
              <w:rPr>
                <w:rFonts w:ascii="Cambria Math" w:hAnsi="Cambria Math"/>
                <w:i/>
              </w:rPr>
            </m:ctrlPr>
          </m:sSubPr>
          <m:e>
            <m:r>
              <w:rPr>
                <w:rFonts w:ascii="Cambria Math" w:hAnsi="Cambria Math"/>
              </w:rPr>
              <m:t>FAPAR</m:t>
            </m:r>
          </m:e>
          <m:sub>
            <m:r>
              <w:rPr>
                <w:rFonts w:ascii="Cambria Math" w:hAnsi="Cambria Math"/>
              </w:rPr>
              <m:t>diff</m:t>
            </m:r>
          </m:sub>
        </m:sSub>
      </m:oMath>
      <w:r>
        <w:t xml:space="preserve"> is the diffuse FAPAR (also known as white-sky FAPAR).</w:t>
      </w:r>
      <w:r w:rsidR="003C4600">
        <w:t xml:space="preserve"> </w:t>
      </w:r>
      <w:r>
        <w:t xml:space="preserve">By </w:t>
      </w:r>
      <w:r w:rsidRPr="00784996">
        <w:t xml:space="preserve">integrating the direct </w:t>
      </w:r>
      <w:r>
        <w:t xml:space="preserve">FAPAR </w:t>
      </w:r>
      <w:r w:rsidRPr="00784996">
        <w:t>over the whole hemisphere</w:t>
      </w:r>
      <w:r>
        <w:t xml:space="preserve">, </w:t>
      </w:r>
      <m:oMath>
        <m:sSub>
          <m:sSubPr>
            <m:ctrlPr>
              <w:rPr>
                <w:rFonts w:ascii="Cambria Math" w:hAnsi="Cambria Math"/>
                <w:i/>
              </w:rPr>
            </m:ctrlPr>
          </m:sSubPr>
          <m:e>
            <m:r>
              <w:rPr>
                <w:rFonts w:ascii="Cambria Math" w:hAnsi="Cambria Math"/>
              </w:rPr>
              <m:t>FAPAR</m:t>
            </m:r>
          </m:e>
          <m:sub>
            <m:r>
              <w:rPr>
                <w:rFonts w:ascii="Cambria Math" w:hAnsi="Cambria Math"/>
              </w:rPr>
              <m:t>diff</m:t>
            </m:r>
          </m:sub>
        </m:sSub>
      </m:oMath>
      <w:r>
        <w:t xml:space="preserve"> </w:t>
      </w:r>
      <w:r w:rsidRPr="00784996">
        <w:t>may be</w:t>
      </w:r>
      <w:r>
        <w:t xml:space="preserve"> derived as</w:t>
      </w:r>
    </w:p>
    <w:p w14:paraId="5C6459F1" w14:textId="77777777" w:rsidR="002F2AB0" w:rsidRPr="00F358B5" w:rsidRDefault="002F2AB0" w:rsidP="002F2AB0">
      <w:pPr>
        <w:spacing w:line="360" w:lineRule="auto"/>
        <w:rPr>
          <w:rFonts w:eastAsiaTheme="minorEastAsia"/>
        </w:rPr>
      </w:pPr>
      <w:r>
        <w:rPr>
          <w:rFonts w:eastAsiaTheme="minorEastAsia"/>
        </w:rPr>
        <w:br/>
      </w:r>
      <m:oMathPara>
        <m:oMath>
          <m:sSub>
            <m:sSubPr>
              <m:ctrlPr>
                <w:rPr>
                  <w:rFonts w:ascii="Cambria Math" w:hAnsi="Cambria Math"/>
                  <w:i/>
                </w:rPr>
              </m:ctrlPr>
            </m:sSubPr>
            <m:e>
              <m:r>
                <w:rPr>
                  <w:rFonts w:ascii="Cambria Math" w:hAnsi="Cambria Math"/>
                </w:rPr>
                <m:t>FAPAR</m:t>
              </m:r>
            </m:e>
            <m:sub>
              <m:r>
                <w:rPr>
                  <w:rFonts w:ascii="Cambria Math" w:hAnsi="Cambria Math"/>
                </w:rPr>
                <m:t>diff</m:t>
              </m:r>
            </m:sub>
          </m:sSub>
          <m:r>
            <w:rPr>
              <w:rFonts w:ascii="Cambria Math" w:eastAsiaTheme="minorEastAsia" w:hAnsi="Cambria Math"/>
            </w:rPr>
            <m:t>=</m:t>
          </m:r>
          <m:f>
            <m:fPr>
              <m:ctrlPr>
                <w:rPr>
                  <w:rFonts w:ascii="Cambria Math" w:eastAsiaTheme="minorEastAsia" w:hAnsi="Cambria Math"/>
                  <w:i/>
                </w:rPr>
              </m:ctrlPr>
            </m:fPr>
            <m:num>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2π</m:t>
                  </m:r>
                </m:sup>
                <m:e>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r>
                        <w:rPr>
                          <w:rFonts w:ascii="Cambria Math" w:eastAsiaTheme="minorEastAsia" w:hAnsi="Cambria Math"/>
                        </w:rPr>
                        <m:t>E</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e>
                      </m:d>
                      <m:r>
                        <w:rPr>
                          <w:rFonts w:ascii="Cambria Math" w:eastAsiaTheme="minorEastAsia" w:hAnsi="Cambria Math"/>
                        </w:rPr>
                        <m:t>FAPAR</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e>
                      </m:d>
                      <m:func>
                        <m:funcPr>
                          <m:ctrlPr>
                            <w:rPr>
                              <w:rFonts w:ascii="Cambria Math" w:eastAsiaTheme="minorEastAsia" w:hAnsi="Cambria Math"/>
                              <w:i/>
                            </w:rPr>
                          </m:ctrlPr>
                        </m:funcPr>
                        <m:fName>
                          <m:r>
                            <m:rPr>
                              <m:sty m:val="p"/>
                            </m:rPr>
                            <w:rPr>
                              <w:rFonts w:ascii="Cambria Math"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d</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d</m:t>
                          </m:r>
                        </m:fName>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e>
                      </m:func>
                    </m:e>
                  </m:nary>
                </m:e>
              </m:nary>
            </m:num>
            <m:den>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2π</m:t>
                  </m:r>
                </m:sup>
                <m:e>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π/2</m:t>
                      </m:r>
                    </m:sup>
                    <m:e>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sin</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d</m:t>
                          </m:r>
                        </m:fName>
                        <m:e>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s</m:t>
                              </m:r>
                            </m:sub>
                          </m:sSub>
                        </m:e>
                      </m:func>
                      <m:func>
                        <m:funcPr>
                          <m:ctrlPr>
                            <w:rPr>
                              <w:rFonts w:ascii="Cambria Math" w:eastAsiaTheme="minorEastAsia" w:hAnsi="Cambria Math"/>
                              <w:i/>
                            </w:rPr>
                          </m:ctrlPr>
                        </m:funcPr>
                        <m:fName>
                          <m:r>
                            <m:rPr>
                              <m:sty m:val="p"/>
                            </m:rPr>
                            <w:rPr>
                              <w:rFonts w:ascii="Cambria Math" w:hAnsi="Cambria Math"/>
                            </w:rPr>
                            <m:t>d</m:t>
                          </m:r>
                        </m:fName>
                        <m:e>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s</m:t>
                              </m:r>
                            </m:sub>
                          </m:sSub>
                        </m:e>
                      </m:func>
                    </m:e>
                  </m:nary>
                </m:e>
              </m:nary>
            </m:den>
          </m:f>
        </m:oMath>
      </m:oMathPara>
    </w:p>
    <w:p w14:paraId="10DB4CB1" w14:textId="32477B3B" w:rsidR="002F2AB0" w:rsidRDefault="002F2AB0" w:rsidP="002F2AB0">
      <w:pPr>
        <w:spacing w:line="360" w:lineRule="auto"/>
        <w:jc w:val="both"/>
      </w:pPr>
      <w:r>
        <w:br/>
        <w:t xml:space="preserve">where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rPr>
          <w:rFonts w:eastAsiaTheme="minorEastAsia"/>
        </w:rPr>
        <w:t xml:space="preserve"> and </w:t>
      </w:r>
      <m:oMath>
        <m:sSub>
          <m:sSubPr>
            <m:ctrlPr>
              <w:rPr>
                <w:rFonts w:ascii="Cambria Math" w:hAnsi="Cambria Math"/>
                <w:i/>
              </w:rPr>
            </m:ctrlPr>
          </m:sSubPr>
          <m:e>
            <m:r>
              <w:rPr>
                <w:rFonts w:ascii="Cambria Math" w:hAnsi="Cambria Math"/>
              </w:rPr>
              <m:t>φ</m:t>
            </m:r>
          </m:e>
          <m:sub>
            <m:r>
              <w:rPr>
                <w:rFonts w:ascii="Cambria Math" w:hAnsi="Cambria Math"/>
              </w:rPr>
              <m:t>s</m:t>
            </m:r>
          </m:sub>
        </m:sSub>
      </m:oMath>
      <w:r w:rsidRPr="00784996">
        <w:t xml:space="preserve"> are </w:t>
      </w:r>
      <w:r>
        <w:t>the solar</w:t>
      </w:r>
      <w:r w:rsidRPr="00784996">
        <w:t xml:space="preserve"> zenith and azimuth angles, and </w:t>
      </w:r>
      <m:oMath>
        <m:r>
          <w:rPr>
            <w:rFonts w:ascii="Cambria Math" w:hAnsi="Cambria Math"/>
          </w:rPr>
          <m:t>E(</m:t>
        </m:r>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s</m:t>
            </m:r>
          </m:sub>
        </m:sSub>
        <m:r>
          <w:rPr>
            <w:rFonts w:ascii="Cambria Math" w:hAnsi="Cambria Math"/>
          </w:rPr>
          <m:t>)</m:t>
        </m:r>
      </m:oMath>
      <w:r>
        <w:t xml:space="preserve"> describes the directional </w:t>
      </w:r>
      <w:r w:rsidRPr="00784996">
        <w:t xml:space="preserve">variation of </w:t>
      </w:r>
      <w:r>
        <w:t>irradiance</w:t>
      </w:r>
      <w:r w:rsidRPr="00784996">
        <w:t>.</w:t>
      </w:r>
      <w:r w:rsidR="003C4600">
        <w:t xml:space="preserve"> </w:t>
      </w:r>
      <w:r w:rsidRPr="00784996">
        <w:t xml:space="preserve">When the diffuse fraction is assumed isotropic, then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s</m:t>
                </m:r>
              </m:sub>
            </m:sSub>
          </m:e>
        </m:d>
        <m:r>
          <w:rPr>
            <w:rFonts w:ascii="Cambria Math" w:hAnsi="Cambria Math"/>
          </w:rPr>
          <m:t xml:space="preserve"> </m:t>
        </m:r>
      </m:oMath>
      <w:r w:rsidRPr="00784996">
        <w:t>is a constant.</w:t>
      </w:r>
    </w:p>
    <w:p w14:paraId="4819E97C" w14:textId="778A4978" w:rsidR="002F2AB0" w:rsidRDefault="002F2AB0" w:rsidP="002F2AB0">
      <w:pPr>
        <w:spacing w:line="360" w:lineRule="auto"/>
        <w:jc w:val="both"/>
      </w:pPr>
      <w:r w:rsidRPr="00AB7CE8">
        <w:t xml:space="preserve">Several </w:t>
      </w:r>
      <w:r>
        <w:t>techniques</w:t>
      </w:r>
      <w:r w:rsidRPr="00AB7CE8">
        <w:t xml:space="preserve"> can be used to provide measu</w:t>
      </w:r>
      <w:r>
        <w:t xml:space="preserve">rements of canopy transmittance/gap fraction </w:t>
      </w:r>
      <w:r w:rsidRPr="00AB7CE8">
        <w:t xml:space="preserve">at multiple </w:t>
      </w:r>
      <w:r>
        <w:t xml:space="preserve">zenith </w:t>
      </w:r>
      <w:r w:rsidRPr="00AB7CE8">
        <w:t>angles.</w:t>
      </w:r>
      <w:r w:rsidR="003C4600">
        <w:t xml:space="preserve"> </w:t>
      </w:r>
      <w:r>
        <w:t>T</w:t>
      </w:r>
      <w:r w:rsidRPr="00AB7CE8">
        <w:t xml:space="preserve">he </w:t>
      </w:r>
      <w:r>
        <w:t>LI-COR LAI-2200C Plant Canopy Analyser</w:t>
      </w:r>
      <w:r w:rsidRPr="00AB7CE8">
        <w:t xml:space="preserve"> </w:t>
      </w:r>
      <w:r>
        <w:t>(and previous LAI-2200 and LAI-</w:t>
      </w:r>
      <w:r>
        <w:lastRenderedPageBreak/>
        <w:t>2000 variants)</w:t>
      </w:r>
      <w:r w:rsidRPr="00AB7CE8">
        <w:t xml:space="preserve"> makes use of an optical sensor to measure incoming radiation in the blue region of the electromagnetic spectrum, within five zenith rings of approximately 15° </w:t>
      </w:r>
      <w:r w:rsidRPr="005A17B3">
        <w:t xml:space="preserve">(Figure </w:t>
      </w:r>
      <w:r w:rsidR="00F1023F" w:rsidRPr="005A17B3">
        <w:t>2</w:t>
      </w:r>
      <w:r w:rsidRPr="005A17B3">
        <w:t>).</w:t>
      </w:r>
      <w:r w:rsidR="003C4600">
        <w:t xml:space="preserve"> </w:t>
      </w:r>
      <w:r w:rsidRPr="00AB7CE8">
        <w:t xml:space="preserve">Measurements are </w:t>
      </w:r>
      <w:r>
        <w:t>performed</w:t>
      </w:r>
      <w:r w:rsidRPr="00AB7CE8">
        <w:t xml:space="preserve"> both above and below the canopy, enabling canopy transmittance to be deter</w:t>
      </w:r>
      <w:r>
        <w:t>mined within each zenith ring.</w:t>
      </w:r>
      <w:r w:rsidR="003C4600">
        <w:t xml:space="preserve"> </w:t>
      </w:r>
      <w:r>
        <w:rPr>
          <w:rFonts w:eastAsiaTheme="minorEastAsia"/>
        </w:rPr>
        <w:t>T</w:t>
      </w:r>
      <w:r>
        <w:t>he same principles can be applied to images collected using digital hemispherical photography (DHP), whereby angular sampling is facilitated by a fisheye lens with a 180</w:t>
      </w:r>
      <w:r w:rsidRPr="00E32BD5">
        <w:t>°</w:t>
      </w:r>
      <w:r>
        <w:t xml:space="preserve"> FOV.</w:t>
      </w:r>
      <w:r w:rsidR="003C4600">
        <w:t xml:space="preserve"> </w:t>
      </w:r>
      <w:r>
        <w:t>Images can be divided into any number of angular bins, and the gap fraction can be estimated by classifying pixels as belonging to the canopy or its background (i.e. the soil or sky depending on the direction the camera is facing).</w:t>
      </w:r>
      <w:r w:rsidR="003C4600">
        <w:t xml:space="preserve"> </w:t>
      </w:r>
      <w:r>
        <w:t>In the PAR domain, gap fraction can be considered nearly equal to canopy transmittance due to strong absorption by photosynthetic pigments.</w:t>
      </w:r>
    </w:p>
    <w:p w14:paraId="251F02F4" w14:textId="77777777" w:rsidR="002F2AB0" w:rsidRDefault="002F2AB0" w:rsidP="002F2AB0">
      <w:pPr>
        <w:keepNext/>
        <w:jc w:val="center"/>
      </w:pPr>
      <w:r>
        <w:br/>
      </w:r>
      <w:r>
        <w:rPr>
          <w:noProof/>
          <w:lang w:eastAsia="en-GB"/>
        </w:rPr>
        <w:drawing>
          <wp:inline distT="0" distB="0" distL="0" distR="0" wp14:anchorId="4ABF0160" wp14:editId="1CA4A661">
            <wp:extent cx="2880000" cy="1335099"/>
            <wp:effectExtent l="0" t="0" r="0" b="0"/>
            <wp:docPr id="11" name="Picture 11" descr="C:\Users\lab1c17\AppData\Local\Microsoft\Windows\INetCache\Content.Word\lai-22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1c17\AppData\Local\Microsoft\Windows\INetCache\Content.Word\lai-2200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335099"/>
                    </a:xfrm>
                    <a:prstGeom prst="rect">
                      <a:avLst/>
                    </a:prstGeom>
                    <a:noFill/>
                    <a:ln>
                      <a:noFill/>
                    </a:ln>
                  </pic:spPr>
                </pic:pic>
              </a:graphicData>
            </a:graphic>
          </wp:inline>
        </w:drawing>
      </w:r>
    </w:p>
    <w:p w14:paraId="31C11A5E" w14:textId="14CC0EA3" w:rsidR="002F2AB0" w:rsidRDefault="002F2AB0" w:rsidP="002F2AB0">
      <w:pPr>
        <w:pStyle w:val="Caption"/>
        <w:jc w:val="center"/>
      </w:pPr>
      <w:bookmarkStart w:id="27" w:name="_Ref1738930"/>
      <w:bookmarkStart w:id="28" w:name="_Toc41595337"/>
      <w:r>
        <w:t xml:space="preserve">Figure </w:t>
      </w:r>
      <w:r>
        <w:rPr>
          <w:noProof/>
        </w:rPr>
        <w:fldChar w:fldCharType="begin"/>
      </w:r>
      <w:r>
        <w:rPr>
          <w:noProof/>
        </w:rPr>
        <w:instrText xml:space="preserve"> SEQ Figure \* ARABIC </w:instrText>
      </w:r>
      <w:r>
        <w:rPr>
          <w:noProof/>
        </w:rPr>
        <w:fldChar w:fldCharType="separate"/>
      </w:r>
      <w:r w:rsidR="00F1023F">
        <w:rPr>
          <w:noProof/>
        </w:rPr>
        <w:t>2</w:t>
      </w:r>
      <w:r>
        <w:rPr>
          <w:noProof/>
        </w:rPr>
        <w:fldChar w:fldCharType="end"/>
      </w:r>
      <w:bookmarkEnd w:id="27"/>
      <w:r>
        <w:t xml:space="preserve">: Angular sampling provided by the optical sensor of the LI-COR LAI-2200C </w:t>
      </w:r>
      <w:r>
        <w:fldChar w:fldCharType="begin" w:fldLock="1"/>
      </w:r>
      <w:r w:rsidR="00B60D54">
        <w:instrText>ADDIN CSL_CITATION {"citationItems":[{"id":"ITEM-1","itemData":{"URL":"https://www.licor.com/env/products/leaf_area/LAI-2200C/optical-sensor.html","accessed":{"date-parts":[["2017","5","10"]]},"author":[{"dropping-particle":"","family":"LI-COR","given":"","non-dropping-particle":"","parse-names":false,"suffix":""}],"id":"ITEM-1","issued":{"date-parts":[["2017"]]},"note":"Available from: https://www.licor.com/env/products/leaf_area/LAI-2200C/optical-sensor.html [accessed 10/05/2017].","title":"LAI-2200C Optical Sensor","type":"webpage"},"uris":["http://www.mendeley.com/documents/?uuid=70873c27-5544-44b2-bf19-6ba16a3500a3"]}],"mendeley":{"formattedCitation":"[12]","plainTextFormattedCitation":"[12]","previouslyFormattedCitation":"[12]"},"properties":{"noteIndex":0},"schema":"https://github.com/citation-style-language/schema/raw/master/csl-citation.json"}</w:instrText>
      </w:r>
      <w:r>
        <w:fldChar w:fldCharType="separate"/>
      </w:r>
      <w:r w:rsidR="00C51520" w:rsidRPr="00C51520">
        <w:rPr>
          <w:i w:val="0"/>
          <w:noProof/>
        </w:rPr>
        <w:t>[12]</w:t>
      </w:r>
      <w:r>
        <w:fldChar w:fldCharType="end"/>
      </w:r>
      <w:r>
        <w:t>.</w:t>
      </w:r>
      <w:bookmarkEnd w:id="28"/>
    </w:p>
    <w:p w14:paraId="581D45D0" w14:textId="4B3E717D" w:rsidR="002F2AB0" w:rsidRDefault="002F2AB0" w:rsidP="002F2AB0">
      <w:pPr>
        <w:spacing w:line="360" w:lineRule="auto"/>
        <w:jc w:val="both"/>
      </w:pPr>
      <w:r>
        <w:rPr>
          <w:rFonts w:eastAsiaTheme="minorEastAsia"/>
        </w:rPr>
        <w:br/>
      </w:r>
      <w:r>
        <w:t>The angular variation in canopy transmittance/gap fraction can be used to reconstruct diurnal variations in FIPAR.</w:t>
      </w:r>
      <w:r w:rsidR="003C4600">
        <w:t xml:space="preserve"> </w:t>
      </w:r>
      <w:r>
        <w:t xml:space="preserve">These multi-angular </w:t>
      </w:r>
      <w:r w:rsidRPr="005A1C65">
        <w:t>techniques are very efficient, facilitating instantaneous measurements that can be replicated multiple times to improve spatial sampling, whilst also enabling diurnal vari</w:t>
      </w:r>
      <w:r>
        <w:t>ations in FIPAR to be assessed.</w:t>
      </w:r>
      <w:r w:rsidR="003C4600">
        <w:t xml:space="preserve"> </w:t>
      </w:r>
      <w:r>
        <w:t>Whilst the LAI-2200C cannot distinguish between photosynthetically active and non-photosynthetically active canopy elements,</w:t>
      </w:r>
      <w:r w:rsidRPr="003C259C">
        <w:t xml:space="preserve"> when </w:t>
      </w:r>
      <w:r>
        <w:t>DHP images are acquired above the canopy</w:t>
      </w:r>
      <w:r w:rsidRPr="003C259C">
        <w:t xml:space="preserve">, it </w:t>
      </w:r>
      <w:r>
        <w:t>is</w:t>
      </w:r>
      <w:r w:rsidRPr="003C259C">
        <w:t xml:space="preserve"> possible to distinguish betwee</w:t>
      </w:r>
      <w:r>
        <w:t>n green leaves and other canopy elements such as stems and branches.</w:t>
      </w:r>
      <w:r w:rsidR="003C4600">
        <w:t xml:space="preserve"> </w:t>
      </w:r>
      <w:r>
        <w:t>Thus, downwards facing</w:t>
      </w:r>
      <w:r w:rsidRPr="003C259C">
        <w:t xml:space="preserve"> DHP </w:t>
      </w:r>
      <w:r>
        <w:t>can provide an</w:t>
      </w:r>
      <w:r w:rsidRPr="003C259C">
        <w:t xml:space="preserve"> accurate estimate of green </w:t>
      </w:r>
      <w:r>
        <w:t>FIPAR, which would otherwise be overestimated.</w:t>
      </w:r>
      <w:r w:rsidR="003C4600">
        <w:t xml:space="preserve"> </w:t>
      </w:r>
      <w:r>
        <w:t>Nevertheless, the technique is limited to relatively short canopies for obvious practical reasons.</w:t>
      </w:r>
      <w:r w:rsidR="003C4600">
        <w:t xml:space="preserve"> </w:t>
      </w:r>
    </w:p>
    <w:p w14:paraId="760C2935" w14:textId="045083FA" w:rsidR="002F2AB0" w:rsidRDefault="002F2AB0" w:rsidP="002F2AB0">
      <w:pPr>
        <w:spacing w:line="360" w:lineRule="auto"/>
        <w:jc w:val="both"/>
      </w:pPr>
      <w:r>
        <w:t>When DHP is adopted in forest environments, separate measurements of the overstory and understory may be performed using upwards and downwards facing images respectively.</w:t>
      </w:r>
      <w:r w:rsidR="003C4600">
        <w:t xml:space="preserve"> </w:t>
      </w:r>
      <w:r>
        <w:t>In this case, they must be combined to provide a single value.</w:t>
      </w:r>
      <w:r w:rsidR="003C4600">
        <w:t xml:space="preserve"> </w:t>
      </w:r>
      <w:r>
        <w:t xml:space="preserve">The combination strategy adopted in the FRM4VEG project is equivalent to that used in the Validation of Land European Remote Sensing Instruments (VALERI) project </w:t>
      </w:r>
      <w:r>
        <w:fldChar w:fldCharType="begin" w:fldLock="1"/>
      </w:r>
      <w:r w:rsidR="00B60D54">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fldChar w:fldCharType="separate"/>
      </w:r>
      <w:r w:rsidR="00C51520" w:rsidRPr="00C51520">
        <w:rPr>
          <w:noProof/>
        </w:rPr>
        <w:t>[13]</w:t>
      </w:r>
      <w:r>
        <w:fldChar w:fldCharType="end"/>
      </w:r>
      <w:r>
        <w:t>, and states that</w:t>
      </w:r>
    </w:p>
    <w:p w14:paraId="4B95BEA1" w14:textId="01E8365A" w:rsidR="002F2AB0" w:rsidRDefault="002F2AB0" w:rsidP="002F2AB0">
      <w:pPr>
        <w:spacing w:after="0" w:line="360" w:lineRule="auto"/>
        <w:jc w:val="both"/>
      </w:pPr>
      <w:r>
        <w:rPr>
          <w:rFonts w:eastAsiaTheme="minorEastAsia"/>
        </w:rPr>
        <w:br/>
      </w:r>
      <m:oMathPara>
        <m:oMath>
          <m:r>
            <w:rPr>
              <w:rFonts w:ascii="Cambria Math" w:hAnsi="Cambria Math"/>
            </w:rPr>
            <w:lastRenderedPageBreak/>
            <m:t>FIPAR=</m:t>
          </m:r>
          <m:sSub>
            <m:sSubPr>
              <m:ctrlPr>
                <w:rPr>
                  <w:rFonts w:ascii="Cambria Math" w:hAnsi="Cambria Math"/>
                  <w:i/>
                </w:rPr>
              </m:ctrlPr>
            </m:sSubPr>
            <m:e>
              <m:r>
                <w:rPr>
                  <w:rFonts w:ascii="Cambria Math" w:hAnsi="Cambria Math"/>
                </w:rPr>
                <m:t>FIPAR</m:t>
              </m:r>
            </m:e>
            <m:sub>
              <m:r>
                <w:rPr>
                  <w:rFonts w:ascii="Cambria Math" w:hAnsi="Cambria Math"/>
                </w:rPr>
                <m:t>up</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FIPAR</m:t>
                  </m:r>
                </m:e>
                <m:sub>
                  <m:r>
                    <w:rPr>
                      <w:rFonts w:ascii="Cambria Math" w:hAnsi="Cambria Math"/>
                    </w:rPr>
                    <m:t>up</m:t>
                  </m:r>
                </m:sub>
              </m:sSub>
            </m:e>
          </m:d>
          <m:r>
            <w:rPr>
              <w:rFonts w:ascii="Cambria Math" w:hAnsi="Cambria Math"/>
            </w:rPr>
            <m:t xml:space="preserve"> </m:t>
          </m:r>
          <m:sSub>
            <m:sSubPr>
              <m:ctrlPr>
                <w:rPr>
                  <w:rFonts w:ascii="Cambria Math" w:hAnsi="Cambria Math"/>
                  <w:i/>
                </w:rPr>
              </m:ctrlPr>
            </m:sSubPr>
            <m:e>
              <m:r>
                <w:rPr>
                  <w:rFonts w:ascii="Cambria Math" w:hAnsi="Cambria Math"/>
                </w:rPr>
                <m:t>FIPAR</m:t>
              </m:r>
            </m:e>
            <m:sub>
              <m:r>
                <w:rPr>
                  <w:rFonts w:ascii="Cambria Math" w:hAnsi="Cambria Math"/>
                </w:rPr>
                <m:t>down</m:t>
              </m:r>
            </m:sub>
          </m:sSub>
          <m:r>
            <m:rPr>
              <m:sty m:val="p"/>
            </m:rPr>
            <w:rPr>
              <w:rFonts w:ascii="Cambria Math" w:hAnsi="Cambria Math"/>
            </w:rPr>
            <w:br/>
          </m:r>
        </m:oMath>
        <m:oMath>
          <m:r>
            <m:rPr>
              <m:sty m:val="p"/>
            </m:rPr>
            <w:rPr>
              <w:rFonts w:ascii="Cambria Math" w:hAnsi="Cambria Math"/>
            </w:rPr>
            <w:br/>
          </m:r>
        </m:oMath>
      </m:oMathPara>
      <w:r>
        <w:t xml:space="preserve">where </w:t>
      </w:r>
      <m:oMath>
        <m:sSub>
          <m:sSubPr>
            <m:ctrlPr>
              <w:rPr>
                <w:rFonts w:ascii="Cambria Math" w:hAnsi="Cambria Math"/>
                <w:i/>
              </w:rPr>
            </m:ctrlPr>
          </m:sSubPr>
          <m:e>
            <m:r>
              <w:rPr>
                <w:rFonts w:ascii="Cambria Math" w:hAnsi="Cambria Math"/>
              </w:rPr>
              <m:t>FIPAR</m:t>
            </m:r>
          </m:e>
          <m:sub>
            <m:r>
              <w:rPr>
                <w:rFonts w:ascii="Cambria Math" w:hAnsi="Cambria Math"/>
              </w:rPr>
              <m:t>up</m:t>
            </m:r>
          </m:sub>
        </m:sSub>
      </m:oMath>
      <w:r>
        <w:rPr>
          <w:rFonts w:eastAsiaTheme="minorEastAsia"/>
        </w:rPr>
        <w:t xml:space="preserve"> and </w:t>
      </w:r>
      <m:oMath>
        <m:sSub>
          <m:sSubPr>
            <m:ctrlPr>
              <w:rPr>
                <w:rFonts w:ascii="Cambria Math" w:hAnsi="Cambria Math"/>
                <w:i/>
              </w:rPr>
            </m:ctrlPr>
          </m:sSubPr>
          <m:e>
            <m:r>
              <w:rPr>
                <w:rFonts w:ascii="Cambria Math" w:hAnsi="Cambria Math"/>
              </w:rPr>
              <m:t>FIPAR</m:t>
            </m:r>
          </m:e>
          <m:sub>
            <m:r>
              <w:rPr>
                <w:rFonts w:ascii="Cambria Math" w:hAnsi="Cambria Math"/>
              </w:rPr>
              <m:t>down</m:t>
            </m:r>
          </m:sub>
        </m:sSub>
      </m:oMath>
      <w:r>
        <w:rPr>
          <w:rFonts w:eastAsiaTheme="minorEastAsia"/>
        </w:rPr>
        <w:t xml:space="preserve"> are the FIPAR values derived using upwards and downwards facing DHP, respectively.</w:t>
      </w:r>
      <w:r w:rsidR="003C4600">
        <w:rPr>
          <w:rFonts w:eastAsiaTheme="minorEastAsia"/>
        </w:rPr>
        <w:t xml:space="preserve"> </w:t>
      </w:r>
      <w:r>
        <w:rPr>
          <w:rFonts w:eastAsiaTheme="minorEastAsia"/>
        </w:rPr>
        <w:t>It should be noted that such a combination strategy assumes independence of gaps within the two canopy layers, which may not hold at all scales.</w:t>
      </w:r>
    </w:p>
    <w:p w14:paraId="2776E53A" w14:textId="1744BA7D" w:rsidR="00D03BF1" w:rsidRDefault="00D03BF1" w:rsidP="007E0E87">
      <w:pPr>
        <w:spacing w:after="0" w:line="360" w:lineRule="auto"/>
        <w:jc w:val="both"/>
        <w:rPr>
          <w:rFonts w:eastAsiaTheme="minorEastAsia"/>
        </w:rPr>
      </w:pPr>
    </w:p>
    <w:p w14:paraId="0787035E" w14:textId="03E544A1" w:rsidR="00ED18F6" w:rsidRDefault="00636B56" w:rsidP="00FD3124">
      <w:pPr>
        <w:pStyle w:val="Heading2"/>
        <w:numPr>
          <w:ilvl w:val="1"/>
          <w:numId w:val="2"/>
        </w:numPr>
      </w:pPr>
      <w:bookmarkStart w:id="29" w:name="_Toc44515959"/>
      <w:r>
        <w:t>CCC</w:t>
      </w:r>
      <w:bookmarkEnd w:id="29"/>
    </w:p>
    <w:p w14:paraId="6198DDED" w14:textId="77777777" w:rsidR="00ED18F6" w:rsidRDefault="00ED18F6" w:rsidP="0069303D">
      <w:pPr>
        <w:spacing w:after="0"/>
      </w:pPr>
    </w:p>
    <w:p w14:paraId="4086B074" w14:textId="6C8CA473" w:rsidR="00ED18F6" w:rsidRDefault="00ED18F6" w:rsidP="00FD3124">
      <w:pPr>
        <w:spacing w:after="0" w:line="360" w:lineRule="auto"/>
        <w:jc w:val="both"/>
      </w:pPr>
      <w:r w:rsidRPr="002A6FA5">
        <w:t>As the key photosynthetic pigment within a plant, chlorophyll plays an important role in determining its physiological status.</w:t>
      </w:r>
      <w:r w:rsidR="003C4600">
        <w:t xml:space="preserve"> </w:t>
      </w:r>
      <w:r w:rsidRPr="002A6FA5">
        <w:t xml:space="preserve">The content of chlorophyll within a vegetation canopy is therefore strongly related to its </w:t>
      </w:r>
      <w:r w:rsidR="00EE2CBD" w:rsidRPr="002A6FA5">
        <w:t>productivity and</w:t>
      </w:r>
      <w:r w:rsidRPr="002A6FA5">
        <w:t xml:space="preserve"> is a sensitive indicator of its health. Thus, estimates of canopy chlorophyll content (CCC) are a key input into models of terrestrial primary productivity and carbon exchange. CCC is defined as the product of leaf </w:t>
      </w:r>
      <w:r>
        <w:t>chlorophyll concentration (LCC) and LAI.</w:t>
      </w:r>
      <w:r w:rsidR="003C4600">
        <w:t xml:space="preserve"> </w:t>
      </w:r>
      <w:r>
        <w:t>LCC</w:t>
      </w:r>
      <w:r w:rsidRPr="002A6FA5">
        <w:t xml:space="preserve"> is expressed as the mass of</w:t>
      </w:r>
      <w:r>
        <w:t xml:space="preserve"> chlorophyll per unit leaf area, whist LAI </w:t>
      </w:r>
      <w:r w:rsidRPr="002A6FA5">
        <w:t>is a dimensionless quantity defined as the one-sided leaf area per unit ground area</w:t>
      </w:r>
      <w:r>
        <w:t>.</w:t>
      </w:r>
    </w:p>
    <w:p w14:paraId="0A2C2670" w14:textId="77777777" w:rsidR="00ED18F6" w:rsidRDefault="00ED18F6" w:rsidP="00ED18F6"/>
    <w:p w14:paraId="5ACB576D" w14:textId="7DACCA95" w:rsidR="00ED18F6" w:rsidRPr="000E3FB6" w:rsidRDefault="00E12A1F" w:rsidP="00FD3124">
      <w:pPr>
        <w:pStyle w:val="Heading3"/>
        <w:numPr>
          <w:ilvl w:val="2"/>
          <w:numId w:val="2"/>
        </w:numPr>
      </w:pPr>
      <w:bookmarkStart w:id="30" w:name="_Toc44515960"/>
      <w:r>
        <w:t>LAI</w:t>
      </w:r>
      <w:r w:rsidR="005438E0">
        <w:t xml:space="preserve"> Principles of Measurement</w:t>
      </w:r>
      <w:bookmarkEnd w:id="30"/>
    </w:p>
    <w:p w14:paraId="4E77F24F" w14:textId="77777777" w:rsidR="00ED18F6" w:rsidRDefault="00ED18F6" w:rsidP="00FD3124">
      <w:pPr>
        <w:spacing w:after="0"/>
      </w:pPr>
    </w:p>
    <w:p w14:paraId="3A9594D3" w14:textId="5440A342" w:rsidR="00B33504" w:rsidRDefault="00ED18F6" w:rsidP="00B33504">
      <w:pPr>
        <w:spacing w:line="360" w:lineRule="auto"/>
        <w:jc w:val="both"/>
      </w:pPr>
      <w:r>
        <w:t>The direct determination of LAI involves the planimetric measurement of the leaves present within a given area of ground surface (i.e. using a leaf area meter)</w:t>
      </w:r>
      <w:r w:rsidRPr="0A45E27C">
        <w:t>.</w:t>
      </w:r>
      <w:r w:rsidR="003C4600">
        <w:t xml:space="preserve"> </w:t>
      </w:r>
      <w:r>
        <w:t>It is possible to carry out such measurements non-destructively, but because the process is time-consuming, leaves are more typically harvested, allowing the area of a small subset of leaves</w:t>
      </w:r>
      <w:r w:rsidRPr="0A45E27C">
        <w:t xml:space="preserve"> </w:t>
      </w:r>
      <w:r>
        <w:t>to be measured.</w:t>
      </w:r>
      <w:r w:rsidRPr="0A45E27C">
        <w:t xml:space="preserve"> </w:t>
      </w:r>
      <w:r>
        <w:t>This enables leaf area to be related to dry mass through specific leaf area (SLA).</w:t>
      </w:r>
      <w:r w:rsidR="003C4600">
        <w:t xml:space="preserve"> </w:t>
      </w:r>
      <w:r>
        <w:t>By oven drying and weighing all leaves collected from a given area of ground surface, LAI can then be calculated gravimetrically.</w:t>
      </w:r>
      <w:r w:rsidR="003C4600">
        <w:t xml:space="preserve"> </w:t>
      </w:r>
      <w:r>
        <w:t>In the case of deciduous species, litter traps can be used as an alternative to destructive harvesting.</w:t>
      </w:r>
    </w:p>
    <w:p w14:paraId="454CBB0E" w14:textId="6DD879DB" w:rsidR="00ED18F6" w:rsidRDefault="00ED18F6" w:rsidP="00B33504">
      <w:pPr>
        <w:spacing w:line="360" w:lineRule="auto"/>
        <w:jc w:val="both"/>
      </w:pPr>
      <w:r>
        <w:t>Given the time-consuming nature of direct LAI determination methods, indirect techniques are more typically adopted, making use of optical instruments to enable larger areas to be covered non-destructively.</w:t>
      </w:r>
      <w:r w:rsidR="003C4600">
        <w:t xml:space="preserve"> </w:t>
      </w:r>
      <w:r w:rsidRPr="00255242">
        <w:t xml:space="preserve">These techniques include </w:t>
      </w:r>
      <w:proofErr w:type="spellStart"/>
      <w:r w:rsidRPr="00255242">
        <w:t>ceptometry</w:t>
      </w:r>
      <w:proofErr w:type="spellEnd"/>
      <w:r w:rsidRPr="00255242">
        <w:t xml:space="preserve">, in addition to the use of instruments that exploit </w:t>
      </w:r>
      <w:r>
        <w:t xml:space="preserve">multi-angular </w:t>
      </w:r>
      <w:r w:rsidRPr="00255242">
        <w:t>measurements of canopy transmittance/gap fraction</w:t>
      </w:r>
      <w:r>
        <w:t>.</w:t>
      </w:r>
      <w:r w:rsidR="003C4600">
        <w:t xml:space="preserve"> </w:t>
      </w:r>
      <w:r>
        <w:t>Because these optical techniques are unable to discriminate between green leaves and other canopy elements such as stems and branches (with the exception of downwards facing DHP), they cannot strictly be considered to measure LAI itself, and instead the term plant area index (PAI) is preferred by some authors.</w:t>
      </w:r>
    </w:p>
    <w:p w14:paraId="2BB0DB55" w14:textId="77777777" w:rsidR="00ED18F6" w:rsidRDefault="00ED18F6" w:rsidP="00ED18F6">
      <w:pPr>
        <w:spacing w:line="360" w:lineRule="auto"/>
        <w:jc w:val="both"/>
      </w:pPr>
      <w:r>
        <w:t xml:space="preserve">Using measurements of incoming PAR at the top and bottom of the canopy (i.e. from a </w:t>
      </w:r>
      <w:proofErr w:type="spellStart"/>
      <w:r>
        <w:t>ceptometer</w:t>
      </w:r>
      <w:proofErr w:type="spellEnd"/>
      <w:r>
        <w:t>), LAI can be estimated through inversion of Beer’s law as</w:t>
      </w:r>
    </w:p>
    <w:p w14:paraId="3ADB1E27" w14:textId="630F8106" w:rsidR="00ED18F6" w:rsidRDefault="00ED18F6" w:rsidP="00ED18F6">
      <w:pPr>
        <w:spacing w:line="360" w:lineRule="auto"/>
        <w:jc w:val="both"/>
        <w:rPr>
          <w:rFonts w:eastAsiaTheme="minorEastAsia"/>
        </w:rPr>
      </w:pPr>
      <m:oMathPara>
        <m:oMath>
          <m:r>
            <m:rPr>
              <m:sty m:val="p"/>
            </m:rPr>
            <w:rPr>
              <w:rFonts w:ascii="Cambria Math" w:hAnsi="Cambria Math"/>
            </w:rPr>
            <w:lastRenderedPageBreak/>
            <w:br/>
          </m:r>
        </m:oMath>
        <m:oMath>
          <m:r>
            <w:rPr>
              <w:rFonts w:ascii="Cambria Math" w:hAnsi="Cambria Math"/>
            </w:rPr>
            <m:t>LAI=</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func>
            </m:num>
            <m:den>
              <m:r>
                <w:rPr>
                  <w:rFonts w:ascii="Cambria Math" w:hAnsi="Cambria Math"/>
                </w:rPr>
                <m:t>k</m:t>
              </m:r>
            </m:den>
          </m:f>
          <m:r>
            <m:rPr>
              <m:sty m:val="p"/>
            </m:rPr>
            <w:rPr>
              <w:rFonts w:eastAsiaTheme="minorEastAsia"/>
            </w:rPr>
            <w:br/>
          </m:r>
        </m:oMath>
      </m:oMathPara>
      <w:r>
        <w:br/>
      </w:r>
      <w:r>
        <w:t>where</w:t>
      </w:r>
      <w:r w:rsidRPr="00F77BF3">
        <w:t xml:space="preserve"> </w:t>
      </w:r>
      <m:oMath>
        <m:r>
          <w:rPr>
            <w:rFonts w:ascii="Cambria Math" w:hAnsi="Cambria Math"/>
          </w:rPr>
          <m:t>I</m:t>
        </m:r>
      </m:oMath>
      <w:r w:rsidRPr="00221118">
        <w:t xml:space="preserve"> is the i</w:t>
      </w:r>
      <w:r>
        <w:t>ncoming PAR below the canopy,</w:t>
      </w:r>
      <w:r w:rsidRPr="00221118">
        <w:t xml:space="preserv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221118">
        <w:t xml:space="preserve"> is th</w:t>
      </w:r>
      <w:r>
        <w:t xml:space="preserve">e incoming PAR above the canopy, and </w:t>
      </w:r>
      <m:oMath>
        <m:r>
          <w:rPr>
            <w:rFonts w:ascii="Cambria Math" w:hAnsi="Cambria Math"/>
          </w:rPr>
          <m:t>k</m:t>
        </m:r>
      </m:oMath>
      <w:r w:rsidRPr="5465A504">
        <w:rPr>
          <w:rFonts w:eastAsiaTheme="minorEastAsia"/>
        </w:rPr>
        <w:t xml:space="preserve"> is the extinction coefficient.</w:t>
      </w:r>
      <w:r w:rsidR="003C4600">
        <w:rPr>
          <w:rFonts w:eastAsiaTheme="minorEastAsia"/>
        </w:rPr>
        <w:t xml:space="preserve"> </w:t>
      </w:r>
      <w:r w:rsidRPr="5465A504">
        <w:rPr>
          <w:rFonts w:eastAsiaTheme="minorEastAsia"/>
        </w:rPr>
        <w:t xml:space="preserve">The value of </w:t>
      </w:r>
      <m:oMath>
        <m:r>
          <w:rPr>
            <w:rFonts w:ascii="Cambria Math" w:hAnsi="Cambria Math"/>
          </w:rPr>
          <m:t>k</m:t>
        </m:r>
      </m:oMath>
      <w:r w:rsidRPr="5465A504">
        <w:rPr>
          <w:rFonts w:eastAsiaTheme="minorEastAsia"/>
        </w:rPr>
        <w:t xml:space="preserve"> </w:t>
      </w:r>
      <w:r>
        <w:rPr>
          <w:rFonts w:eastAsiaTheme="minorEastAsia"/>
        </w:rPr>
        <w:t>is a function of</w:t>
      </w:r>
      <w:r w:rsidRPr="5465A504">
        <w:rPr>
          <w:rFonts w:eastAsiaTheme="minorEastAsia"/>
        </w:rPr>
        <w:t xml:space="preserve"> the leaf angle distribution (LAD) of the canopy, and the </w:t>
      </w:r>
      <w:r>
        <w:rPr>
          <w:rFonts w:eastAsiaTheme="minorEastAsia"/>
        </w:rPr>
        <w:t>SZA</w:t>
      </w:r>
      <w:r w:rsidRPr="5465A504">
        <w:rPr>
          <w:rFonts w:eastAsiaTheme="minorEastAsia"/>
        </w:rPr>
        <w:t>.</w:t>
      </w:r>
      <w:r w:rsidR="003C4600">
        <w:rPr>
          <w:rFonts w:eastAsiaTheme="minorEastAsia"/>
        </w:rPr>
        <w:t xml:space="preserve"> </w:t>
      </w:r>
      <w:r w:rsidRPr="5465A504">
        <w:rPr>
          <w:rFonts w:eastAsiaTheme="minorEastAsia"/>
        </w:rPr>
        <w:t>A spherical LAD, which describes a canopy in which all leaves are oriented randomly, is often assumed.</w:t>
      </w:r>
      <w:r>
        <w:rPr>
          <w:rFonts w:eastAsiaTheme="minorEastAsia"/>
        </w:rPr>
        <w:t xml:space="preserve"> </w:t>
      </w:r>
      <w:r w:rsidRPr="5465A504">
        <w:rPr>
          <w:rFonts w:eastAsiaTheme="minorEastAsia"/>
        </w:rPr>
        <w:t xml:space="preserve">In this case, </w:t>
      </w:r>
      <m:oMath>
        <m:r>
          <w:rPr>
            <w:rFonts w:ascii="Cambria Math" w:hAnsi="Cambria Math"/>
          </w:rPr>
          <m:t>k</m:t>
        </m:r>
      </m:oMath>
      <w:r w:rsidRPr="5465A504">
        <w:rPr>
          <w:rFonts w:eastAsiaTheme="minorEastAsia"/>
        </w:rPr>
        <w:t xml:space="preserve"> can be calculated as</w:t>
      </w:r>
    </w:p>
    <w:p w14:paraId="03208295" w14:textId="77777777" w:rsidR="00ED18F6" w:rsidRPr="00C01D5A" w:rsidRDefault="00ED18F6" w:rsidP="00ED18F6">
      <w:pPr>
        <w:spacing w:line="360" w:lineRule="auto"/>
        <w:rPr>
          <w:rFonts w:eastAsiaTheme="minorEastAsia"/>
        </w:rPr>
      </w:pPr>
      <w:r>
        <w:rPr>
          <w:rFonts w:eastAsiaTheme="minorEastAsia"/>
        </w:rPr>
        <w:br/>
      </w:r>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m:oMathPara>
    </w:p>
    <w:p w14:paraId="113E3B64" w14:textId="319DCFF5" w:rsidR="00ED18F6" w:rsidRDefault="00ED18F6" w:rsidP="00ED18F6">
      <w:pPr>
        <w:spacing w:line="360" w:lineRule="auto"/>
        <w:jc w:val="both"/>
        <w:rPr>
          <w:rFonts w:eastAsiaTheme="minorEastAsia"/>
        </w:rPr>
      </w:pPr>
      <w:r>
        <w:rPr>
          <w:rFonts w:eastAsiaTheme="minorEastAsia"/>
        </w:rPr>
        <w:br/>
        <w:t xml:space="preserve">where </w:t>
      </w:r>
      <m:oMath>
        <m:r>
          <w:rPr>
            <w:rFonts w:ascii="Cambria Math" w:hAnsi="Cambria Math"/>
          </w:rPr>
          <m:t>θ</m:t>
        </m:r>
      </m:oMath>
      <w:r>
        <w:rPr>
          <w:rFonts w:eastAsiaTheme="minorEastAsia"/>
        </w:rPr>
        <w:t xml:space="preserve"> is the SZA.</w:t>
      </w:r>
      <w:r w:rsidR="003C4600">
        <w:rPr>
          <w:rFonts w:eastAsiaTheme="minorEastAsia"/>
        </w:rPr>
        <w:t xml:space="preserve"> </w:t>
      </w:r>
      <w:r w:rsidRPr="00C01D5A">
        <w:rPr>
          <w:rFonts w:eastAsiaTheme="minorEastAsia"/>
        </w:rPr>
        <w:t>A modification of the spherical LAD is the ellipsoidal LAD, in which leaves are arranged so that they would cover the surface of an ellipsoid</w:t>
      </w:r>
      <w:r>
        <w:rPr>
          <w:rFonts w:eastAsiaTheme="minorEastAsia"/>
        </w:rPr>
        <w:t>,</w:t>
      </w:r>
      <w:r w:rsidRPr="00C01D5A">
        <w:rPr>
          <w:rFonts w:eastAsiaTheme="minorEastAsia"/>
        </w:rPr>
        <w:t xml:space="preserve"> as opposed to</w:t>
      </w:r>
      <w:r>
        <w:rPr>
          <w:rFonts w:eastAsiaTheme="minorEastAsia"/>
        </w:rPr>
        <w:t xml:space="preserve"> that of</w:t>
      </w:r>
      <w:r w:rsidRPr="00C01D5A">
        <w:rPr>
          <w:rFonts w:eastAsiaTheme="minorEastAsia"/>
        </w:rPr>
        <w:t xml:space="preserve"> a sphere.</w:t>
      </w:r>
      <w:r w:rsidR="003C4600">
        <w:rPr>
          <w:rFonts w:eastAsiaTheme="minorEastAsia"/>
        </w:rPr>
        <w:t xml:space="preserve"> </w:t>
      </w:r>
      <w:r w:rsidRPr="00C01D5A">
        <w:rPr>
          <w:rFonts w:eastAsiaTheme="minorEastAsia"/>
        </w:rPr>
        <w:t>The ellipsoid may be elongated upward or sideways, making use of a parameter that describes the ratio of the horizontal to the vertical semi-axis (</w:t>
      </w:r>
      <m:oMath>
        <m:r>
          <w:rPr>
            <w:rFonts w:ascii="Cambria Math" w:hAnsi="Cambria Math"/>
          </w:rPr>
          <m:t>x</m:t>
        </m:r>
      </m:oMath>
      <w:r w:rsidRPr="00C01D5A">
        <w:rPr>
          <w:rFonts w:eastAsiaTheme="minorEastAsia"/>
        </w:rPr>
        <w:t>).</w:t>
      </w:r>
      <w:r w:rsidR="003C4600">
        <w:rPr>
          <w:rFonts w:eastAsiaTheme="minorEastAsia"/>
        </w:rPr>
        <w:t xml:space="preserve"> </w:t>
      </w:r>
      <w:r w:rsidRPr="00C01D5A">
        <w:rPr>
          <w:rFonts w:eastAsiaTheme="minorEastAsia"/>
        </w:rPr>
        <w:t xml:space="preserve">Thus, canopies with more </w:t>
      </w:r>
      <w:proofErr w:type="spellStart"/>
      <w:r w:rsidRPr="00C01D5A">
        <w:rPr>
          <w:rFonts w:eastAsiaTheme="minorEastAsia"/>
        </w:rPr>
        <w:t>planophile</w:t>
      </w:r>
      <w:proofErr w:type="spellEnd"/>
      <w:r w:rsidRPr="00C01D5A">
        <w:rPr>
          <w:rFonts w:eastAsiaTheme="minorEastAsia"/>
        </w:rPr>
        <w:t xml:space="preserve"> or </w:t>
      </w:r>
      <w:proofErr w:type="spellStart"/>
      <w:r w:rsidRPr="00C01D5A">
        <w:rPr>
          <w:rFonts w:eastAsiaTheme="minorEastAsia"/>
        </w:rPr>
        <w:t>erectophile</w:t>
      </w:r>
      <w:proofErr w:type="spellEnd"/>
      <w:r w:rsidRPr="00C01D5A">
        <w:rPr>
          <w:rFonts w:eastAsiaTheme="minorEastAsia"/>
        </w:rPr>
        <w:t xml:space="preserve"> LAD can be represented.</w:t>
      </w:r>
      <w:r w:rsidR="003C4600">
        <w:rPr>
          <w:rFonts w:eastAsiaTheme="minorEastAsia"/>
        </w:rPr>
        <w:t xml:space="preserve"> </w:t>
      </w:r>
      <w:r w:rsidRPr="00C01D5A">
        <w:rPr>
          <w:rFonts w:eastAsiaTheme="minorEastAsia"/>
        </w:rPr>
        <w:t xml:space="preserve">In the case of the ellipsoidal LAD, </w:t>
      </w:r>
      <m:oMath>
        <m:r>
          <w:rPr>
            <w:rFonts w:ascii="Cambria Math" w:hAnsi="Cambria Math"/>
          </w:rPr>
          <m:t>k</m:t>
        </m:r>
      </m:oMath>
      <w:r w:rsidRPr="00C01D5A">
        <w:rPr>
          <w:rFonts w:eastAsiaTheme="minorEastAsia"/>
        </w:rPr>
        <w:t xml:space="preserve"> </w:t>
      </w:r>
      <w:r>
        <w:rPr>
          <w:rFonts w:eastAsiaTheme="minorEastAsia"/>
        </w:rPr>
        <w:t>is calculated as</w:t>
      </w:r>
    </w:p>
    <w:p w14:paraId="1B7913B8" w14:textId="77777777" w:rsidR="00ED18F6" w:rsidRPr="00C01D5A" w:rsidRDefault="00ED18F6" w:rsidP="00ED18F6">
      <w:pPr>
        <w:spacing w:line="360" w:lineRule="auto"/>
        <w:jc w:val="both"/>
        <w:rPr>
          <w:rFonts w:eastAsiaTheme="minorEastAsia"/>
        </w:rPr>
      </w:pPr>
      <w:r>
        <w:rPr>
          <w:rFonts w:eastAsiaTheme="minorEastAsia"/>
        </w:rPr>
        <w:br/>
      </w:r>
      <m:oMathPara>
        <m:oMath>
          <m:r>
            <w:rPr>
              <w:rFonts w:ascii="Cambria Math" w:hAnsi="Cambria Math"/>
            </w:rPr>
            <m:t>k=</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θ</m:t>
                          </m:r>
                        </m:e>
                        <m:sup>
                          <m:r>
                            <w:rPr>
                              <w:rFonts w:ascii="Cambria Math" w:hAnsi="Cambria Math"/>
                            </w:rPr>
                            <m:t>2</m:t>
                          </m:r>
                        </m:sup>
                      </m:sSup>
                    </m:e>
                  </m:func>
                </m:e>
              </m:rad>
            </m:num>
            <m:den>
              <m:sSup>
                <m:sSupPr>
                  <m:ctrlPr>
                    <w:rPr>
                      <w:rFonts w:ascii="Cambria Math" w:hAnsi="Cambria Math"/>
                      <w:i/>
                    </w:rPr>
                  </m:ctrlPr>
                </m:sSupPr>
                <m:e>
                  <m:r>
                    <w:rPr>
                      <w:rFonts w:ascii="Cambria Math" w:hAnsi="Cambria Math"/>
                    </w:rPr>
                    <m:t>x+1.744 (x+1.182)</m:t>
                  </m:r>
                </m:e>
                <m:sup>
                  <m:r>
                    <w:rPr>
                      <w:rFonts w:ascii="Cambria Math" w:hAnsi="Cambria Math"/>
                    </w:rPr>
                    <m:t>-0.733</m:t>
                  </m:r>
                </m:sup>
              </m:sSup>
            </m:den>
          </m:f>
        </m:oMath>
      </m:oMathPara>
    </w:p>
    <w:p w14:paraId="181B1319" w14:textId="4228736A" w:rsidR="00ED18F6" w:rsidRDefault="00ED18F6" w:rsidP="000043E3">
      <w:pPr>
        <w:spacing w:line="360" w:lineRule="auto"/>
        <w:jc w:val="both"/>
        <w:rPr>
          <w:rFonts w:eastAsiaTheme="minorEastAsia"/>
        </w:rPr>
      </w:pPr>
      <w:r>
        <w:rPr>
          <w:rFonts w:eastAsiaTheme="minorEastAsia"/>
        </w:rPr>
        <w:br/>
      </w:r>
      <w:r w:rsidRPr="00C01D5A">
        <w:rPr>
          <w:rFonts w:eastAsiaTheme="minorEastAsia"/>
        </w:rPr>
        <w:t xml:space="preserve">Typical values of </w:t>
      </w:r>
      <m:oMath>
        <m:r>
          <w:rPr>
            <w:rFonts w:ascii="Cambria Math" w:eastAsiaTheme="minorEastAsia" w:hAnsi="Cambria Math"/>
          </w:rPr>
          <m:t>x</m:t>
        </m:r>
      </m:oMath>
      <w:r w:rsidRPr="00C01D5A">
        <w:rPr>
          <w:rFonts w:eastAsiaTheme="minorEastAsia"/>
        </w:rPr>
        <w:t xml:space="preserve"> are listed in</w:t>
      </w:r>
      <w:r>
        <w:rPr>
          <w:rFonts w:eastAsiaTheme="minorEastAsia"/>
        </w:rPr>
        <w:t xml:space="preserve"> Table </w:t>
      </w:r>
      <w:r w:rsidR="00305B17">
        <w:rPr>
          <w:rFonts w:eastAsiaTheme="minorEastAsia"/>
        </w:rPr>
        <w:t>1</w:t>
      </w:r>
      <w:r>
        <w:rPr>
          <w:rFonts w:eastAsiaTheme="minorEastAsia"/>
        </w:rPr>
        <w:t xml:space="preserve"> </w:t>
      </w:r>
      <w:r w:rsidRPr="00C01D5A">
        <w:rPr>
          <w:rFonts w:eastAsiaTheme="minorEastAsia"/>
        </w:rPr>
        <w:t>for different crops</w:t>
      </w:r>
      <w:r>
        <w:rPr>
          <w:rFonts w:eastAsiaTheme="minorEastAsia"/>
        </w:rPr>
        <w:t>.</w:t>
      </w:r>
    </w:p>
    <w:p w14:paraId="6A02A673" w14:textId="35261606" w:rsidR="00ED18F6" w:rsidRDefault="00ED18F6" w:rsidP="00ED18F6">
      <w:pPr>
        <w:spacing w:line="360" w:lineRule="auto"/>
        <w:jc w:val="both"/>
        <w:rPr>
          <w:rFonts w:eastAsiaTheme="minorEastAsia"/>
        </w:rPr>
      </w:pPr>
      <w:r w:rsidRPr="00BD3E29">
        <w:rPr>
          <w:rFonts w:eastAsiaTheme="minorEastAsia"/>
        </w:rPr>
        <w:t xml:space="preserve">An alternative </w:t>
      </w:r>
      <w:r>
        <w:rPr>
          <w:rFonts w:eastAsiaTheme="minorEastAsia"/>
        </w:rPr>
        <w:t>approach</w:t>
      </w:r>
      <w:r w:rsidRPr="00BD3E29">
        <w:rPr>
          <w:rFonts w:eastAsiaTheme="minorEastAsia"/>
        </w:rPr>
        <w:t xml:space="preserve"> involves the </w:t>
      </w:r>
      <w:r>
        <w:rPr>
          <w:rFonts w:eastAsiaTheme="minorEastAsia"/>
        </w:rPr>
        <w:t>use of multi-angular canopy transmittance/gap fraction measurements, which can be obtained using DHP and instruments such as the LAI-2200C (as described in Section</w:t>
      </w:r>
      <w:r w:rsidR="00B33504">
        <w:rPr>
          <w:rFonts w:eastAsiaTheme="minorEastAsia"/>
        </w:rPr>
        <w:t xml:space="preserve"> 2.1.3</w:t>
      </w:r>
      <w:r>
        <w:rPr>
          <w:rFonts w:eastAsiaTheme="minorEastAsia"/>
        </w:rPr>
        <w:t>).</w:t>
      </w:r>
      <w:r w:rsidR="003C4600">
        <w:rPr>
          <w:rFonts w:eastAsiaTheme="minorEastAsia"/>
        </w:rPr>
        <w:t xml:space="preserve"> </w:t>
      </w:r>
      <w:r>
        <w:rPr>
          <w:rFonts w:eastAsiaTheme="minorEastAsia"/>
        </w:rPr>
        <w:t>An advantage of this</w:t>
      </w:r>
      <w:r w:rsidRPr="00BD3E29">
        <w:rPr>
          <w:rFonts w:eastAsiaTheme="minorEastAsia"/>
        </w:rPr>
        <w:t xml:space="preserve"> approach</w:t>
      </w:r>
      <w:r>
        <w:rPr>
          <w:rFonts w:eastAsiaTheme="minorEastAsia"/>
        </w:rPr>
        <w:t xml:space="preserve"> is that it</w:t>
      </w:r>
      <w:r w:rsidRPr="00BD3E29">
        <w:rPr>
          <w:rFonts w:eastAsiaTheme="minorEastAsia"/>
        </w:rPr>
        <w:t xml:space="preserve"> does not require prior information on the canopy LAD to be known.</w:t>
      </w:r>
      <w:r w:rsidR="003C4600">
        <w:rPr>
          <w:rFonts w:eastAsiaTheme="minorEastAsia"/>
        </w:rPr>
        <w:t xml:space="preserve"> </w:t>
      </w:r>
      <w:r>
        <w:rPr>
          <w:rFonts w:eastAsiaTheme="minorEastAsia"/>
        </w:rPr>
        <w:t>Two widely used methods may be adopted.</w:t>
      </w:r>
      <w:r w:rsidR="003C4600">
        <w:rPr>
          <w:rFonts w:eastAsiaTheme="minorEastAsia"/>
        </w:rPr>
        <w:t xml:space="preserve"> </w:t>
      </w:r>
      <w:r>
        <w:rPr>
          <w:rFonts w:eastAsiaTheme="minorEastAsia"/>
        </w:rPr>
        <w:t xml:space="preserve">In the first, </w:t>
      </w:r>
      <w:r w:rsidR="00B33504">
        <w:rPr>
          <w:rFonts w:eastAsiaTheme="minorEastAsia"/>
        </w:rPr>
        <w:t xml:space="preserve">‘effective’ </w:t>
      </w:r>
      <w:r>
        <w:rPr>
          <w:rFonts w:eastAsiaTheme="minorEastAsia"/>
        </w:rPr>
        <w:t>LAI is derived according to</w:t>
      </w:r>
      <w:r w:rsidR="00B33504">
        <w:rPr>
          <w:rFonts w:eastAsiaTheme="minorEastAsia"/>
        </w:rPr>
        <w:t xml:space="preserve"> </w:t>
      </w:r>
      <w:r>
        <w:rPr>
          <w:rFonts w:eastAsiaTheme="minorEastAsia"/>
        </w:rPr>
        <w:fldChar w:fldCharType="begin" w:fldLock="1"/>
      </w:r>
      <w:r w:rsidR="00B60D54">
        <w:rPr>
          <w:rFonts w:eastAsiaTheme="minorEastAsia"/>
        </w:rPr>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73f03818-f4a7-44eb-88b6-eb98b0d27aa9"]}],"mendeley":{"formattedCitation":"[14]","plainTextFormattedCitation":"[14]","previouslyFormattedCitation":"[14]"},"properties":{"noteIndex":0},"schema":"https://github.com/citation-style-language/schema/raw/master/csl-citation.json"}</w:instrText>
      </w:r>
      <w:r>
        <w:rPr>
          <w:rFonts w:eastAsiaTheme="minorEastAsia"/>
        </w:rPr>
        <w:fldChar w:fldCharType="separate"/>
      </w:r>
      <w:r w:rsidR="00C51520" w:rsidRPr="00C51520">
        <w:rPr>
          <w:rFonts w:eastAsiaTheme="minorEastAsia"/>
          <w:noProof/>
        </w:rPr>
        <w:t>[14]</w:t>
      </w:r>
      <w:r>
        <w:rPr>
          <w:rFonts w:eastAsiaTheme="minorEastAsia"/>
        </w:rPr>
        <w:fldChar w:fldCharType="end"/>
      </w:r>
      <w:r>
        <w:rPr>
          <w:rFonts w:eastAsiaTheme="minorEastAsia"/>
        </w:rPr>
        <w:t>, who states that</w:t>
      </w:r>
    </w:p>
    <w:p w14:paraId="02B8814B" w14:textId="2586551F" w:rsidR="00ED18F6" w:rsidRPr="00BD3E29" w:rsidRDefault="00ED18F6" w:rsidP="00ED18F6">
      <w:pPr>
        <w:pStyle w:val="normalACRI"/>
        <w:spacing w:line="360" w:lineRule="auto"/>
        <w:rPr>
          <w:sz w:val="22"/>
          <w:szCs w:val="22"/>
        </w:rPr>
      </w:pPr>
      <m:oMathPara>
        <m:oMath>
          <m:r>
            <w:rPr>
              <w:rFonts w:ascii="Cambria Math" w:hAnsi="Cambria Math"/>
              <w:sz w:val="22"/>
              <w:szCs w:val="22"/>
            </w:rPr>
            <m:t>LAI=2</m:t>
          </m:r>
          <m:nary>
            <m:naryPr>
              <m:limLoc m:val="subSup"/>
              <m:ctrlPr>
                <w:rPr>
                  <w:rFonts w:ascii="Cambria Math" w:hAnsi="Cambria Math"/>
                  <w:i/>
                  <w:sz w:val="22"/>
                  <w:szCs w:val="22"/>
                </w:rPr>
              </m:ctrlPr>
            </m:naryPr>
            <m:sub>
              <m:r>
                <w:rPr>
                  <w:rFonts w:ascii="Cambria Math" w:hAnsi="Cambria Math"/>
                  <w:sz w:val="22"/>
                  <w:szCs w:val="22"/>
                </w:rPr>
                <m:t>0</m:t>
              </m:r>
            </m:sub>
            <m:sup>
              <m:r>
                <w:rPr>
                  <w:rFonts w:ascii="Cambria Math" w:hAnsi="Cambria Math"/>
                  <w:sz w:val="22"/>
                  <w:szCs w:val="22"/>
                </w:rPr>
                <m:t>π/2</m:t>
              </m:r>
            </m:sup>
            <m:e>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ln</m:t>
                  </m:r>
                </m:fName>
                <m:e>
                  <m:r>
                    <w:rPr>
                      <w:rFonts w:ascii="Cambria Math" w:hAnsi="Cambria Math"/>
                      <w:sz w:val="22"/>
                      <w:szCs w:val="22"/>
                    </w:rPr>
                    <m:t>P(θ)</m:t>
                  </m:r>
                </m:e>
              </m:func>
              <m:func>
                <m:funcPr>
                  <m:ctrlPr>
                    <w:rPr>
                      <w:rFonts w:ascii="Cambria Math" w:hAnsi="Cambria Math"/>
                      <w:i/>
                      <w:sz w:val="22"/>
                      <w:szCs w:val="22"/>
                    </w:rPr>
                  </m:ctrlPr>
                </m:funcPr>
                <m:fName>
                  <m:r>
                    <m:rPr>
                      <m:sty m:val="p"/>
                    </m:rPr>
                    <w:rPr>
                      <w:rFonts w:ascii="Cambria Math" w:hAnsi="Cambria Math"/>
                      <w:sz w:val="22"/>
                      <w:szCs w:val="22"/>
                    </w:rPr>
                    <m:t>cos</m:t>
                  </m:r>
                </m:fName>
                <m:e>
                  <m:r>
                    <w:rPr>
                      <w:rFonts w:ascii="Cambria Math" w:hAnsi="Cambria Math"/>
                      <w:sz w:val="22"/>
                      <w:szCs w:val="22"/>
                    </w:rPr>
                    <m:t>θ</m:t>
                  </m:r>
                  <m:func>
                    <m:funcPr>
                      <m:ctrlPr>
                        <w:rPr>
                          <w:rFonts w:ascii="Cambria Math" w:hAnsi="Cambria Math"/>
                          <w:i/>
                          <w:sz w:val="22"/>
                          <w:szCs w:val="22"/>
                        </w:rPr>
                      </m:ctrlPr>
                    </m:funcPr>
                    <m:fName>
                      <m:r>
                        <m:rPr>
                          <m:sty m:val="p"/>
                        </m:rPr>
                        <w:rPr>
                          <w:rFonts w:ascii="Cambria Math" w:hAnsi="Cambria Math"/>
                          <w:sz w:val="22"/>
                          <w:szCs w:val="22"/>
                        </w:rPr>
                        <m:t>sin</m:t>
                      </m:r>
                    </m:fName>
                    <m:e>
                      <m:r>
                        <w:rPr>
                          <w:rFonts w:ascii="Cambria Math" w:hAnsi="Cambria Math"/>
                          <w:sz w:val="22"/>
                          <w:szCs w:val="22"/>
                        </w:rPr>
                        <m:t>θ</m:t>
                      </m:r>
                    </m:e>
                  </m:func>
                </m:e>
              </m:func>
            </m:e>
          </m:nary>
          <m:r>
            <m:rPr>
              <m:sty m:val="p"/>
            </m:rPr>
            <w:rPr>
              <w:rFonts w:ascii="Cambria Math" w:hAnsi="Cambria Math"/>
              <w:sz w:val="22"/>
              <w:szCs w:val="22"/>
            </w:rPr>
            <m:t xml:space="preserve">d </m:t>
          </m:r>
          <m:r>
            <w:rPr>
              <w:rFonts w:ascii="Cambria Math" w:hAnsi="Cambria Math"/>
              <w:sz w:val="22"/>
              <w:szCs w:val="22"/>
            </w:rPr>
            <m:t>θ</m:t>
          </m:r>
        </m:oMath>
      </m:oMathPara>
    </w:p>
    <w:p w14:paraId="7B44C2DB" w14:textId="3DD3EA6D" w:rsidR="00ED18F6" w:rsidRDefault="00ED18F6" w:rsidP="00ED18F6">
      <w:pPr>
        <w:pStyle w:val="normalACRI"/>
        <w:spacing w:line="360" w:lineRule="auto"/>
        <w:rPr>
          <w:sz w:val="22"/>
          <w:szCs w:val="22"/>
        </w:rPr>
      </w:pPr>
      <w:r w:rsidRPr="00BD3E29">
        <w:rPr>
          <w:sz w:val="22"/>
          <w:szCs w:val="22"/>
        </w:rPr>
        <w:t xml:space="preserve">where </w:t>
      </w:r>
      <m:oMath>
        <m:r>
          <w:rPr>
            <w:rFonts w:ascii="Cambria Math" w:hAnsi="Cambria Math"/>
            <w:sz w:val="22"/>
            <w:szCs w:val="22"/>
          </w:rPr>
          <m:t>P(θ)</m:t>
        </m:r>
      </m:oMath>
      <w:r w:rsidRPr="00BD3E29">
        <w:rPr>
          <w:sz w:val="22"/>
          <w:szCs w:val="22"/>
        </w:rPr>
        <w:t xml:space="preserve"> is the gap fraction at zenith angle </w:t>
      </w:r>
      <m:oMath>
        <m:r>
          <w:rPr>
            <w:rFonts w:ascii="Cambria Math" w:hAnsi="Cambria Math"/>
            <w:sz w:val="22"/>
            <w:szCs w:val="22"/>
          </w:rPr>
          <m:t>θ</m:t>
        </m:r>
      </m:oMath>
      <w:r w:rsidRPr="00BD3E29">
        <w:rPr>
          <w:sz w:val="22"/>
          <w:szCs w:val="22"/>
        </w:rPr>
        <w:t>.</w:t>
      </w:r>
      <w:r w:rsidR="003C4600">
        <w:rPr>
          <w:sz w:val="22"/>
          <w:szCs w:val="22"/>
        </w:rPr>
        <w:t xml:space="preserve"> </w:t>
      </w:r>
      <w:r>
        <w:rPr>
          <w:sz w:val="22"/>
          <w:szCs w:val="22"/>
        </w:rPr>
        <w:t>By measuring gap fraction at multiple zenith angles, a discretised version of this integral can be solved as</w:t>
      </w:r>
    </w:p>
    <w:p w14:paraId="17F436A3" w14:textId="156A9E81" w:rsidR="00ED18F6" w:rsidRPr="00876FD6" w:rsidRDefault="00ED18F6" w:rsidP="00ED18F6">
      <w:pPr>
        <w:pStyle w:val="normalACRI"/>
        <w:spacing w:line="360" w:lineRule="auto"/>
        <w:rPr>
          <w:sz w:val="22"/>
          <w:szCs w:val="22"/>
        </w:rPr>
      </w:pPr>
      <m:oMathPara>
        <m:oMath>
          <m:r>
            <w:rPr>
              <w:rFonts w:ascii="Cambria Math" w:hAnsi="Cambria Math"/>
              <w:sz w:val="22"/>
              <w:szCs w:val="22"/>
            </w:rPr>
            <m:t>LAI=2</m:t>
          </m:r>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m:t>
              </m:r>
              <m:func>
                <m:funcPr>
                  <m:ctrlPr>
                    <w:rPr>
                      <w:rFonts w:ascii="Cambria Math" w:hAnsi="Cambria Math"/>
                      <w:i/>
                      <w:sz w:val="22"/>
                      <w:szCs w:val="22"/>
                    </w:rPr>
                  </m:ctrlPr>
                </m:funcPr>
                <m:fName>
                  <m:r>
                    <m:rPr>
                      <m:sty m:val="p"/>
                    </m:rPr>
                    <w:rPr>
                      <w:rFonts w:ascii="Cambria Math" w:hAnsi="Cambria Math"/>
                      <w:sz w:val="22"/>
                      <w:szCs w:val="22"/>
                    </w:rPr>
                    <m:t>ln</m:t>
                  </m:r>
                </m:fName>
                <m:e>
                  <m:bar>
                    <m:barPr>
                      <m:pos m:val="top"/>
                      <m:ctrlPr>
                        <w:rPr>
                          <w:rFonts w:ascii="Cambria Math" w:hAnsi="Cambria Math"/>
                          <w:i/>
                          <w:sz w:val="22"/>
                          <w:szCs w:val="22"/>
                        </w:rPr>
                      </m:ctrlPr>
                    </m:barPr>
                    <m:e>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e>
                      </m:d>
                    </m:e>
                  </m:bar>
                </m:e>
              </m:func>
              <m:func>
                <m:funcPr>
                  <m:ctrlPr>
                    <w:rPr>
                      <w:rFonts w:ascii="Cambria Math" w:hAnsi="Cambria Math"/>
                      <w:i/>
                      <w:sz w:val="22"/>
                      <w:szCs w:val="22"/>
                    </w:rPr>
                  </m:ctrlPr>
                </m:funcPr>
                <m:fName>
                  <m:r>
                    <m:rPr>
                      <m:sty m:val="p"/>
                    </m:rPr>
                    <w:rPr>
                      <w:rFonts w:ascii="Cambria Math" w:hAnsi="Cambria Math"/>
                      <w:sz w:val="22"/>
                      <w:szCs w:val="22"/>
                    </w:rPr>
                    <m:t>cos</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e>
                  </m:func>
                </m:e>
              </m:func>
              <m:func>
                <m:funcPr>
                  <m:ctrlPr>
                    <w:rPr>
                      <w:rFonts w:ascii="Cambria Math" w:hAnsi="Cambria Math"/>
                      <w:i/>
                      <w:sz w:val="22"/>
                      <w:szCs w:val="22"/>
                    </w:rPr>
                  </m:ctrlPr>
                </m:funcPr>
                <m:fName>
                  <m:r>
                    <m:rPr>
                      <m:sty m:val="p"/>
                    </m:rPr>
                    <w:rPr>
                      <w:rFonts w:ascii="Cambria Math" w:hAnsi="Cambria Math"/>
                    </w:rPr>
                    <m:t>d</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e>
              </m:func>
            </m:e>
          </m:nary>
        </m:oMath>
      </m:oMathPara>
    </w:p>
    <w:p w14:paraId="0EE0C4FD" w14:textId="54F6E96D" w:rsidR="00ED18F6" w:rsidRDefault="00ED18F6" w:rsidP="00FD3124">
      <w:pPr>
        <w:pStyle w:val="normalACRI"/>
        <w:spacing w:after="0" w:line="360" w:lineRule="auto"/>
        <w:rPr>
          <w:sz w:val="22"/>
          <w:szCs w:val="22"/>
        </w:rPr>
      </w:pPr>
      <w:r>
        <w:rPr>
          <w:sz w:val="22"/>
          <w:szCs w:val="22"/>
        </w:rPr>
        <w:lastRenderedPageBreak/>
        <w:t xml:space="preserve">where </w:t>
      </w:r>
      <m:oMath>
        <m:bar>
          <m:barPr>
            <m:pos m:val="top"/>
            <m:ctrlPr>
              <w:rPr>
                <w:rFonts w:ascii="Cambria Math" w:hAnsi="Cambria Math"/>
                <w:i/>
                <w:sz w:val="22"/>
                <w:szCs w:val="22"/>
              </w:rPr>
            </m:ctrlPr>
          </m:barPr>
          <m:e>
            <m:r>
              <w:rPr>
                <w:rFonts w:ascii="Cambria Math" w:hAnsi="Cambria Math"/>
                <w:sz w:val="22"/>
                <w:szCs w:val="22"/>
              </w:rPr>
              <m:t>P</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e>
            </m:d>
          </m:e>
        </m:bar>
      </m:oMath>
      <w:r>
        <w:rPr>
          <w:sz w:val="22"/>
          <w:szCs w:val="22"/>
        </w:rPr>
        <w:t xml:space="preserve"> is the mean gap fraction in zenith ring </w:t>
      </w:r>
      <m:oMath>
        <m:r>
          <w:rPr>
            <w:rFonts w:ascii="Cambria Math" w:hAnsi="Cambria Math"/>
            <w:sz w:val="22"/>
            <w:szCs w:val="22"/>
          </w:rPr>
          <m:t>i</m:t>
        </m:r>
      </m:oMath>
      <w:r>
        <w:rPr>
          <w:sz w:val="22"/>
          <w:szCs w:val="22"/>
        </w:rPr>
        <w:t xml:space="preserve">. </w:t>
      </w:r>
    </w:p>
    <w:p w14:paraId="05504596" w14:textId="77777777" w:rsidR="00C71500" w:rsidRPr="000043E3" w:rsidRDefault="00C71500" w:rsidP="00FD3124">
      <w:pPr>
        <w:spacing w:after="0" w:line="360" w:lineRule="auto"/>
        <w:jc w:val="both"/>
        <w:rPr>
          <w:rFonts w:eastAsiaTheme="minorEastAsia"/>
        </w:rPr>
      </w:pPr>
    </w:p>
    <w:p w14:paraId="738A3154" w14:textId="58108DE5" w:rsidR="00C71500" w:rsidRDefault="00C71500" w:rsidP="00C71500">
      <w:pPr>
        <w:pStyle w:val="Caption"/>
        <w:keepNext/>
        <w:jc w:val="center"/>
      </w:pPr>
      <w:bookmarkStart w:id="31" w:name="_Toc41595354"/>
      <w:r>
        <w:t xml:space="preserve">Table </w:t>
      </w:r>
      <w:fldSimple w:instr=" SEQ Table \* ARABIC ">
        <w:r>
          <w:rPr>
            <w:noProof/>
          </w:rPr>
          <w:t>1</w:t>
        </w:r>
      </w:fldSimple>
      <w:r>
        <w:t xml:space="preserve">: </w:t>
      </w:r>
      <w:r w:rsidRPr="00D00665">
        <w:t>Typical values of x for different crops</w:t>
      </w:r>
      <w:r w:rsidR="00132903">
        <w:t xml:space="preserve"> </w:t>
      </w:r>
      <w:r w:rsidR="00132903">
        <w:fldChar w:fldCharType="begin" w:fldLock="1"/>
      </w:r>
      <w:r w:rsidR="00132903">
        <w:instrText>ADDIN CSL_CITATION {"citationItems":[{"id":"ITEM-1","itemData":{"ISBN":"5093325600","author":[{"dropping-particle":"","family":"Meter Group","given":"","non-dropping-particle":"","parse-names":false,"suffix":""}],"container-title":"Decagon Devices, Inc.","id":"ITEM-1","issued":{"date-parts":[["2018"]]},"publisher":"Meter Group","publisher-place":"Pullman, Washington, United States","title":"AccuPAR PAR/LAI Ceptometer: Model LP-80","type":"book"},"uris":["http://www.mendeley.com/documents/?uuid=8b08c0b2-7ee4-4ef5-996c-9b113db26b1a"]}],"mendeley":{"formattedCitation":"[15]","plainTextFormattedCitation":"[15]","previouslyFormattedCitation":"[15]"},"properties":{"noteIndex":0},"schema":"https://github.com/citation-style-language/schema/raw/master/csl-citation.json"}</w:instrText>
      </w:r>
      <w:r w:rsidR="00132903">
        <w:fldChar w:fldCharType="separate"/>
      </w:r>
      <w:r w:rsidR="00132903" w:rsidRPr="00132903">
        <w:rPr>
          <w:i w:val="0"/>
          <w:noProof/>
        </w:rPr>
        <w:t>[15]</w:t>
      </w:r>
      <w:r w:rsidR="00132903">
        <w:fldChar w:fldCharType="end"/>
      </w:r>
      <w:r w:rsidRPr="00D00665">
        <w:t>.</w:t>
      </w:r>
      <w:bookmarkEnd w:id="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71500" w:rsidRPr="002971D1" w14:paraId="4739318A" w14:textId="77777777" w:rsidTr="007B6892">
        <w:tc>
          <w:tcPr>
            <w:tcW w:w="4508" w:type="dxa"/>
            <w:tcBorders>
              <w:top w:val="single" w:sz="4" w:space="0" w:color="auto"/>
              <w:bottom w:val="single" w:sz="4" w:space="0" w:color="auto"/>
            </w:tcBorders>
          </w:tcPr>
          <w:p w14:paraId="1793594E" w14:textId="77777777" w:rsidR="00C71500" w:rsidRPr="002971D1" w:rsidRDefault="00C71500" w:rsidP="007B6892">
            <w:pPr>
              <w:jc w:val="center"/>
              <w:rPr>
                <w:rFonts w:eastAsiaTheme="minorEastAsia"/>
                <w:b/>
                <w:bCs/>
              </w:rPr>
            </w:pPr>
            <w:r w:rsidRPr="002971D1">
              <w:rPr>
                <w:rFonts w:eastAsiaTheme="minorEastAsia"/>
                <w:b/>
                <w:bCs/>
              </w:rPr>
              <w:t>Crop</w:t>
            </w:r>
          </w:p>
        </w:tc>
        <w:tc>
          <w:tcPr>
            <w:tcW w:w="4508" w:type="dxa"/>
            <w:tcBorders>
              <w:top w:val="single" w:sz="4" w:space="0" w:color="auto"/>
              <w:bottom w:val="single" w:sz="4" w:space="0" w:color="auto"/>
            </w:tcBorders>
          </w:tcPr>
          <w:p w14:paraId="0AD5CD7F" w14:textId="77777777" w:rsidR="00C71500" w:rsidRPr="00755B1A" w:rsidRDefault="00C71500" w:rsidP="007B6892">
            <w:pPr>
              <w:jc w:val="center"/>
              <w:rPr>
                <w:rFonts w:eastAsiaTheme="minorEastAsia"/>
                <w:b/>
                <w:bCs/>
              </w:rPr>
            </w:pPr>
            <m:oMathPara>
              <m:oMathParaPr>
                <m:jc m:val="center"/>
              </m:oMathParaPr>
              <m:oMath>
                <m:r>
                  <m:rPr>
                    <m:sty m:val="bi"/>
                  </m:rPr>
                  <w:rPr>
                    <w:rFonts w:ascii="Cambria Math" w:eastAsiaTheme="minorEastAsia" w:hAnsi="Cambria Math"/>
                  </w:rPr>
                  <m:t>x</m:t>
                </m:r>
              </m:oMath>
            </m:oMathPara>
          </w:p>
        </w:tc>
      </w:tr>
      <w:tr w:rsidR="00C71500" w14:paraId="1D94125B" w14:textId="77777777" w:rsidTr="007B6892">
        <w:tc>
          <w:tcPr>
            <w:tcW w:w="4508" w:type="dxa"/>
            <w:tcBorders>
              <w:top w:val="single" w:sz="4" w:space="0" w:color="auto"/>
            </w:tcBorders>
          </w:tcPr>
          <w:p w14:paraId="782E6202" w14:textId="77777777" w:rsidR="00C71500" w:rsidRPr="00DF5B72" w:rsidRDefault="00C71500" w:rsidP="007B6892">
            <w:pPr>
              <w:jc w:val="center"/>
              <w:rPr>
                <w:rFonts w:eastAsiaTheme="minorEastAsia"/>
              </w:rPr>
            </w:pPr>
            <w:r w:rsidRPr="00DF5B72">
              <w:rPr>
                <w:rFonts w:eastAsiaTheme="minorEastAsia"/>
              </w:rPr>
              <w:t>Ryegrass</w:t>
            </w:r>
          </w:p>
        </w:tc>
        <w:tc>
          <w:tcPr>
            <w:tcW w:w="4508" w:type="dxa"/>
            <w:tcBorders>
              <w:top w:val="single" w:sz="4" w:space="0" w:color="auto"/>
            </w:tcBorders>
          </w:tcPr>
          <w:p w14:paraId="2672CFA1" w14:textId="77777777" w:rsidR="00C71500" w:rsidRPr="00DF5B72" w:rsidRDefault="00C71500" w:rsidP="007B6892">
            <w:pPr>
              <w:jc w:val="center"/>
              <w:rPr>
                <w:rFonts w:eastAsiaTheme="minorEastAsia"/>
              </w:rPr>
            </w:pPr>
            <w:r w:rsidRPr="00DF5B72">
              <w:rPr>
                <w:rFonts w:eastAsiaTheme="minorEastAsia"/>
              </w:rPr>
              <w:t>0.67 to 2.47</w:t>
            </w:r>
          </w:p>
        </w:tc>
      </w:tr>
      <w:tr w:rsidR="00C71500" w14:paraId="5666F53E" w14:textId="77777777" w:rsidTr="007B6892">
        <w:tc>
          <w:tcPr>
            <w:tcW w:w="4508" w:type="dxa"/>
          </w:tcPr>
          <w:p w14:paraId="5490EFBE" w14:textId="77777777" w:rsidR="00C71500" w:rsidRPr="00DF5B72" w:rsidRDefault="00C71500" w:rsidP="007B6892">
            <w:pPr>
              <w:jc w:val="center"/>
              <w:rPr>
                <w:rFonts w:eastAsiaTheme="minorEastAsia"/>
              </w:rPr>
            </w:pPr>
            <w:r w:rsidRPr="00DF5B72">
              <w:rPr>
                <w:rFonts w:eastAsiaTheme="minorEastAsia"/>
              </w:rPr>
              <w:t>Mazie</w:t>
            </w:r>
          </w:p>
        </w:tc>
        <w:tc>
          <w:tcPr>
            <w:tcW w:w="4508" w:type="dxa"/>
          </w:tcPr>
          <w:p w14:paraId="574A3F30" w14:textId="77777777" w:rsidR="00C71500" w:rsidRPr="00DF5B72" w:rsidRDefault="00C71500" w:rsidP="007B6892">
            <w:pPr>
              <w:jc w:val="center"/>
              <w:rPr>
                <w:rFonts w:eastAsiaTheme="minorEastAsia"/>
              </w:rPr>
            </w:pPr>
            <w:r w:rsidRPr="00DF5B72">
              <w:rPr>
                <w:rFonts w:eastAsiaTheme="minorEastAsia"/>
              </w:rPr>
              <w:t>0.76 to 2.52</w:t>
            </w:r>
          </w:p>
        </w:tc>
      </w:tr>
      <w:tr w:rsidR="00C71500" w14:paraId="5B957DD8" w14:textId="77777777" w:rsidTr="007B6892">
        <w:tc>
          <w:tcPr>
            <w:tcW w:w="4508" w:type="dxa"/>
          </w:tcPr>
          <w:p w14:paraId="46DB3F70" w14:textId="77777777" w:rsidR="00C71500" w:rsidRPr="00DF5B72" w:rsidRDefault="00C71500" w:rsidP="007B6892">
            <w:pPr>
              <w:jc w:val="center"/>
              <w:rPr>
                <w:rFonts w:eastAsiaTheme="minorEastAsia"/>
              </w:rPr>
            </w:pPr>
            <w:r w:rsidRPr="00DF5B72">
              <w:rPr>
                <w:rFonts w:eastAsiaTheme="minorEastAsia"/>
              </w:rPr>
              <w:t>Rye</w:t>
            </w:r>
          </w:p>
        </w:tc>
        <w:tc>
          <w:tcPr>
            <w:tcW w:w="4508" w:type="dxa"/>
          </w:tcPr>
          <w:p w14:paraId="641D8573" w14:textId="77777777" w:rsidR="00C71500" w:rsidRPr="00DF5B72" w:rsidRDefault="00C71500" w:rsidP="007B6892">
            <w:pPr>
              <w:jc w:val="center"/>
              <w:rPr>
                <w:rFonts w:eastAsiaTheme="minorEastAsia"/>
              </w:rPr>
            </w:pPr>
            <w:r w:rsidRPr="00DF5B72">
              <w:rPr>
                <w:rFonts w:eastAsiaTheme="minorEastAsia"/>
              </w:rPr>
              <w:t>0.80 to 1.27</w:t>
            </w:r>
          </w:p>
        </w:tc>
      </w:tr>
      <w:tr w:rsidR="00C71500" w14:paraId="52E6CB8B" w14:textId="77777777" w:rsidTr="007B6892">
        <w:tc>
          <w:tcPr>
            <w:tcW w:w="4508" w:type="dxa"/>
          </w:tcPr>
          <w:p w14:paraId="1109A4FC" w14:textId="77777777" w:rsidR="00C71500" w:rsidRPr="00DF5B72" w:rsidRDefault="00C71500" w:rsidP="007B6892">
            <w:pPr>
              <w:jc w:val="center"/>
              <w:rPr>
                <w:rFonts w:eastAsiaTheme="minorEastAsia"/>
              </w:rPr>
            </w:pPr>
            <w:r w:rsidRPr="00DF5B72">
              <w:rPr>
                <w:rFonts w:eastAsiaTheme="minorEastAsia"/>
              </w:rPr>
              <w:t>Wheat</w:t>
            </w:r>
          </w:p>
        </w:tc>
        <w:tc>
          <w:tcPr>
            <w:tcW w:w="4508" w:type="dxa"/>
          </w:tcPr>
          <w:p w14:paraId="3A0AFF09" w14:textId="77777777" w:rsidR="00C71500" w:rsidRPr="00DF5B72" w:rsidRDefault="00C71500" w:rsidP="007B6892">
            <w:pPr>
              <w:jc w:val="center"/>
              <w:rPr>
                <w:rFonts w:eastAsiaTheme="minorEastAsia"/>
              </w:rPr>
            </w:pPr>
            <w:r w:rsidRPr="00DF5B72">
              <w:rPr>
                <w:rFonts w:eastAsiaTheme="minorEastAsia"/>
              </w:rPr>
              <w:t>0.96</w:t>
            </w:r>
          </w:p>
        </w:tc>
      </w:tr>
      <w:tr w:rsidR="00C71500" w14:paraId="44011D8F" w14:textId="77777777" w:rsidTr="007B6892">
        <w:tc>
          <w:tcPr>
            <w:tcW w:w="4508" w:type="dxa"/>
          </w:tcPr>
          <w:p w14:paraId="7B1B7413" w14:textId="77777777" w:rsidR="00C71500" w:rsidRPr="00DF5B72" w:rsidRDefault="00C71500" w:rsidP="007B6892">
            <w:pPr>
              <w:jc w:val="center"/>
              <w:rPr>
                <w:rFonts w:eastAsiaTheme="minorEastAsia"/>
              </w:rPr>
            </w:pPr>
            <w:r w:rsidRPr="00DF5B72">
              <w:rPr>
                <w:rFonts w:eastAsiaTheme="minorEastAsia"/>
              </w:rPr>
              <w:t>Barely</w:t>
            </w:r>
          </w:p>
        </w:tc>
        <w:tc>
          <w:tcPr>
            <w:tcW w:w="4508" w:type="dxa"/>
          </w:tcPr>
          <w:p w14:paraId="67410246" w14:textId="77777777" w:rsidR="00C71500" w:rsidRPr="00DF5B72" w:rsidRDefault="00C71500" w:rsidP="007B6892">
            <w:pPr>
              <w:jc w:val="center"/>
              <w:rPr>
                <w:rFonts w:eastAsiaTheme="minorEastAsia"/>
              </w:rPr>
            </w:pPr>
            <w:r w:rsidRPr="00DF5B72">
              <w:rPr>
                <w:rFonts w:eastAsiaTheme="minorEastAsia"/>
              </w:rPr>
              <w:t>1.20</w:t>
            </w:r>
          </w:p>
        </w:tc>
      </w:tr>
      <w:tr w:rsidR="00C71500" w14:paraId="1472DB48" w14:textId="77777777" w:rsidTr="007B6892">
        <w:tc>
          <w:tcPr>
            <w:tcW w:w="4508" w:type="dxa"/>
          </w:tcPr>
          <w:p w14:paraId="79D7C087" w14:textId="77777777" w:rsidR="00C71500" w:rsidRPr="00DF5B72" w:rsidRDefault="00C71500" w:rsidP="007B6892">
            <w:pPr>
              <w:jc w:val="center"/>
              <w:rPr>
                <w:rFonts w:eastAsiaTheme="minorEastAsia"/>
              </w:rPr>
            </w:pPr>
            <w:r w:rsidRPr="00DF5B72">
              <w:rPr>
                <w:rFonts w:eastAsiaTheme="minorEastAsia"/>
              </w:rPr>
              <w:t>Timothy</w:t>
            </w:r>
          </w:p>
        </w:tc>
        <w:tc>
          <w:tcPr>
            <w:tcW w:w="4508" w:type="dxa"/>
          </w:tcPr>
          <w:p w14:paraId="6501E31E" w14:textId="77777777" w:rsidR="00C71500" w:rsidRPr="00DF5B72" w:rsidRDefault="00C71500" w:rsidP="007B6892">
            <w:pPr>
              <w:jc w:val="center"/>
              <w:rPr>
                <w:rFonts w:eastAsiaTheme="minorEastAsia"/>
              </w:rPr>
            </w:pPr>
            <w:r w:rsidRPr="00DF5B72">
              <w:rPr>
                <w:rFonts w:eastAsiaTheme="minorEastAsia"/>
              </w:rPr>
              <w:t>1.13</w:t>
            </w:r>
          </w:p>
        </w:tc>
      </w:tr>
      <w:tr w:rsidR="00C71500" w14:paraId="7F663184" w14:textId="77777777" w:rsidTr="007B6892">
        <w:tc>
          <w:tcPr>
            <w:tcW w:w="4508" w:type="dxa"/>
          </w:tcPr>
          <w:p w14:paraId="1553036B" w14:textId="77777777" w:rsidR="00C71500" w:rsidRPr="00DF5B72" w:rsidRDefault="00C71500" w:rsidP="007B6892">
            <w:pPr>
              <w:jc w:val="center"/>
              <w:rPr>
                <w:rFonts w:eastAsiaTheme="minorEastAsia"/>
              </w:rPr>
            </w:pPr>
            <w:r w:rsidRPr="00DF5B72">
              <w:rPr>
                <w:rFonts w:eastAsiaTheme="minorEastAsia"/>
              </w:rPr>
              <w:t>Sorghum</w:t>
            </w:r>
          </w:p>
        </w:tc>
        <w:tc>
          <w:tcPr>
            <w:tcW w:w="4508" w:type="dxa"/>
          </w:tcPr>
          <w:p w14:paraId="2CB6E46F" w14:textId="77777777" w:rsidR="00C71500" w:rsidRPr="00DF5B72" w:rsidRDefault="00C71500" w:rsidP="007B6892">
            <w:pPr>
              <w:jc w:val="center"/>
              <w:rPr>
                <w:rFonts w:eastAsiaTheme="minorEastAsia"/>
              </w:rPr>
            </w:pPr>
            <w:r w:rsidRPr="00DF5B72">
              <w:rPr>
                <w:rFonts w:eastAsiaTheme="minorEastAsia"/>
              </w:rPr>
              <w:t>1.43</w:t>
            </w:r>
          </w:p>
        </w:tc>
      </w:tr>
      <w:tr w:rsidR="00C71500" w14:paraId="0782595D" w14:textId="77777777" w:rsidTr="007B6892">
        <w:tc>
          <w:tcPr>
            <w:tcW w:w="4508" w:type="dxa"/>
          </w:tcPr>
          <w:p w14:paraId="0E8681D4" w14:textId="77777777" w:rsidR="00C71500" w:rsidRPr="00DF5B72" w:rsidRDefault="00C71500" w:rsidP="007B6892">
            <w:pPr>
              <w:jc w:val="center"/>
              <w:rPr>
                <w:rFonts w:eastAsiaTheme="minorEastAsia"/>
              </w:rPr>
            </w:pPr>
            <w:r w:rsidRPr="00DF5B72">
              <w:rPr>
                <w:rFonts w:eastAsiaTheme="minorEastAsia"/>
              </w:rPr>
              <w:t>Lucerne</w:t>
            </w:r>
          </w:p>
        </w:tc>
        <w:tc>
          <w:tcPr>
            <w:tcW w:w="4508" w:type="dxa"/>
          </w:tcPr>
          <w:p w14:paraId="592F52A5" w14:textId="77777777" w:rsidR="00C71500" w:rsidRPr="00DF5B72" w:rsidRDefault="00C71500" w:rsidP="007B6892">
            <w:pPr>
              <w:jc w:val="center"/>
              <w:rPr>
                <w:rFonts w:eastAsiaTheme="minorEastAsia"/>
              </w:rPr>
            </w:pPr>
            <w:r w:rsidRPr="00DF5B72">
              <w:rPr>
                <w:rFonts w:eastAsiaTheme="minorEastAsia"/>
              </w:rPr>
              <w:t>1.54</w:t>
            </w:r>
          </w:p>
        </w:tc>
      </w:tr>
      <w:tr w:rsidR="00C71500" w14:paraId="3E3ED48B" w14:textId="77777777" w:rsidTr="007B6892">
        <w:tc>
          <w:tcPr>
            <w:tcW w:w="4508" w:type="dxa"/>
          </w:tcPr>
          <w:p w14:paraId="2EAAFAF6" w14:textId="77777777" w:rsidR="00C71500" w:rsidRPr="00DF5B72" w:rsidRDefault="00C71500" w:rsidP="007B6892">
            <w:pPr>
              <w:jc w:val="center"/>
              <w:rPr>
                <w:rFonts w:eastAsiaTheme="minorEastAsia"/>
              </w:rPr>
            </w:pPr>
            <w:proofErr w:type="spellStart"/>
            <w:r w:rsidRPr="00DF5B72">
              <w:rPr>
                <w:rFonts w:eastAsiaTheme="minorEastAsia"/>
              </w:rPr>
              <w:t>Hyrbrid</w:t>
            </w:r>
            <w:proofErr w:type="spellEnd"/>
            <w:r w:rsidRPr="00DF5B72">
              <w:rPr>
                <w:rFonts w:eastAsiaTheme="minorEastAsia"/>
              </w:rPr>
              <w:t xml:space="preserve"> Swede</w:t>
            </w:r>
          </w:p>
        </w:tc>
        <w:tc>
          <w:tcPr>
            <w:tcW w:w="4508" w:type="dxa"/>
          </w:tcPr>
          <w:p w14:paraId="706A6F5A" w14:textId="77777777" w:rsidR="00C71500" w:rsidRPr="00DF5B72" w:rsidRDefault="00C71500" w:rsidP="007B6892">
            <w:pPr>
              <w:jc w:val="center"/>
              <w:rPr>
                <w:rFonts w:eastAsiaTheme="minorEastAsia"/>
              </w:rPr>
            </w:pPr>
            <w:r w:rsidRPr="00DF5B72">
              <w:rPr>
                <w:rFonts w:eastAsiaTheme="minorEastAsia"/>
              </w:rPr>
              <w:t>1.29 to 1.81</w:t>
            </w:r>
          </w:p>
        </w:tc>
      </w:tr>
      <w:tr w:rsidR="00C71500" w14:paraId="7D26D18D" w14:textId="77777777" w:rsidTr="007B6892">
        <w:tc>
          <w:tcPr>
            <w:tcW w:w="4508" w:type="dxa"/>
          </w:tcPr>
          <w:p w14:paraId="0B6CB449" w14:textId="77777777" w:rsidR="00C71500" w:rsidRPr="00DF5B72" w:rsidRDefault="00C71500" w:rsidP="007B6892">
            <w:pPr>
              <w:jc w:val="center"/>
              <w:rPr>
                <w:rFonts w:eastAsiaTheme="minorEastAsia"/>
              </w:rPr>
            </w:pPr>
            <w:r w:rsidRPr="00DF5B72">
              <w:rPr>
                <w:rFonts w:eastAsiaTheme="minorEastAsia"/>
              </w:rPr>
              <w:t>Sugar Beet</w:t>
            </w:r>
          </w:p>
        </w:tc>
        <w:tc>
          <w:tcPr>
            <w:tcW w:w="4508" w:type="dxa"/>
          </w:tcPr>
          <w:p w14:paraId="644D1B8D" w14:textId="77777777" w:rsidR="00C71500" w:rsidRPr="00DF5B72" w:rsidRDefault="00C71500" w:rsidP="007B6892">
            <w:pPr>
              <w:jc w:val="center"/>
              <w:rPr>
                <w:rFonts w:eastAsiaTheme="minorEastAsia"/>
              </w:rPr>
            </w:pPr>
            <w:r w:rsidRPr="00DF5B72">
              <w:rPr>
                <w:rFonts w:eastAsiaTheme="minorEastAsia"/>
              </w:rPr>
              <w:t>1.46 to 1.88</w:t>
            </w:r>
          </w:p>
        </w:tc>
      </w:tr>
      <w:tr w:rsidR="00C71500" w14:paraId="2AD0C1EF" w14:textId="77777777" w:rsidTr="007B6892">
        <w:tc>
          <w:tcPr>
            <w:tcW w:w="4508" w:type="dxa"/>
          </w:tcPr>
          <w:p w14:paraId="55420C8D" w14:textId="77777777" w:rsidR="00C71500" w:rsidRPr="00DF5B72" w:rsidRDefault="00C71500" w:rsidP="007B6892">
            <w:pPr>
              <w:jc w:val="center"/>
              <w:rPr>
                <w:rFonts w:eastAsiaTheme="minorEastAsia"/>
              </w:rPr>
            </w:pPr>
            <w:r w:rsidRPr="00DF5B72">
              <w:rPr>
                <w:rFonts w:eastAsiaTheme="minorEastAsia"/>
              </w:rPr>
              <w:t>Rape</w:t>
            </w:r>
          </w:p>
        </w:tc>
        <w:tc>
          <w:tcPr>
            <w:tcW w:w="4508" w:type="dxa"/>
          </w:tcPr>
          <w:p w14:paraId="61E860A7" w14:textId="77777777" w:rsidR="00C71500" w:rsidRPr="00DF5B72" w:rsidRDefault="00C71500" w:rsidP="007B6892">
            <w:pPr>
              <w:jc w:val="center"/>
              <w:rPr>
                <w:rFonts w:eastAsiaTheme="minorEastAsia"/>
              </w:rPr>
            </w:pPr>
            <w:r w:rsidRPr="00DF5B72">
              <w:rPr>
                <w:rFonts w:eastAsiaTheme="minorEastAsia"/>
              </w:rPr>
              <w:t>1.92 to 2.13</w:t>
            </w:r>
          </w:p>
        </w:tc>
      </w:tr>
      <w:tr w:rsidR="00C71500" w14:paraId="447681FE" w14:textId="77777777" w:rsidTr="007B6892">
        <w:tc>
          <w:tcPr>
            <w:tcW w:w="4508" w:type="dxa"/>
          </w:tcPr>
          <w:p w14:paraId="25ACAA71" w14:textId="77777777" w:rsidR="00C71500" w:rsidRPr="00DF5B72" w:rsidRDefault="00C71500" w:rsidP="007B6892">
            <w:pPr>
              <w:jc w:val="center"/>
              <w:rPr>
                <w:rFonts w:eastAsiaTheme="minorEastAsia"/>
              </w:rPr>
            </w:pPr>
            <w:r w:rsidRPr="00DF5B72">
              <w:rPr>
                <w:rFonts w:eastAsiaTheme="minorEastAsia"/>
              </w:rPr>
              <w:t>Cucumber</w:t>
            </w:r>
          </w:p>
        </w:tc>
        <w:tc>
          <w:tcPr>
            <w:tcW w:w="4508" w:type="dxa"/>
          </w:tcPr>
          <w:p w14:paraId="6C1388DD" w14:textId="77777777" w:rsidR="00C71500" w:rsidRPr="00DF5B72" w:rsidRDefault="00C71500" w:rsidP="007B6892">
            <w:pPr>
              <w:jc w:val="center"/>
              <w:rPr>
                <w:rFonts w:eastAsiaTheme="minorEastAsia"/>
              </w:rPr>
            </w:pPr>
            <w:r w:rsidRPr="00DF5B72">
              <w:rPr>
                <w:rFonts w:eastAsiaTheme="minorEastAsia"/>
              </w:rPr>
              <w:t>2.17</w:t>
            </w:r>
          </w:p>
        </w:tc>
      </w:tr>
      <w:tr w:rsidR="00C71500" w14:paraId="22FA21C5" w14:textId="77777777" w:rsidTr="007B6892">
        <w:tc>
          <w:tcPr>
            <w:tcW w:w="4508" w:type="dxa"/>
          </w:tcPr>
          <w:p w14:paraId="1165C2EB" w14:textId="77777777" w:rsidR="00C71500" w:rsidRPr="00DF5B72" w:rsidRDefault="00C71500" w:rsidP="007B6892">
            <w:pPr>
              <w:jc w:val="center"/>
              <w:rPr>
                <w:rFonts w:eastAsiaTheme="minorEastAsia"/>
              </w:rPr>
            </w:pPr>
            <w:r w:rsidRPr="00DF5B72">
              <w:rPr>
                <w:rFonts w:eastAsiaTheme="minorEastAsia"/>
              </w:rPr>
              <w:t>Tobacco</w:t>
            </w:r>
          </w:p>
        </w:tc>
        <w:tc>
          <w:tcPr>
            <w:tcW w:w="4508" w:type="dxa"/>
          </w:tcPr>
          <w:p w14:paraId="07F37C74" w14:textId="77777777" w:rsidR="00C71500" w:rsidRPr="00DF5B72" w:rsidRDefault="00C71500" w:rsidP="007B6892">
            <w:pPr>
              <w:jc w:val="center"/>
              <w:rPr>
                <w:rFonts w:eastAsiaTheme="minorEastAsia"/>
              </w:rPr>
            </w:pPr>
            <w:r w:rsidRPr="00DF5B72">
              <w:rPr>
                <w:rFonts w:eastAsiaTheme="minorEastAsia"/>
              </w:rPr>
              <w:t>1.29 to 2.22</w:t>
            </w:r>
          </w:p>
        </w:tc>
      </w:tr>
      <w:tr w:rsidR="00C71500" w14:paraId="1325F42B" w14:textId="77777777" w:rsidTr="007B6892">
        <w:tc>
          <w:tcPr>
            <w:tcW w:w="4508" w:type="dxa"/>
          </w:tcPr>
          <w:p w14:paraId="70EE3BCF" w14:textId="77777777" w:rsidR="00C71500" w:rsidRPr="00DF5B72" w:rsidRDefault="00C71500" w:rsidP="007B6892">
            <w:pPr>
              <w:jc w:val="center"/>
              <w:rPr>
                <w:rFonts w:eastAsiaTheme="minorEastAsia"/>
              </w:rPr>
            </w:pPr>
            <w:r w:rsidRPr="00DF5B72">
              <w:rPr>
                <w:rFonts w:eastAsiaTheme="minorEastAsia"/>
              </w:rPr>
              <w:t>Potato</w:t>
            </w:r>
          </w:p>
        </w:tc>
        <w:tc>
          <w:tcPr>
            <w:tcW w:w="4508" w:type="dxa"/>
          </w:tcPr>
          <w:p w14:paraId="7E796BB5" w14:textId="77777777" w:rsidR="00C71500" w:rsidRPr="00DF5B72" w:rsidRDefault="00C71500" w:rsidP="007B6892">
            <w:pPr>
              <w:jc w:val="center"/>
              <w:rPr>
                <w:rFonts w:eastAsiaTheme="minorEastAsia"/>
              </w:rPr>
            </w:pPr>
            <w:r w:rsidRPr="00DF5B72">
              <w:rPr>
                <w:rFonts w:eastAsiaTheme="minorEastAsia"/>
              </w:rPr>
              <w:t>1.70 to 2.47</w:t>
            </w:r>
          </w:p>
        </w:tc>
      </w:tr>
      <w:tr w:rsidR="00C71500" w14:paraId="1862EB15" w14:textId="77777777" w:rsidTr="007B6892">
        <w:tc>
          <w:tcPr>
            <w:tcW w:w="4508" w:type="dxa"/>
          </w:tcPr>
          <w:p w14:paraId="3214E160" w14:textId="77777777" w:rsidR="00C71500" w:rsidRPr="00DF5B72" w:rsidRDefault="00C71500" w:rsidP="007B6892">
            <w:pPr>
              <w:jc w:val="center"/>
              <w:rPr>
                <w:rFonts w:eastAsiaTheme="minorEastAsia"/>
              </w:rPr>
            </w:pPr>
            <w:r w:rsidRPr="00DF5B72">
              <w:rPr>
                <w:rFonts w:eastAsiaTheme="minorEastAsia"/>
              </w:rPr>
              <w:t>Horse Bean</w:t>
            </w:r>
          </w:p>
        </w:tc>
        <w:tc>
          <w:tcPr>
            <w:tcW w:w="4508" w:type="dxa"/>
          </w:tcPr>
          <w:p w14:paraId="6616EBDA" w14:textId="77777777" w:rsidR="00C71500" w:rsidRPr="00DF5B72" w:rsidRDefault="00C71500" w:rsidP="007B6892">
            <w:pPr>
              <w:jc w:val="center"/>
              <w:rPr>
                <w:rFonts w:eastAsiaTheme="minorEastAsia"/>
              </w:rPr>
            </w:pPr>
            <w:r w:rsidRPr="00DF5B72">
              <w:rPr>
                <w:rFonts w:eastAsiaTheme="minorEastAsia"/>
              </w:rPr>
              <w:t>1.81 to 2.17</w:t>
            </w:r>
          </w:p>
        </w:tc>
      </w:tr>
      <w:tr w:rsidR="00C71500" w14:paraId="27B32AD6" w14:textId="77777777" w:rsidTr="007B6892">
        <w:tc>
          <w:tcPr>
            <w:tcW w:w="4508" w:type="dxa"/>
          </w:tcPr>
          <w:p w14:paraId="25E132C9" w14:textId="77777777" w:rsidR="00C71500" w:rsidRPr="00DF5B72" w:rsidRDefault="00C71500" w:rsidP="007B6892">
            <w:pPr>
              <w:jc w:val="center"/>
              <w:rPr>
                <w:rFonts w:eastAsiaTheme="minorEastAsia"/>
              </w:rPr>
            </w:pPr>
            <w:r w:rsidRPr="00DF5B72">
              <w:rPr>
                <w:rFonts w:eastAsiaTheme="minorEastAsia"/>
              </w:rPr>
              <w:t>Sunflower</w:t>
            </w:r>
          </w:p>
        </w:tc>
        <w:tc>
          <w:tcPr>
            <w:tcW w:w="4508" w:type="dxa"/>
          </w:tcPr>
          <w:p w14:paraId="4B661EAA" w14:textId="77777777" w:rsidR="00C71500" w:rsidRPr="00DF5B72" w:rsidRDefault="00C71500" w:rsidP="007B6892">
            <w:pPr>
              <w:jc w:val="center"/>
              <w:rPr>
                <w:rFonts w:eastAsiaTheme="minorEastAsia"/>
              </w:rPr>
            </w:pPr>
            <w:r w:rsidRPr="00DF5B72">
              <w:rPr>
                <w:rFonts w:eastAsiaTheme="minorEastAsia"/>
              </w:rPr>
              <w:t>1.81 to 2.31</w:t>
            </w:r>
          </w:p>
        </w:tc>
      </w:tr>
      <w:tr w:rsidR="00C71500" w14:paraId="3D0E2BA5" w14:textId="77777777" w:rsidTr="007B6892">
        <w:tc>
          <w:tcPr>
            <w:tcW w:w="4508" w:type="dxa"/>
          </w:tcPr>
          <w:p w14:paraId="1F7F2DBC" w14:textId="77777777" w:rsidR="00C71500" w:rsidRPr="00DF5B72" w:rsidRDefault="00C71500" w:rsidP="007B6892">
            <w:pPr>
              <w:jc w:val="center"/>
              <w:rPr>
                <w:rFonts w:eastAsiaTheme="minorEastAsia"/>
              </w:rPr>
            </w:pPr>
            <w:r w:rsidRPr="00DF5B72">
              <w:rPr>
                <w:rFonts w:eastAsiaTheme="minorEastAsia"/>
              </w:rPr>
              <w:t>White Clover</w:t>
            </w:r>
          </w:p>
        </w:tc>
        <w:tc>
          <w:tcPr>
            <w:tcW w:w="4508" w:type="dxa"/>
          </w:tcPr>
          <w:p w14:paraId="6D0A3E8A" w14:textId="77777777" w:rsidR="00C71500" w:rsidRPr="00DF5B72" w:rsidRDefault="00C71500" w:rsidP="007B6892">
            <w:pPr>
              <w:jc w:val="center"/>
              <w:rPr>
                <w:rFonts w:eastAsiaTheme="minorEastAsia"/>
              </w:rPr>
            </w:pPr>
            <w:r w:rsidRPr="00DF5B72">
              <w:rPr>
                <w:rFonts w:eastAsiaTheme="minorEastAsia"/>
              </w:rPr>
              <w:t>2.47 to 3.26</w:t>
            </w:r>
          </w:p>
        </w:tc>
      </w:tr>
      <w:tr w:rsidR="00C71500" w14:paraId="3AEB83A6" w14:textId="77777777" w:rsidTr="007B6892">
        <w:tc>
          <w:tcPr>
            <w:tcW w:w="4508" w:type="dxa"/>
            <w:tcBorders>
              <w:bottom w:val="nil"/>
            </w:tcBorders>
          </w:tcPr>
          <w:p w14:paraId="63AD27FD" w14:textId="77777777" w:rsidR="00C71500" w:rsidRPr="00DF5B72" w:rsidRDefault="00C71500" w:rsidP="007B6892">
            <w:pPr>
              <w:jc w:val="center"/>
              <w:rPr>
                <w:rFonts w:eastAsiaTheme="minorEastAsia"/>
              </w:rPr>
            </w:pPr>
            <w:r w:rsidRPr="00DF5B72">
              <w:rPr>
                <w:rFonts w:eastAsiaTheme="minorEastAsia"/>
              </w:rPr>
              <w:t>Strawberry</w:t>
            </w:r>
          </w:p>
        </w:tc>
        <w:tc>
          <w:tcPr>
            <w:tcW w:w="4508" w:type="dxa"/>
            <w:tcBorders>
              <w:bottom w:val="nil"/>
            </w:tcBorders>
          </w:tcPr>
          <w:p w14:paraId="04E406F4" w14:textId="77777777" w:rsidR="00C71500" w:rsidRPr="00DF5B72" w:rsidRDefault="00C71500" w:rsidP="007B6892">
            <w:pPr>
              <w:jc w:val="center"/>
              <w:rPr>
                <w:rFonts w:eastAsiaTheme="minorEastAsia"/>
              </w:rPr>
            </w:pPr>
            <w:r w:rsidRPr="00DF5B72">
              <w:rPr>
                <w:rFonts w:eastAsiaTheme="minorEastAsia"/>
              </w:rPr>
              <w:t>3.03</w:t>
            </w:r>
          </w:p>
        </w:tc>
      </w:tr>
      <w:tr w:rsidR="00C71500" w14:paraId="686935B5" w14:textId="77777777" w:rsidTr="007B6892">
        <w:tc>
          <w:tcPr>
            <w:tcW w:w="4508" w:type="dxa"/>
            <w:tcBorders>
              <w:top w:val="nil"/>
              <w:bottom w:val="single" w:sz="4" w:space="0" w:color="auto"/>
            </w:tcBorders>
          </w:tcPr>
          <w:p w14:paraId="78265C4E" w14:textId="77777777" w:rsidR="00C71500" w:rsidRPr="00DF5B72" w:rsidRDefault="00C71500" w:rsidP="007B6892">
            <w:pPr>
              <w:jc w:val="center"/>
              <w:rPr>
                <w:rFonts w:eastAsiaTheme="minorEastAsia"/>
              </w:rPr>
            </w:pPr>
            <w:r w:rsidRPr="00DF5B72">
              <w:rPr>
                <w:rFonts w:eastAsiaTheme="minorEastAsia"/>
              </w:rPr>
              <w:t>Jerusalem Artichoke</w:t>
            </w:r>
          </w:p>
        </w:tc>
        <w:tc>
          <w:tcPr>
            <w:tcW w:w="4508" w:type="dxa"/>
            <w:tcBorders>
              <w:top w:val="nil"/>
              <w:bottom w:val="single" w:sz="4" w:space="0" w:color="auto"/>
            </w:tcBorders>
          </w:tcPr>
          <w:p w14:paraId="72B016D7" w14:textId="77777777" w:rsidR="00C71500" w:rsidRPr="00DF5B72" w:rsidRDefault="00C71500" w:rsidP="007B6892">
            <w:pPr>
              <w:jc w:val="center"/>
              <w:rPr>
                <w:rFonts w:eastAsiaTheme="minorEastAsia"/>
              </w:rPr>
            </w:pPr>
            <w:r w:rsidRPr="00DF5B72">
              <w:rPr>
                <w:rFonts w:eastAsiaTheme="minorEastAsia"/>
              </w:rPr>
              <w:t>2.16</w:t>
            </w:r>
          </w:p>
        </w:tc>
      </w:tr>
    </w:tbl>
    <w:p w14:paraId="273E477C" w14:textId="77777777" w:rsidR="00C71500" w:rsidRPr="00C01D5A" w:rsidRDefault="00C71500" w:rsidP="00C71500">
      <w:pPr>
        <w:jc w:val="both"/>
        <w:rPr>
          <w:rFonts w:eastAsiaTheme="minorEastAsia"/>
        </w:rPr>
      </w:pPr>
    </w:p>
    <w:p w14:paraId="5FF1D31C" w14:textId="6B70F12F" w:rsidR="00ED18F6" w:rsidRPr="00BD3E29" w:rsidRDefault="00ED18F6" w:rsidP="00ED18F6">
      <w:pPr>
        <w:pStyle w:val="normalACRI"/>
        <w:spacing w:line="360" w:lineRule="auto"/>
        <w:rPr>
          <w:sz w:val="22"/>
          <w:szCs w:val="22"/>
        </w:rPr>
      </w:pPr>
      <w:r>
        <w:rPr>
          <w:sz w:val="22"/>
          <w:szCs w:val="22"/>
        </w:rPr>
        <w:t>The second method ma</w:t>
      </w:r>
      <w:r w:rsidRPr="00BD3E29">
        <w:rPr>
          <w:sz w:val="22"/>
          <w:szCs w:val="22"/>
        </w:rPr>
        <w:t>kes use of gap fraction measurements at a single zenith angle.</w:t>
      </w:r>
      <w:r w:rsidR="003C4600">
        <w:rPr>
          <w:sz w:val="22"/>
          <w:szCs w:val="22"/>
        </w:rPr>
        <w:t xml:space="preserve"> </w:t>
      </w:r>
      <w:r w:rsidRPr="00BD3E29">
        <w:rPr>
          <w:sz w:val="22"/>
          <w:szCs w:val="22"/>
        </w:rPr>
        <w:t>At 57.5°, also known as the hinge angle, the gap fraction can be considered nearly independent of LAD.</w:t>
      </w:r>
      <w:r w:rsidR="003C4600">
        <w:rPr>
          <w:sz w:val="22"/>
          <w:szCs w:val="22"/>
        </w:rPr>
        <w:t xml:space="preserve"> </w:t>
      </w:r>
      <w:r w:rsidRPr="00BD3E29">
        <w:rPr>
          <w:sz w:val="22"/>
          <w:szCs w:val="22"/>
        </w:rPr>
        <w:t xml:space="preserve">Thus, </w:t>
      </w:r>
      <w:r>
        <w:rPr>
          <w:sz w:val="22"/>
          <w:szCs w:val="22"/>
        </w:rPr>
        <w:t>L</w:t>
      </w:r>
      <w:r w:rsidRPr="00BD3E29">
        <w:rPr>
          <w:sz w:val="22"/>
          <w:szCs w:val="22"/>
        </w:rPr>
        <w:t>AI can be determined</w:t>
      </w:r>
      <w:r>
        <w:rPr>
          <w:sz w:val="22"/>
          <w:szCs w:val="22"/>
        </w:rPr>
        <w:t xml:space="preserve"> according to </w:t>
      </w:r>
      <w:r>
        <w:rPr>
          <w:sz w:val="22"/>
          <w:szCs w:val="22"/>
        </w:rPr>
        <w:fldChar w:fldCharType="begin" w:fldLock="1"/>
      </w:r>
      <w:r w:rsidR="00132903">
        <w:rPr>
          <w:sz w:val="22"/>
          <w:szCs w:val="22"/>
        </w:rPr>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17bdf8d9-6cf0-4d8d-8d45-7f4122f9892f"]}],"mendeley":{"formattedCitation":"[16]","plainTextFormattedCitation":"[16]","previouslyFormattedCitation":"[16]"},"properties":{"noteIndex":0},"schema":"https://github.com/citation-style-language/schema/raw/master/csl-citation.json"}</w:instrText>
      </w:r>
      <w:r>
        <w:rPr>
          <w:sz w:val="22"/>
          <w:szCs w:val="22"/>
        </w:rPr>
        <w:fldChar w:fldCharType="separate"/>
      </w:r>
      <w:r w:rsidR="00132903" w:rsidRPr="00132903">
        <w:rPr>
          <w:noProof/>
          <w:sz w:val="22"/>
          <w:szCs w:val="22"/>
        </w:rPr>
        <w:t>[16]</w:t>
      </w:r>
      <w:r>
        <w:rPr>
          <w:sz w:val="22"/>
          <w:szCs w:val="22"/>
        </w:rPr>
        <w:fldChar w:fldCharType="end"/>
      </w:r>
      <w:r>
        <w:rPr>
          <w:sz w:val="22"/>
          <w:szCs w:val="22"/>
        </w:rPr>
        <w:t xml:space="preserve"> </w:t>
      </w:r>
      <w:r w:rsidRPr="00BD3E29">
        <w:rPr>
          <w:sz w:val="22"/>
          <w:szCs w:val="22"/>
        </w:rPr>
        <w:t>as</w:t>
      </w:r>
      <w:r>
        <w:rPr>
          <w:sz w:val="22"/>
          <w:szCs w:val="22"/>
        </w:rPr>
        <w:t>:</w:t>
      </w:r>
    </w:p>
    <w:p w14:paraId="5B3CB1A9" w14:textId="66C6F82C" w:rsidR="00ED18F6" w:rsidRPr="001066D2" w:rsidRDefault="00ED18F6" w:rsidP="00ED18F6">
      <w:pPr>
        <w:spacing w:line="360" w:lineRule="auto"/>
        <w:jc w:val="both"/>
        <w:rPr>
          <w:rFonts w:ascii="Calibri" w:eastAsia="Times New Roman" w:hAnsi="Calibri" w:cs="Times New Roman"/>
        </w:rPr>
      </w:pPr>
      <m:oMathPara>
        <m:oMath>
          <m:r>
            <m:rPr>
              <m:sty m:val="p"/>
            </m:rPr>
            <w:rPr>
              <w:rFonts w:ascii="Cambria Math" w:hAnsi="Cambria Math"/>
            </w:rPr>
            <w:br/>
          </m:r>
        </m:oMath>
        <m:oMath>
          <m:r>
            <w:rPr>
              <w:rFonts w:ascii="Cambria Math" w:hAnsi="Cambria Math"/>
            </w:rPr>
            <m:t xml:space="preserve">LAI= </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ln</m:t>
                  </m:r>
                </m:fName>
                <m:e>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57.5</m:t>
                          </m:r>
                          <m:r>
                            <m:rPr>
                              <m:sty m:val="p"/>
                            </m:rPr>
                            <w:rPr>
                              <w:rFonts w:ascii="Cambria Math" w:hAnsi="Cambria Math"/>
                            </w:rPr>
                            <m:t>°</m:t>
                          </m:r>
                        </m:sub>
                      </m:sSub>
                      <m:r>
                        <w:rPr>
                          <w:rFonts w:ascii="Cambria Math" w:hAnsi="Cambria Math"/>
                        </w:rPr>
                        <m:t>)</m:t>
                      </m:r>
                    </m:e>
                  </m:bar>
                </m:e>
              </m:func>
            </m:num>
            <m:den>
              <m:r>
                <w:rPr>
                  <w:rFonts w:ascii="Cambria Math" w:hAnsi="Cambria Math"/>
                </w:rPr>
                <m:t>0.93</m:t>
              </m:r>
            </m:den>
          </m:f>
          <m:r>
            <m:rPr>
              <m:sty m:val="p"/>
            </m:rPr>
            <w:rPr>
              <w:rFonts w:ascii="Calibri" w:eastAsia="Times New Roman" w:hAnsi="Calibri" w:cs="Times New Roman"/>
            </w:rPr>
            <w:br/>
          </m:r>
        </m:oMath>
      </m:oMathPara>
    </w:p>
    <w:p w14:paraId="42788E17" w14:textId="77777777" w:rsidR="00ED18F6" w:rsidRDefault="00ED18F6" w:rsidP="00ED18F6">
      <w:pPr>
        <w:spacing w:line="360" w:lineRule="auto"/>
        <w:jc w:val="both"/>
      </w:pPr>
      <w:r w:rsidRPr="00BD3E29">
        <w:t xml:space="preserve">where </w:t>
      </w:r>
      <m:oMath>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57.5</m:t>
                </m:r>
                <m:r>
                  <m:rPr>
                    <m:sty m:val="p"/>
                  </m:rPr>
                  <w:rPr>
                    <w:rFonts w:ascii="Cambria Math" w:hAnsi="Cambria Math"/>
                  </w:rPr>
                  <m:t>°</m:t>
                </m:r>
              </m:sub>
            </m:sSub>
            <m:r>
              <w:rPr>
                <w:rFonts w:ascii="Cambria Math" w:hAnsi="Cambria Math"/>
              </w:rPr>
              <m:t>)</m:t>
            </m:r>
          </m:e>
        </m:bar>
      </m:oMath>
      <w:r w:rsidRPr="00BD3E29">
        <w:t xml:space="preserve"> is t</w:t>
      </w:r>
      <w:r>
        <w:t xml:space="preserve">he mean gap fraction at a zenith angle </w:t>
      </w:r>
      <w:proofErr w:type="gramStart"/>
      <w:r>
        <w:t xml:space="preserve">of </w:t>
      </w:r>
      <w:r w:rsidRPr="00BD3E29">
        <w:t>57.5°</w:t>
      </w:r>
      <w:r>
        <w:t>.</w:t>
      </w:r>
      <w:proofErr w:type="gramEnd"/>
    </w:p>
    <w:p w14:paraId="25EFDF33" w14:textId="099A7B61" w:rsidR="00ED18F6" w:rsidRDefault="00ED18F6" w:rsidP="00ED18F6">
      <w:pPr>
        <w:spacing w:line="360" w:lineRule="auto"/>
        <w:jc w:val="both"/>
      </w:pPr>
      <w:r>
        <w:t>It is important to note that all</w:t>
      </w:r>
      <w:r w:rsidRPr="00BD3E29">
        <w:t xml:space="preserve"> of the previously described indirect techniques rely on the assumption of randomly distributed foliage, and thus</w:t>
      </w:r>
      <w:r>
        <w:t xml:space="preserve"> provide an ‘effective’ measurement that is</w:t>
      </w:r>
      <w:r w:rsidRPr="00BD3E29">
        <w:t xml:space="preserve"> li</w:t>
      </w:r>
      <w:r>
        <w:t>kely to underestimate the ‘true’ L</w:t>
      </w:r>
      <w:r w:rsidRPr="00BD3E29">
        <w:t>AI as determined by destructive sampling.</w:t>
      </w:r>
      <w:r w:rsidR="003C4600">
        <w:t xml:space="preserve"> </w:t>
      </w:r>
      <w:r w:rsidRPr="00BD3E29">
        <w:t>This is because in a real canopy, varying degrees of foliage clumping are observed.</w:t>
      </w:r>
      <w:r w:rsidR="003C4600">
        <w:t xml:space="preserve"> </w:t>
      </w:r>
      <w:r w:rsidRPr="00BD3E29">
        <w:t>The degree of foliage clumping can be d</w:t>
      </w:r>
      <w:r>
        <w:t>escribed by the clumping index</w:t>
      </w:r>
      <w:r w:rsidRPr="00BD3E29">
        <w:t xml:space="preserve">, which is equal to </w:t>
      </w:r>
      <w:r>
        <w:t>one</w:t>
      </w:r>
      <w:r w:rsidRPr="00BD3E29">
        <w:t xml:space="preserve"> when foliage is randomly distributed, but less than </w:t>
      </w:r>
      <w:r>
        <w:t>one</w:t>
      </w:r>
      <w:r w:rsidRPr="00BD3E29">
        <w:t xml:space="preserve"> when foliage is </w:t>
      </w:r>
      <w:r>
        <w:t>clumped.</w:t>
      </w:r>
    </w:p>
    <w:p w14:paraId="7E526F01" w14:textId="484B52C6" w:rsidR="00ED18F6" w:rsidRDefault="00ED18F6" w:rsidP="00ED18F6">
      <w:pPr>
        <w:spacing w:line="360" w:lineRule="auto"/>
        <w:jc w:val="both"/>
      </w:pPr>
      <w:r>
        <w:lastRenderedPageBreak/>
        <w:t xml:space="preserve">Where multiple measurements of gap fraction are available at a given zenith angle, </w:t>
      </w:r>
      <w:r>
        <w:fldChar w:fldCharType="begin" w:fldLock="1"/>
      </w:r>
      <w:r w:rsidR="00132903">
        <w:instrText>ADDIN CSL_CITATION {"citationItems":[{"id":"ITEM-1","itemData":{"DOI":"10.1016/0168-1923(86)90033-X","ISBN":"0168-1923","ISSN":"01681923","PMID":"346","author":[{"dropping-particle":"","family":"Lang","given":"A R G","non-dropping-particle":"","parse-names":false,"suffix":""},{"dropping-particle":"","family":"Yueqin","given":"Xiang","non-dropping-particle":"","parse-names":false,"suffix":""}],"container-title":"Agricultural and Forest Meteorology","id":"ITEM-1","issue":"3","issued":{"date-parts":[["1986"]]},"page":"229-243","title":"Estimation of leaf area index from transmission of direct sunlight in discontinuous canopies","type":"article-journal","volume":"37"},"uris":["http://www.mendeley.com/documents/?uuid=ce5b1714-3d07-4ae0-878c-2f2644a764e9"]}],"mendeley":{"formattedCitation":"[17]","plainTextFormattedCitation":"[17]","previouslyFormattedCitation":"[17]"},"properties":{"noteIndex":0},"schema":"https://github.com/citation-style-language/schema/raw/master/csl-citation.json"}</w:instrText>
      </w:r>
      <w:r>
        <w:fldChar w:fldCharType="separate"/>
      </w:r>
      <w:r w:rsidR="00132903" w:rsidRPr="00132903">
        <w:rPr>
          <w:noProof/>
        </w:rPr>
        <w:t>[17]</w:t>
      </w:r>
      <w:r>
        <w:fldChar w:fldCharType="end"/>
      </w:r>
      <w:r>
        <w:t xml:space="preserve"> propose a method to account for the effects of foliage clumping.</w:t>
      </w:r>
      <w:r w:rsidR="003C4600">
        <w:t xml:space="preserve"> </w:t>
      </w:r>
      <w:r>
        <w:t>The method relies on calculating the mean of the natural logarithm of gap fraction values as opposed to the natural logarithm of mean gap fraction values and enables the ‘true’ LAI to be assessed.</w:t>
      </w:r>
      <w:r w:rsidR="003C4600">
        <w:t xml:space="preserve"> </w:t>
      </w:r>
      <w:r>
        <w:t>The scale of foliage clumping accounted for is dependent on that of the available measurements.</w:t>
      </w:r>
      <w:r w:rsidR="003C4600">
        <w:t xml:space="preserve"> </w:t>
      </w:r>
      <w:r>
        <w:t>For example, when applied to measurements performed with the LAI-2200C, the method can only account for foliage clumping at scales greater than the FOV of the instrument itself.</w:t>
      </w:r>
      <w:r w:rsidR="003C4600">
        <w:t xml:space="preserve"> </w:t>
      </w:r>
      <w:r>
        <w:t xml:space="preserve">In the case of DHP, because each zenith ring can be divided into </w:t>
      </w:r>
      <w:proofErr w:type="gramStart"/>
      <w:r>
        <w:t>a number of</w:t>
      </w:r>
      <w:proofErr w:type="gramEnd"/>
      <w:r>
        <w:t xml:space="preserve"> small azimuth cells, the effects of foliage clumping can be accounted for at both the within crown and between crown scales.</w:t>
      </w:r>
    </w:p>
    <w:p w14:paraId="3B798481" w14:textId="32A71813" w:rsidR="00ED18F6" w:rsidRDefault="00ED18F6" w:rsidP="00ED18F6">
      <w:pPr>
        <w:spacing w:line="360" w:lineRule="auto"/>
        <w:jc w:val="both"/>
      </w:pPr>
      <w:r>
        <w:t>A range of software packages are available to process DHP images, including the freely available CAN-EYE, DHP-</w:t>
      </w:r>
      <w:proofErr w:type="spellStart"/>
      <w:r>
        <w:t>TRACWin</w:t>
      </w:r>
      <w:proofErr w:type="spellEnd"/>
      <w:r>
        <w:t xml:space="preserve">, and Gap Light Analyser, in addition to the commercial </w:t>
      </w:r>
      <w:proofErr w:type="spellStart"/>
      <w:r>
        <w:t>Hemisfer</w:t>
      </w:r>
      <w:proofErr w:type="spellEnd"/>
      <w:r>
        <w:t xml:space="preserve">, </w:t>
      </w:r>
      <w:proofErr w:type="spellStart"/>
      <w:r>
        <w:t>HemiView</w:t>
      </w:r>
      <w:proofErr w:type="spellEnd"/>
      <w:r>
        <w:t xml:space="preserve">, and </w:t>
      </w:r>
      <w:proofErr w:type="spellStart"/>
      <w:r>
        <w:t>WinSCANOPY</w:t>
      </w:r>
      <w:proofErr w:type="spellEnd"/>
      <w:r>
        <w:t>.</w:t>
      </w:r>
      <w:r w:rsidR="003C4600">
        <w:t xml:space="preserve"> </w:t>
      </w:r>
      <w:r>
        <w:t>CAN-EYE, which was developed within the framework of the VALERI project and is widely used in satellite product validation, is the software package adopted within the FRM4VEG project.</w:t>
      </w:r>
      <w:r w:rsidR="003C4600">
        <w:t xml:space="preserve"> </w:t>
      </w:r>
      <w:r>
        <w:t>In addition to the analysis methods described above, it implements several methods based on look-up-table (LUT) inversion.</w:t>
      </w:r>
      <w:r w:rsidR="003C4600">
        <w:t xml:space="preserve"> </w:t>
      </w:r>
      <w:r>
        <w:t>These are thought better able to handle processing images with a restricted FOV (i.e. to avoid mixed pixels at the edge of the image).</w:t>
      </w:r>
      <w:r w:rsidR="003C4600">
        <w:t xml:space="preserve"> </w:t>
      </w:r>
      <w:r>
        <w:t>Unlike several other software packages, its image classification procedures are well</w:t>
      </w:r>
      <w:r w:rsidR="00B33504">
        <w:t>-</w:t>
      </w:r>
      <w:r>
        <w:t xml:space="preserve">suited to both upwards and downwards facing images </w:t>
      </w:r>
      <w:r>
        <w:fldChar w:fldCharType="begin" w:fldLock="1"/>
      </w:r>
      <w:r w:rsidR="00132903">
        <w:instrText>ADDIN CSL_CITATION {"citationItems":[{"id":"ITEM-1","itemData":{"author":[{"dropping-particle":"","family":"Weiss","given":"M","non-dropping-particle":"","parse-names":false,"suffix":""},{"dropping-particle":"","family":"Baret","given":"F","non-dropping-particle":"","parse-names":false,"suffix":""}],"id":"ITEM-1","issued":{"date-parts":[["2017"]]},"publisher":"Institut National de la Recherche Agronomique","publisher-place":"Avignon, France","title":"CAN-EYE V6.4.91 User Manual","type":"book"},"uris":["http://www.mendeley.com/documents/?uuid=8a5b1745-c3f3-4339-9154-7d2a6136d02a"]}],"mendeley":{"formattedCitation":"[18]","plainTextFormattedCitation":"[18]","previouslyFormattedCitation":"[18]"},"properties":{"noteIndex":0},"schema":"https://github.com/citation-style-language/schema/raw/master/csl-citation.json"}</w:instrText>
      </w:r>
      <w:r>
        <w:fldChar w:fldCharType="separate"/>
      </w:r>
      <w:r w:rsidR="00132903" w:rsidRPr="00132903">
        <w:rPr>
          <w:noProof/>
        </w:rPr>
        <w:t>[18]</w:t>
      </w:r>
      <w:r>
        <w:fldChar w:fldCharType="end"/>
      </w:r>
      <w:r>
        <w:t>.</w:t>
      </w:r>
    </w:p>
    <w:p w14:paraId="531D4867" w14:textId="4CC2DD40" w:rsidR="000043E3" w:rsidRDefault="00ED18F6" w:rsidP="00ED18F6">
      <w:pPr>
        <w:spacing w:line="360" w:lineRule="auto"/>
        <w:jc w:val="both"/>
      </w:pPr>
      <w:r>
        <w:t xml:space="preserve">As is the case for FIPAR, when DHP is adopted in a forest environment, separate measurements of the understory and overstory may be performed </w:t>
      </w:r>
      <w:r w:rsidRPr="004072CC">
        <w:t xml:space="preserve">using </w:t>
      </w:r>
      <w:r>
        <w:t>upwards and downwards facing images.</w:t>
      </w:r>
      <w:r w:rsidR="003C4600">
        <w:t xml:space="preserve"> </w:t>
      </w:r>
      <w:r>
        <w:t>In this case, they should be added to provide the total LAI as</w:t>
      </w:r>
    </w:p>
    <w:p w14:paraId="234F50A2" w14:textId="2B255AE8" w:rsidR="00ED18F6" w:rsidRDefault="00ED18F6" w:rsidP="00ED18F6">
      <w:pPr>
        <w:spacing w:line="360" w:lineRule="auto"/>
        <w:jc w:val="both"/>
      </w:pPr>
      <w:r>
        <w:rPr>
          <w:rFonts w:eastAsiaTheme="minorEastAsia"/>
        </w:rPr>
        <w:br/>
      </w:r>
      <m:oMathPara>
        <m:oMath>
          <m:sSub>
            <m:sSubPr>
              <m:ctrlPr>
                <w:rPr>
                  <w:rFonts w:ascii="Cambria Math" w:hAnsi="Cambria Math"/>
                  <w:i/>
                </w:rPr>
              </m:ctrlPr>
            </m:sSubPr>
            <m:e>
              <m:r>
                <w:rPr>
                  <w:rFonts w:ascii="Cambria Math" w:hAnsi="Cambria Math"/>
                </w:rPr>
                <m:t>LAI</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LAI</m:t>
              </m:r>
            </m:e>
            <m:sub>
              <m:r>
                <w:rPr>
                  <w:rFonts w:ascii="Cambria Math" w:hAnsi="Cambria Math"/>
                </w:rPr>
                <m:t>up</m:t>
              </m:r>
            </m:sub>
          </m:sSub>
          <m:r>
            <w:rPr>
              <w:rFonts w:ascii="Cambria Math" w:hAnsi="Cambria Math"/>
            </w:rPr>
            <m:t>+</m:t>
          </m:r>
          <m:sSub>
            <m:sSubPr>
              <m:ctrlPr>
                <w:rPr>
                  <w:rFonts w:ascii="Cambria Math" w:hAnsi="Cambria Math"/>
                  <w:i/>
                </w:rPr>
              </m:ctrlPr>
            </m:sSubPr>
            <m:e>
              <m:r>
                <w:rPr>
                  <w:rFonts w:ascii="Cambria Math" w:hAnsi="Cambria Math"/>
                </w:rPr>
                <m:t>LAI</m:t>
              </m:r>
            </m:e>
            <m:sub>
              <m:r>
                <w:rPr>
                  <w:rFonts w:ascii="Cambria Math" w:hAnsi="Cambria Math"/>
                </w:rPr>
                <m:t>down</m:t>
              </m:r>
            </m:sub>
          </m:sSub>
        </m:oMath>
      </m:oMathPara>
    </w:p>
    <w:p w14:paraId="34D50AEE" w14:textId="0636AB23" w:rsidR="00ED18F6" w:rsidRDefault="00ED18F6" w:rsidP="00FD3124">
      <w:pPr>
        <w:spacing w:after="0" w:line="360" w:lineRule="auto"/>
        <w:jc w:val="both"/>
        <w:rPr>
          <w:rFonts w:eastAsiaTheme="minorEastAsia"/>
        </w:rPr>
      </w:pPr>
      <w:r>
        <w:br/>
        <w:t xml:space="preserve">where </w:t>
      </w:r>
      <m:oMath>
        <m:sSub>
          <m:sSubPr>
            <m:ctrlPr>
              <w:rPr>
                <w:rFonts w:ascii="Cambria Math" w:hAnsi="Cambria Math"/>
                <w:i/>
              </w:rPr>
            </m:ctrlPr>
          </m:sSubPr>
          <m:e>
            <m:r>
              <w:rPr>
                <w:rFonts w:ascii="Cambria Math" w:hAnsi="Cambria Math"/>
              </w:rPr>
              <m:t>LAI</m:t>
            </m:r>
          </m:e>
          <m:sub>
            <m:r>
              <w:rPr>
                <w:rFonts w:ascii="Cambria Math" w:hAnsi="Cambria Math"/>
              </w:rPr>
              <m:t>up</m:t>
            </m:r>
          </m:sub>
        </m:sSub>
      </m:oMath>
      <w:r>
        <w:rPr>
          <w:rFonts w:eastAsiaTheme="minorEastAsia"/>
        </w:rPr>
        <w:t xml:space="preserve"> and </w:t>
      </w:r>
      <m:oMath>
        <m:sSub>
          <m:sSubPr>
            <m:ctrlPr>
              <w:rPr>
                <w:rFonts w:ascii="Cambria Math" w:hAnsi="Cambria Math"/>
                <w:i/>
              </w:rPr>
            </m:ctrlPr>
          </m:sSubPr>
          <m:e>
            <m:r>
              <w:rPr>
                <w:rFonts w:ascii="Cambria Math" w:hAnsi="Cambria Math"/>
              </w:rPr>
              <m:t>LAI</m:t>
            </m:r>
          </m:e>
          <m:sub>
            <m:r>
              <w:rPr>
                <w:rFonts w:ascii="Cambria Math" w:hAnsi="Cambria Math"/>
              </w:rPr>
              <m:t>down</m:t>
            </m:r>
          </m:sub>
        </m:sSub>
      </m:oMath>
      <w:r>
        <w:rPr>
          <w:rFonts w:eastAsiaTheme="minorEastAsia"/>
        </w:rPr>
        <w:t xml:space="preserve"> are the LAI values obtained from upwards and downwards facing DHP, respectively.</w:t>
      </w:r>
    </w:p>
    <w:p w14:paraId="7A5003A0" w14:textId="6AA80DE1" w:rsidR="00ED18F6" w:rsidRDefault="00ED18F6" w:rsidP="00FD3124">
      <w:pPr>
        <w:spacing w:after="0" w:line="360" w:lineRule="auto"/>
        <w:jc w:val="both"/>
        <w:rPr>
          <w:rFonts w:eastAsiaTheme="minorEastAsia"/>
        </w:rPr>
      </w:pPr>
    </w:p>
    <w:p w14:paraId="2BC36C6B" w14:textId="77777777" w:rsidR="00FD3124" w:rsidRPr="00FD3124" w:rsidRDefault="00FD3124" w:rsidP="00FD3124">
      <w:pPr>
        <w:pStyle w:val="ListParagraph"/>
        <w:keepNext/>
        <w:keepLines/>
        <w:numPr>
          <w:ilvl w:val="0"/>
          <w:numId w:val="4"/>
        </w:numPr>
        <w:spacing w:before="240" w:after="0"/>
        <w:contextualSpacing w:val="0"/>
        <w:outlineLvl w:val="0"/>
        <w:rPr>
          <w:rFonts w:asciiTheme="majorHAnsi" w:eastAsiaTheme="majorEastAsia" w:hAnsiTheme="majorHAnsi" w:cstheme="majorBidi"/>
          <w:vanish/>
          <w:color w:val="005596" w:themeColor="text2"/>
          <w:sz w:val="32"/>
          <w:szCs w:val="32"/>
        </w:rPr>
      </w:pPr>
      <w:bookmarkStart w:id="32" w:name="_Toc41428970"/>
      <w:bookmarkStart w:id="33" w:name="_Toc41468455"/>
      <w:bookmarkStart w:id="34" w:name="_Toc41595295"/>
      <w:bookmarkStart w:id="35" w:name="_Toc44514736"/>
      <w:bookmarkStart w:id="36" w:name="_Toc44515961"/>
      <w:bookmarkEnd w:id="32"/>
      <w:bookmarkEnd w:id="33"/>
      <w:bookmarkEnd w:id="34"/>
      <w:bookmarkEnd w:id="35"/>
      <w:bookmarkEnd w:id="36"/>
    </w:p>
    <w:p w14:paraId="2EA8FC52" w14:textId="77777777" w:rsidR="00FD3124" w:rsidRPr="00FD3124" w:rsidRDefault="00FD3124" w:rsidP="00FD3124">
      <w:pPr>
        <w:pStyle w:val="ListParagraph"/>
        <w:keepNext/>
        <w:keepLines/>
        <w:numPr>
          <w:ilvl w:val="1"/>
          <w:numId w:val="4"/>
        </w:numPr>
        <w:spacing w:before="40" w:after="0"/>
        <w:contextualSpacing w:val="0"/>
        <w:outlineLvl w:val="1"/>
        <w:rPr>
          <w:rFonts w:asciiTheme="majorHAnsi" w:eastAsiaTheme="majorEastAsia" w:hAnsiTheme="majorHAnsi" w:cstheme="majorBidi"/>
          <w:vanish/>
          <w:color w:val="005596" w:themeColor="text2"/>
          <w:sz w:val="26"/>
          <w:szCs w:val="26"/>
        </w:rPr>
      </w:pPr>
      <w:bookmarkStart w:id="37" w:name="_Toc41428971"/>
      <w:bookmarkStart w:id="38" w:name="_Toc41468456"/>
      <w:bookmarkStart w:id="39" w:name="_Toc41595296"/>
      <w:bookmarkStart w:id="40" w:name="_Toc44514737"/>
      <w:bookmarkStart w:id="41" w:name="_Toc44515962"/>
      <w:bookmarkEnd w:id="37"/>
      <w:bookmarkEnd w:id="38"/>
      <w:bookmarkEnd w:id="39"/>
      <w:bookmarkEnd w:id="40"/>
      <w:bookmarkEnd w:id="41"/>
    </w:p>
    <w:p w14:paraId="15FC1321" w14:textId="77777777" w:rsidR="00FD3124" w:rsidRPr="00FD3124" w:rsidRDefault="00FD3124" w:rsidP="00FD3124">
      <w:pPr>
        <w:pStyle w:val="ListParagraph"/>
        <w:keepNext/>
        <w:keepLines/>
        <w:numPr>
          <w:ilvl w:val="1"/>
          <w:numId w:val="4"/>
        </w:numPr>
        <w:spacing w:before="40" w:after="0"/>
        <w:contextualSpacing w:val="0"/>
        <w:outlineLvl w:val="1"/>
        <w:rPr>
          <w:rFonts w:asciiTheme="majorHAnsi" w:eastAsiaTheme="majorEastAsia" w:hAnsiTheme="majorHAnsi" w:cstheme="majorBidi"/>
          <w:vanish/>
          <w:color w:val="005596" w:themeColor="text2"/>
          <w:sz w:val="26"/>
          <w:szCs w:val="26"/>
        </w:rPr>
      </w:pPr>
      <w:bookmarkStart w:id="42" w:name="_Toc41428972"/>
      <w:bookmarkStart w:id="43" w:name="_Toc41468457"/>
      <w:bookmarkStart w:id="44" w:name="_Toc41595297"/>
      <w:bookmarkStart w:id="45" w:name="_Toc44514738"/>
      <w:bookmarkStart w:id="46" w:name="_Toc44515963"/>
      <w:bookmarkEnd w:id="42"/>
      <w:bookmarkEnd w:id="43"/>
      <w:bookmarkEnd w:id="44"/>
      <w:bookmarkEnd w:id="45"/>
      <w:bookmarkEnd w:id="46"/>
    </w:p>
    <w:p w14:paraId="321118FA" w14:textId="77777777" w:rsidR="00FD3124" w:rsidRPr="00FD3124" w:rsidRDefault="00FD3124" w:rsidP="00FD3124">
      <w:pPr>
        <w:pStyle w:val="ListParagraph"/>
        <w:keepNext/>
        <w:keepLines/>
        <w:numPr>
          <w:ilvl w:val="2"/>
          <w:numId w:val="4"/>
        </w:numPr>
        <w:spacing w:before="40" w:after="0"/>
        <w:contextualSpacing w:val="0"/>
        <w:outlineLvl w:val="2"/>
        <w:rPr>
          <w:rFonts w:asciiTheme="majorHAnsi" w:eastAsiaTheme="majorEastAsia" w:hAnsiTheme="majorHAnsi" w:cstheme="majorBidi"/>
          <w:vanish/>
          <w:color w:val="0066B6" w:themeColor="accent1" w:themeShade="7F"/>
          <w:sz w:val="24"/>
          <w:szCs w:val="24"/>
        </w:rPr>
      </w:pPr>
      <w:bookmarkStart w:id="47" w:name="_Toc41428973"/>
      <w:bookmarkStart w:id="48" w:name="_Toc41468458"/>
      <w:bookmarkStart w:id="49" w:name="_Toc41595298"/>
      <w:bookmarkStart w:id="50" w:name="_Toc44514739"/>
      <w:bookmarkStart w:id="51" w:name="_Toc44515964"/>
      <w:bookmarkEnd w:id="47"/>
      <w:bookmarkEnd w:id="48"/>
      <w:bookmarkEnd w:id="49"/>
      <w:bookmarkEnd w:id="50"/>
      <w:bookmarkEnd w:id="51"/>
    </w:p>
    <w:p w14:paraId="4A3C513B" w14:textId="0B3958D2" w:rsidR="00B74AEC" w:rsidRPr="000E3FB6" w:rsidRDefault="00E12A1F" w:rsidP="00FD3124">
      <w:pPr>
        <w:pStyle w:val="Heading3"/>
      </w:pPr>
      <w:bookmarkStart w:id="52" w:name="_Toc44515965"/>
      <w:r>
        <w:t>LCC Principles of Measurement</w:t>
      </w:r>
      <w:bookmarkEnd w:id="52"/>
    </w:p>
    <w:p w14:paraId="07051117" w14:textId="77777777" w:rsidR="00B74AEC" w:rsidRDefault="00B74AEC" w:rsidP="0069303D">
      <w:pPr>
        <w:spacing w:after="0"/>
      </w:pPr>
    </w:p>
    <w:p w14:paraId="70285F47" w14:textId="5EE21AD5" w:rsidR="00B74AEC" w:rsidRDefault="00B74AEC" w:rsidP="00FD3124">
      <w:pPr>
        <w:spacing w:after="0" w:line="360" w:lineRule="auto"/>
        <w:jc w:val="both"/>
      </w:pPr>
      <w:r>
        <w:t>The direct determination of LCC necessitates destructive sampling.</w:t>
      </w:r>
      <w:r w:rsidR="003C4600">
        <w:t xml:space="preserve"> </w:t>
      </w:r>
      <w:r>
        <w:t>The procedure involves the removal of a portion of the leaf with a known area (i.e. using a cork borer or hole punch).</w:t>
      </w:r>
      <w:r w:rsidR="003C4600">
        <w:t xml:space="preserve"> </w:t>
      </w:r>
      <w:r>
        <w:t>The sample is then placed in a solvent such as acetone, methanol, chloroform, dimethyl-ether, dimethyl-formamide (DMF) or dimethyl-</w:t>
      </w:r>
      <w:proofErr w:type="spellStart"/>
      <w:r>
        <w:t>sulphoxide</w:t>
      </w:r>
      <w:proofErr w:type="spellEnd"/>
      <w:r>
        <w:t xml:space="preserve"> (</w:t>
      </w:r>
      <w:r w:rsidR="00C85B6C" w:rsidRPr="00902631">
        <w:t>D</w:t>
      </w:r>
      <w:r w:rsidR="00C85B6C">
        <w:t>MSO</w:t>
      </w:r>
      <w:r>
        <w:t>), facilitating the extraction of pigments in solution</w:t>
      </w:r>
      <w:r w:rsidR="00B8290A">
        <w:t xml:space="preserve"> </w:t>
      </w:r>
      <w:r w:rsidR="00B8290A">
        <w:lastRenderedPageBreak/>
        <w:t>(Table 2)</w:t>
      </w:r>
      <w:r>
        <w:t>.</w:t>
      </w:r>
      <w:r w:rsidR="003C4600">
        <w:t xml:space="preserve"> </w:t>
      </w:r>
      <w:r>
        <w:t>Solvents such as acetone, methanol and ethanol necessitate grinding of the leaf tissue, whereas complete extraction can be achieved by means of immersion when using DMF and DMSO</w:t>
      </w:r>
      <w:r w:rsidR="00C85B6C">
        <w:t xml:space="preserve"> </w:t>
      </w:r>
      <w:r>
        <w:fldChar w:fldCharType="begin" w:fldLock="1"/>
      </w:r>
      <w:r w:rsidR="00132903">
        <w:instrText>ADDIN CSL_CITATION {"citationItems":[{"id":"ITEM-1","itemData":{"DOI":"10.1111/pce.12324","ISBN":"1365-3040","ISSN":"01407791","PMID":"24635697","author":[{"dropping-particle":"","family":"Parry","given":"Christopher","non-dropping-particle":"","parse-names":false,"suffix":""},{"dropping-particle":"","family":"Blonquist","given":"J Mark","non-dropping-particle":"","parse-names":false,"suffix":""},{"dropping-particle":"","family":"Bugbee","given":"Bruce","non-dropping-particle":"","parse-names":false,"suffix":""}],"container-title":"Plant, Cell &amp; Environment","id":"ITEM-1","issue":"11","issued":{"date-parts":[["2014"]]},"page":"2508-2520","title":"In situ measurement of leaf chlorophyll concentration: analysis of the optical/absolute relationship","type":"article-journal","volume":"37"},"uris":["http://www.mendeley.com/documents/?uuid=66f6df3f-fa76-44ef-90f8-652d495f7261"]}],"mendeley":{"formattedCitation":"[19]","plainTextFormattedCitation":"[19]","previouslyFormattedCitation":"[19]"},"properties":{"noteIndex":0},"schema":"https://github.com/citation-style-language/schema/raw/master/csl-citation.json"}</w:instrText>
      </w:r>
      <w:r>
        <w:fldChar w:fldCharType="separate"/>
      </w:r>
      <w:r w:rsidR="00132903" w:rsidRPr="00132903">
        <w:rPr>
          <w:noProof/>
        </w:rPr>
        <w:t>[19]</w:t>
      </w:r>
      <w:r>
        <w:fldChar w:fldCharType="end"/>
      </w:r>
      <w:r>
        <w:t>.</w:t>
      </w:r>
    </w:p>
    <w:p w14:paraId="41500FAC" w14:textId="77777777" w:rsidR="00B8290A" w:rsidRDefault="00B8290A" w:rsidP="00FD3124">
      <w:pPr>
        <w:spacing w:after="0" w:line="360" w:lineRule="auto"/>
        <w:jc w:val="both"/>
      </w:pPr>
    </w:p>
    <w:p w14:paraId="37760949" w14:textId="2C50C36A" w:rsidR="00B8290A" w:rsidRDefault="00B8290A" w:rsidP="00B8290A">
      <w:pPr>
        <w:pStyle w:val="Caption"/>
        <w:keepNext/>
        <w:jc w:val="center"/>
      </w:pPr>
      <w:bookmarkStart w:id="53" w:name="_Ref1828359"/>
      <w:bookmarkStart w:id="54" w:name="_Toc41595355"/>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53"/>
      <w:r>
        <w:t>: Spectrophotometric equations to convert absorption values to the concentrations of chlorophyll-a and -b for different solvents and spectrophotometer spectral resolutions</w:t>
      </w:r>
      <w:r w:rsidR="00B60D54">
        <w:t xml:space="preserve"> </w:t>
      </w:r>
      <w:r w:rsidR="00B60D54">
        <w:fldChar w:fldCharType="begin" w:fldLock="1"/>
      </w:r>
      <w:r w:rsidR="00132903">
        <w:instrText>ADDIN CSL_CITATION {"citationItems":[{"id":"ITEM-1","itemData":{"DOI":"10.1016/S0176-1617(11)81192-2","ISBN":"0176-1617","ISSN":"01761617","PMID":"862","author":[{"dropping-particle":"","family":"Wellburn","given":"Alan R","non-dropping-particle":"","parse-names":false,"suffix":""}],"container-title":"Journal of Plant Physiology","id":"ITEM-1","issue":"3","issued":{"date-parts":[["1994"]]},"page":"307-313","title":"The Spectral Determination of Chlorophylls a and b, as well as Total Carotenoids, Using Various Solvents with Spectrophotometers of Different Resolution","type":"article-journal","volume":"144"},"uris":["http://www.mendeley.com/documents/?uuid=4fb4e0c4-8b03-4fc6-9edc-3a66eed93dde"]}],"mendeley":{"formattedCitation":"[20]","plainTextFormattedCitation":"[20]","previouslyFormattedCitation":"[20]"},"properties":{"noteIndex":0},"schema":"https://github.com/citation-style-language/schema/raw/master/csl-citation.json"}</w:instrText>
      </w:r>
      <w:r w:rsidR="00B60D54">
        <w:fldChar w:fldCharType="separate"/>
      </w:r>
      <w:r w:rsidR="00132903" w:rsidRPr="00132903">
        <w:rPr>
          <w:i w:val="0"/>
          <w:noProof/>
        </w:rPr>
        <w:t>[20]</w:t>
      </w:r>
      <w:r w:rsidR="00B60D54">
        <w:fldChar w:fldCharType="end"/>
      </w:r>
      <w:r w:rsidR="00B60D54">
        <w:t>.</w:t>
      </w:r>
      <w:bookmarkEnd w:id="5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3420"/>
        <w:gridCol w:w="3621"/>
      </w:tblGrid>
      <w:tr w:rsidR="00B8290A" w14:paraId="420B790D" w14:textId="77777777" w:rsidTr="007B6892">
        <w:tc>
          <w:tcPr>
            <w:tcW w:w="1975" w:type="dxa"/>
            <w:tcBorders>
              <w:top w:val="single" w:sz="4" w:space="0" w:color="auto"/>
              <w:bottom w:val="nil"/>
            </w:tcBorders>
          </w:tcPr>
          <w:p w14:paraId="464EFA27" w14:textId="77777777" w:rsidR="00B8290A" w:rsidRPr="002971D1" w:rsidRDefault="00B8290A" w:rsidP="007B6892">
            <w:pPr>
              <w:rPr>
                <w:b/>
                <w:bCs/>
              </w:rPr>
            </w:pPr>
          </w:p>
        </w:tc>
        <w:tc>
          <w:tcPr>
            <w:tcW w:w="7041" w:type="dxa"/>
            <w:gridSpan w:val="2"/>
            <w:tcBorders>
              <w:top w:val="single" w:sz="4" w:space="0" w:color="auto"/>
              <w:bottom w:val="single" w:sz="4" w:space="0" w:color="auto"/>
            </w:tcBorders>
          </w:tcPr>
          <w:p w14:paraId="5EDF92B1" w14:textId="77777777" w:rsidR="00B8290A" w:rsidRPr="002971D1" w:rsidRDefault="00B8290A" w:rsidP="007B6892">
            <w:pPr>
              <w:jc w:val="center"/>
              <w:rPr>
                <w:b/>
                <w:bCs/>
              </w:rPr>
            </w:pPr>
            <w:r w:rsidRPr="002971D1">
              <w:rPr>
                <w:b/>
                <w:bCs/>
              </w:rPr>
              <w:t>Spectral resolution of spectrophotometer</w:t>
            </w:r>
          </w:p>
        </w:tc>
      </w:tr>
      <w:tr w:rsidR="00B8290A" w14:paraId="00E1DC86" w14:textId="77777777" w:rsidTr="007B6892">
        <w:tc>
          <w:tcPr>
            <w:tcW w:w="1975" w:type="dxa"/>
            <w:tcBorders>
              <w:top w:val="nil"/>
              <w:bottom w:val="single" w:sz="4" w:space="0" w:color="auto"/>
            </w:tcBorders>
          </w:tcPr>
          <w:p w14:paraId="4D2FBF03" w14:textId="77777777" w:rsidR="00B8290A" w:rsidRPr="002971D1" w:rsidRDefault="00B8290A" w:rsidP="007B6892">
            <w:pPr>
              <w:jc w:val="center"/>
              <w:rPr>
                <w:b/>
                <w:bCs/>
              </w:rPr>
            </w:pPr>
            <w:r w:rsidRPr="002971D1">
              <w:rPr>
                <w:b/>
                <w:bCs/>
              </w:rPr>
              <w:t>Solvent</w:t>
            </w:r>
          </w:p>
        </w:tc>
        <w:tc>
          <w:tcPr>
            <w:tcW w:w="3420" w:type="dxa"/>
            <w:tcBorders>
              <w:top w:val="single" w:sz="4" w:space="0" w:color="auto"/>
              <w:bottom w:val="single" w:sz="4" w:space="0" w:color="auto"/>
            </w:tcBorders>
          </w:tcPr>
          <w:p w14:paraId="3BBFC762" w14:textId="77777777" w:rsidR="00B8290A" w:rsidRPr="002971D1" w:rsidRDefault="00B8290A" w:rsidP="007B6892">
            <w:pPr>
              <w:jc w:val="center"/>
              <w:rPr>
                <w:b/>
                <w:bCs/>
              </w:rPr>
            </w:pPr>
            <w:r w:rsidRPr="002971D1">
              <w:rPr>
                <w:b/>
                <w:bCs/>
              </w:rPr>
              <w:t>0.1 nm to 0.5 nm</w:t>
            </w:r>
          </w:p>
        </w:tc>
        <w:tc>
          <w:tcPr>
            <w:tcW w:w="3621" w:type="dxa"/>
            <w:tcBorders>
              <w:top w:val="single" w:sz="4" w:space="0" w:color="auto"/>
              <w:bottom w:val="single" w:sz="4" w:space="0" w:color="auto"/>
            </w:tcBorders>
          </w:tcPr>
          <w:p w14:paraId="4750C6A7" w14:textId="77777777" w:rsidR="00B8290A" w:rsidRPr="002971D1" w:rsidRDefault="00B8290A" w:rsidP="007B6892">
            <w:pPr>
              <w:jc w:val="center"/>
              <w:rPr>
                <w:b/>
                <w:bCs/>
              </w:rPr>
            </w:pPr>
            <w:r w:rsidRPr="002971D1">
              <w:rPr>
                <w:b/>
                <w:bCs/>
              </w:rPr>
              <w:t>1 nm to 4 nm</w:t>
            </w:r>
          </w:p>
        </w:tc>
      </w:tr>
      <w:tr w:rsidR="00B8290A" w14:paraId="7F446F0C" w14:textId="77777777" w:rsidTr="007B6892">
        <w:tc>
          <w:tcPr>
            <w:tcW w:w="1975" w:type="dxa"/>
            <w:tcBorders>
              <w:top w:val="single" w:sz="4" w:space="0" w:color="auto"/>
            </w:tcBorders>
          </w:tcPr>
          <w:p w14:paraId="73D5AAB6" w14:textId="77777777" w:rsidR="00B8290A" w:rsidRDefault="00B8290A" w:rsidP="007B6892">
            <w:pPr>
              <w:jc w:val="center"/>
            </w:pPr>
            <w:r>
              <w:t>80% acetone</w:t>
            </w:r>
          </w:p>
        </w:tc>
        <w:tc>
          <w:tcPr>
            <w:tcW w:w="3420" w:type="dxa"/>
            <w:tcBorders>
              <w:top w:val="single" w:sz="4" w:space="0" w:color="auto"/>
            </w:tcBorders>
          </w:tcPr>
          <w:p w14:paraId="6703047F"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=12.25</m:t>
                </m:r>
                <m:sSub>
                  <m:sSubPr>
                    <m:ctrlPr>
                      <w:rPr>
                        <w:rFonts w:ascii="Cambria Math" w:hAnsi="Cambria Math"/>
                        <w:i/>
                      </w:rPr>
                    </m:ctrlPr>
                  </m:sSubPr>
                  <m:e>
                    <m:r>
                      <w:rPr>
                        <w:rFonts w:ascii="Cambria Math" w:hAnsi="Cambria Math"/>
                      </w:rPr>
                      <m:t xml:space="preserve"> A</m:t>
                    </m:r>
                  </m:e>
                  <m:sub>
                    <m:r>
                      <w:rPr>
                        <w:rFonts w:ascii="Cambria Math" w:hAnsi="Cambria Math"/>
                      </w:rPr>
                      <m:t>663.2</m:t>
                    </m:r>
                  </m:sub>
                </m:sSub>
                <m:r>
                  <w:rPr>
                    <w:rFonts w:ascii="Cambria Math" w:hAnsi="Cambria Math"/>
                  </w:rPr>
                  <m:t>-2.79</m:t>
                </m:r>
                <m:sSub>
                  <m:sSubPr>
                    <m:ctrlPr>
                      <w:rPr>
                        <w:rFonts w:ascii="Cambria Math" w:hAnsi="Cambria Math"/>
                        <w:i/>
                      </w:rPr>
                    </m:ctrlPr>
                  </m:sSubPr>
                  <m:e>
                    <m:r>
                      <w:rPr>
                        <w:rFonts w:ascii="Cambria Math" w:hAnsi="Cambria Math"/>
                      </w:rPr>
                      <m:t xml:space="preserve"> A</m:t>
                    </m:r>
                  </m:e>
                  <m:sub>
                    <m:r>
                      <w:rPr>
                        <w:rFonts w:ascii="Cambria Math" w:hAnsi="Cambria Math"/>
                      </w:rPr>
                      <m:t>646.8</m:t>
                    </m:r>
                  </m:sub>
                </m:sSub>
              </m:oMath>
            </m:oMathPara>
          </w:p>
          <w:p w14:paraId="79D07598"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=21.5</m:t>
                </m:r>
                <m:sSub>
                  <m:sSubPr>
                    <m:ctrlPr>
                      <w:rPr>
                        <w:rFonts w:ascii="Cambria Math" w:hAnsi="Cambria Math"/>
                        <w:i/>
                      </w:rPr>
                    </m:ctrlPr>
                  </m:sSubPr>
                  <m:e>
                    <m:r>
                      <w:rPr>
                        <w:rFonts w:ascii="Cambria Math" w:hAnsi="Cambria Math"/>
                      </w:rPr>
                      <m:t xml:space="preserve"> A</m:t>
                    </m:r>
                  </m:e>
                  <m:sub>
                    <m:r>
                      <w:rPr>
                        <w:rFonts w:ascii="Cambria Math" w:hAnsi="Cambria Math"/>
                      </w:rPr>
                      <m:t>646.8</m:t>
                    </m:r>
                  </m:sub>
                </m:sSub>
                <m:r>
                  <w:rPr>
                    <w:rFonts w:ascii="Cambria Math" w:hAnsi="Cambria Math"/>
                  </w:rPr>
                  <m:t>-5.1</m:t>
                </m:r>
                <m:sSub>
                  <m:sSubPr>
                    <m:ctrlPr>
                      <w:rPr>
                        <w:rFonts w:ascii="Cambria Math" w:hAnsi="Cambria Math"/>
                        <w:i/>
                      </w:rPr>
                    </m:ctrlPr>
                  </m:sSubPr>
                  <m:e>
                    <m:r>
                      <w:rPr>
                        <w:rFonts w:ascii="Cambria Math" w:hAnsi="Cambria Math"/>
                      </w:rPr>
                      <m:t xml:space="preserve"> A</m:t>
                    </m:r>
                  </m:e>
                  <m:sub>
                    <m:r>
                      <w:rPr>
                        <w:rFonts w:ascii="Cambria Math" w:hAnsi="Cambria Math"/>
                      </w:rPr>
                      <m:t>663.2</m:t>
                    </m:r>
                  </m:sub>
                </m:sSub>
              </m:oMath>
            </m:oMathPara>
          </w:p>
        </w:tc>
        <w:tc>
          <w:tcPr>
            <w:tcW w:w="3621" w:type="dxa"/>
            <w:tcBorders>
              <w:top w:val="single" w:sz="4" w:space="0" w:color="auto"/>
            </w:tcBorders>
          </w:tcPr>
          <w:p w14:paraId="4D3C32EB"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=12.21</m:t>
                </m:r>
                <m:sSub>
                  <m:sSubPr>
                    <m:ctrlPr>
                      <w:rPr>
                        <w:rFonts w:ascii="Cambria Math" w:hAnsi="Cambria Math"/>
                        <w:i/>
                      </w:rPr>
                    </m:ctrlPr>
                  </m:sSubPr>
                  <m:e>
                    <m:r>
                      <w:rPr>
                        <w:rFonts w:ascii="Cambria Math" w:hAnsi="Cambria Math"/>
                      </w:rPr>
                      <m:t xml:space="preserve"> A</m:t>
                    </m:r>
                  </m:e>
                  <m:sub>
                    <m:r>
                      <w:rPr>
                        <w:rFonts w:ascii="Cambria Math" w:hAnsi="Cambria Math"/>
                      </w:rPr>
                      <m:t>663</m:t>
                    </m:r>
                  </m:sub>
                </m:sSub>
                <m:r>
                  <w:rPr>
                    <w:rFonts w:ascii="Cambria Math" w:hAnsi="Cambria Math"/>
                  </w:rPr>
                  <m:t>-2.81</m:t>
                </m:r>
                <m:sSub>
                  <m:sSubPr>
                    <m:ctrlPr>
                      <w:rPr>
                        <w:rFonts w:ascii="Cambria Math" w:hAnsi="Cambria Math"/>
                        <w:i/>
                      </w:rPr>
                    </m:ctrlPr>
                  </m:sSubPr>
                  <m:e>
                    <m:r>
                      <w:rPr>
                        <w:rFonts w:ascii="Cambria Math" w:hAnsi="Cambria Math"/>
                      </w:rPr>
                      <m:t xml:space="preserve"> A</m:t>
                    </m:r>
                  </m:e>
                  <m:sub>
                    <m:r>
                      <w:rPr>
                        <w:rFonts w:ascii="Cambria Math" w:hAnsi="Cambria Math"/>
                      </w:rPr>
                      <m:t>646</m:t>
                    </m:r>
                  </m:sub>
                </m:sSub>
              </m:oMath>
            </m:oMathPara>
          </w:p>
          <w:p w14:paraId="197A2E07"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=20.13</m:t>
                </m:r>
                <m:sSub>
                  <m:sSubPr>
                    <m:ctrlPr>
                      <w:rPr>
                        <w:rFonts w:ascii="Cambria Math" w:hAnsi="Cambria Math"/>
                        <w:i/>
                      </w:rPr>
                    </m:ctrlPr>
                  </m:sSubPr>
                  <m:e>
                    <m:r>
                      <w:rPr>
                        <w:rFonts w:ascii="Cambria Math" w:hAnsi="Cambria Math"/>
                      </w:rPr>
                      <m:t xml:space="preserve"> A</m:t>
                    </m:r>
                  </m:e>
                  <m:sub>
                    <m:r>
                      <w:rPr>
                        <w:rFonts w:ascii="Cambria Math" w:hAnsi="Cambria Math"/>
                      </w:rPr>
                      <m:t>646</m:t>
                    </m:r>
                  </m:sub>
                </m:sSub>
                <m:r>
                  <w:rPr>
                    <w:rFonts w:ascii="Cambria Math" w:hAnsi="Cambria Math"/>
                  </w:rPr>
                  <m:t>-5.03</m:t>
                </m:r>
                <m:sSub>
                  <m:sSubPr>
                    <m:ctrlPr>
                      <w:rPr>
                        <w:rFonts w:ascii="Cambria Math" w:hAnsi="Cambria Math"/>
                        <w:i/>
                      </w:rPr>
                    </m:ctrlPr>
                  </m:sSubPr>
                  <m:e>
                    <m:r>
                      <w:rPr>
                        <w:rFonts w:ascii="Cambria Math" w:hAnsi="Cambria Math"/>
                      </w:rPr>
                      <m:t xml:space="preserve"> A</m:t>
                    </m:r>
                  </m:e>
                  <m:sub>
                    <m:r>
                      <w:rPr>
                        <w:rFonts w:ascii="Cambria Math" w:hAnsi="Cambria Math"/>
                      </w:rPr>
                      <m:t>663</m:t>
                    </m:r>
                  </m:sub>
                </m:sSub>
              </m:oMath>
            </m:oMathPara>
          </w:p>
        </w:tc>
      </w:tr>
      <w:tr w:rsidR="00B8290A" w14:paraId="5962F7F1" w14:textId="77777777" w:rsidTr="007B6892">
        <w:tc>
          <w:tcPr>
            <w:tcW w:w="1975" w:type="dxa"/>
          </w:tcPr>
          <w:p w14:paraId="7F651B83" w14:textId="77777777" w:rsidR="00B8290A" w:rsidRDefault="00B8290A" w:rsidP="007B6892">
            <w:pPr>
              <w:jc w:val="center"/>
            </w:pPr>
            <w:r>
              <w:t>Chloroform</w:t>
            </w:r>
          </w:p>
        </w:tc>
        <w:tc>
          <w:tcPr>
            <w:tcW w:w="3420" w:type="dxa"/>
          </w:tcPr>
          <w:p w14:paraId="64DD700A"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=11.47</m:t>
                </m:r>
                <m:sSub>
                  <m:sSubPr>
                    <m:ctrlPr>
                      <w:rPr>
                        <w:rFonts w:ascii="Cambria Math" w:hAnsi="Cambria Math"/>
                        <w:i/>
                      </w:rPr>
                    </m:ctrlPr>
                  </m:sSubPr>
                  <m:e>
                    <m:r>
                      <w:rPr>
                        <w:rFonts w:ascii="Cambria Math" w:hAnsi="Cambria Math"/>
                      </w:rPr>
                      <m:t xml:space="preserve"> A</m:t>
                    </m:r>
                  </m:e>
                  <m:sub>
                    <m:r>
                      <w:rPr>
                        <w:rFonts w:ascii="Cambria Math" w:hAnsi="Cambria Math"/>
                      </w:rPr>
                      <m:t>665.6</m:t>
                    </m:r>
                  </m:sub>
                </m:sSub>
                <m:r>
                  <w:rPr>
                    <w:rFonts w:ascii="Cambria Math" w:hAnsi="Cambria Math"/>
                  </w:rPr>
                  <m:t>-2</m:t>
                </m:r>
                <m:sSub>
                  <m:sSubPr>
                    <m:ctrlPr>
                      <w:rPr>
                        <w:rFonts w:ascii="Cambria Math" w:hAnsi="Cambria Math"/>
                        <w:i/>
                      </w:rPr>
                    </m:ctrlPr>
                  </m:sSubPr>
                  <m:e>
                    <m:r>
                      <w:rPr>
                        <w:rFonts w:ascii="Cambria Math" w:hAnsi="Cambria Math"/>
                      </w:rPr>
                      <m:t xml:space="preserve"> A</m:t>
                    </m:r>
                  </m:e>
                  <m:sub>
                    <m:r>
                      <w:rPr>
                        <w:rFonts w:ascii="Cambria Math" w:hAnsi="Cambria Math"/>
                      </w:rPr>
                      <m:t>647.6</m:t>
                    </m:r>
                  </m:sub>
                </m:sSub>
              </m:oMath>
            </m:oMathPara>
          </w:p>
          <w:p w14:paraId="1E202ECA"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=21.85</m:t>
                </m:r>
                <m:sSub>
                  <m:sSubPr>
                    <m:ctrlPr>
                      <w:rPr>
                        <w:rFonts w:ascii="Cambria Math" w:hAnsi="Cambria Math"/>
                        <w:i/>
                      </w:rPr>
                    </m:ctrlPr>
                  </m:sSubPr>
                  <m:e>
                    <m:r>
                      <w:rPr>
                        <w:rFonts w:ascii="Cambria Math" w:hAnsi="Cambria Math"/>
                      </w:rPr>
                      <m:t xml:space="preserve"> A</m:t>
                    </m:r>
                  </m:e>
                  <m:sub>
                    <m:r>
                      <w:rPr>
                        <w:rFonts w:ascii="Cambria Math" w:hAnsi="Cambria Math"/>
                      </w:rPr>
                      <m:t>647.6</m:t>
                    </m:r>
                  </m:sub>
                </m:sSub>
                <m:r>
                  <w:rPr>
                    <w:rFonts w:ascii="Cambria Math" w:hAnsi="Cambria Math"/>
                  </w:rPr>
                  <m:t>-4.53</m:t>
                </m:r>
                <m:sSub>
                  <m:sSubPr>
                    <m:ctrlPr>
                      <w:rPr>
                        <w:rFonts w:ascii="Cambria Math" w:hAnsi="Cambria Math"/>
                        <w:i/>
                      </w:rPr>
                    </m:ctrlPr>
                  </m:sSubPr>
                  <m:e>
                    <m:r>
                      <w:rPr>
                        <w:rFonts w:ascii="Cambria Math" w:hAnsi="Cambria Math"/>
                      </w:rPr>
                      <m:t xml:space="preserve"> A</m:t>
                    </m:r>
                  </m:e>
                  <m:sub>
                    <m:r>
                      <w:rPr>
                        <w:rFonts w:ascii="Cambria Math" w:hAnsi="Cambria Math"/>
                      </w:rPr>
                      <m:t>665.6</m:t>
                    </m:r>
                  </m:sub>
                </m:sSub>
              </m:oMath>
            </m:oMathPara>
          </w:p>
        </w:tc>
        <w:tc>
          <w:tcPr>
            <w:tcW w:w="3621" w:type="dxa"/>
          </w:tcPr>
          <w:p w14:paraId="53AFB839"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=10.91</m:t>
                </m:r>
                <m:sSub>
                  <m:sSubPr>
                    <m:ctrlPr>
                      <w:rPr>
                        <w:rFonts w:ascii="Cambria Math" w:hAnsi="Cambria Math"/>
                        <w:i/>
                      </w:rPr>
                    </m:ctrlPr>
                  </m:sSubPr>
                  <m:e>
                    <m:r>
                      <w:rPr>
                        <w:rFonts w:ascii="Cambria Math" w:hAnsi="Cambria Math"/>
                      </w:rPr>
                      <m:t xml:space="preserve"> A</m:t>
                    </m:r>
                  </m:e>
                  <m:sub>
                    <m:r>
                      <w:rPr>
                        <w:rFonts w:ascii="Cambria Math" w:hAnsi="Cambria Math"/>
                      </w:rPr>
                      <m:t>666</m:t>
                    </m:r>
                  </m:sub>
                </m:sSub>
                <m:r>
                  <w:rPr>
                    <w:rFonts w:ascii="Cambria Math" w:hAnsi="Cambria Math"/>
                  </w:rPr>
                  <m:t>-1.2</m:t>
                </m:r>
                <m:sSub>
                  <m:sSubPr>
                    <m:ctrlPr>
                      <w:rPr>
                        <w:rFonts w:ascii="Cambria Math" w:hAnsi="Cambria Math"/>
                        <w:i/>
                      </w:rPr>
                    </m:ctrlPr>
                  </m:sSubPr>
                  <m:e>
                    <m:r>
                      <w:rPr>
                        <w:rFonts w:ascii="Cambria Math" w:hAnsi="Cambria Math"/>
                      </w:rPr>
                      <m:t xml:space="preserve"> A</m:t>
                    </m:r>
                  </m:e>
                  <m:sub>
                    <m:r>
                      <w:rPr>
                        <w:rFonts w:ascii="Cambria Math" w:hAnsi="Cambria Math"/>
                      </w:rPr>
                      <m:t>648</m:t>
                    </m:r>
                  </m:sub>
                </m:sSub>
              </m:oMath>
            </m:oMathPara>
          </w:p>
          <w:p w14:paraId="173B4F6E"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=16.38</m:t>
                </m:r>
                <m:sSub>
                  <m:sSubPr>
                    <m:ctrlPr>
                      <w:rPr>
                        <w:rFonts w:ascii="Cambria Math" w:hAnsi="Cambria Math"/>
                        <w:i/>
                      </w:rPr>
                    </m:ctrlPr>
                  </m:sSubPr>
                  <m:e>
                    <m:r>
                      <w:rPr>
                        <w:rFonts w:ascii="Cambria Math" w:hAnsi="Cambria Math"/>
                      </w:rPr>
                      <m:t xml:space="preserve"> A</m:t>
                    </m:r>
                  </m:e>
                  <m:sub>
                    <m:r>
                      <w:rPr>
                        <w:rFonts w:ascii="Cambria Math" w:hAnsi="Cambria Math"/>
                      </w:rPr>
                      <m:t>648</m:t>
                    </m:r>
                  </m:sub>
                </m:sSub>
                <m:r>
                  <w:rPr>
                    <w:rFonts w:ascii="Cambria Math" w:hAnsi="Cambria Math"/>
                  </w:rPr>
                  <m:t>-4.57</m:t>
                </m:r>
                <m:sSub>
                  <m:sSubPr>
                    <m:ctrlPr>
                      <w:rPr>
                        <w:rFonts w:ascii="Cambria Math" w:hAnsi="Cambria Math"/>
                        <w:i/>
                      </w:rPr>
                    </m:ctrlPr>
                  </m:sSubPr>
                  <m:e>
                    <m:r>
                      <w:rPr>
                        <w:rFonts w:ascii="Cambria Math" w:hAnsi="Cambria Math"/>
                      </w:rPr>
                      <m:t xml:space="preserve"> A</m:t>
                    </m:r>
                  </m:e>
                  <m:sub>
                    <m:r>
                      <w:rPr>
                        <w:rFonts w:ascii="Cambria Math" w:hAnsi="Cambria Math"/>
                      </w:rPr>
                      <m:t>666</m:t>
                    </m:r>
                  </m:sub>
                </m:sSub>
              </m:oMath>
            </m:oMathPara>
          </w:p>
        </w:tc>
      </w:tr>
      <w:tr w:rsidR="00B8290A" w14:paraId="1EEF5142" w14:textId="77777777" w:rsidTr="007B6892">
        <w:tc>
          <w:tcPr>
            <w:tcW w:w="1975" w:type="dxa"/>
          </w:tcPr>
          <w:p w14:paraId="44CEAF3E" w14:textId="77777777" w:rsidR="00B8290A" w:rsidRDefault="00B8290A" w:rsidP="007B6892">
            <w:pPr>
              <w:jc w:val="center"/>
            </w:pPr>
            <w:r>
              <w:t>Dimethyl-ether</w:t>
            </w:r>
          </w:p>
        </w:tc>
        <w:tc>
          <w:tcPr>
            <w:tcW w:w="3420" w:type="dxa"/>
          </w:tcPr>
          <w:p w14:paraId="4825BD6E"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 xml:space="preserve">=10.05 </m:t>
                </m:r>
                <m:sSub>
                  <m:sSubPr>
                    <m:ctrlPr>
                      <w:rPr>
                        <w:rFonts w:ascii="Cambria Math" w:hAnsi="Cambria Math"/>
                        <w:i/>
                      </w:rPr>
                    </m:ctrlPr>
                  </m:sSubPr>
                  <m:e>
                    <m:r>
                      <w:rPr>
                        <w:rFonts w:ascii="Cambria Math" w:hAnsi="Cambria Math"/>
                      </w:rPr>
                      <m:t>A</m:t>
                    </m:r>
                  </m:e>
                  <m:sub>
                    <m:r>
                      <w:rPr>
                        <w:rFonts w:ascii="Cambria Math" w:hAnsi="Cambria Math"/>
                      </w:rPr>
                      <m:t>660.6</m:t>
                    </m:r>
                  </m:sub>
                </m:sSub>
                <m:r>
                  <w:rPr>
                    <w:rFonts w:ascii="Cambria Math" w:hAnsi="Cambria Math"/>
                  </w:rPr>
                  <m:t>-0.97</m:t>
                </m:r>
                <m:sSub>
                  <m:sSubPr>
                    <m:ctrlPr>
                      <w:rPr>
                        <w:rFonts w:ascii="Cambria Math" w:hAnsi="Cambria Math"/>
                        <w:i/>
                      </w:rPr>
                    </m:ctrlPr>
                  </m:sSubPr>
                  <m:e>
                    <m:r>
                      <w:rPr>
                        <w:rFonts w:ascii="Cambria Math" w:hAnsi="Cambria Math"/>
                      </w:rPr>
                      <m:t xml:space="preserve"> A</m:t>
                    </m:r>
                  </m:e>
                  <m:sub>
                    <m:r>
                      <w:rPr>
                        <w:rFonts w:ascii="Cambria Math" w:hAnsi="Cambria Math"/>
                      </w:rPr>
                      <m:t>642.2</m:t>
                    </m:r>
                  </m:sub>
                </m:sSub>
              </m:oMath>
            </m:oMathPara>
          </w:p>
          <w:p w14:paraId="6AE111FB"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=16.36</m:t>
                </m:r>
                <m:sSub>
                  <m:sSubPr>
                    <m:ctrlPr>
                      <w:rPr>
                        <w:rFonts w:ascii="Cambria Math" w:hAnsi="Cambria Math"/>
                        <w:i/>
                      </w:rPr>
                    </m:ctrlPr>
                  </m:sSubPr>
                  <m:e>
                    <m:r>
                      <w:rPr>
                        <w:rFonts w:ascii="Cambria Math" w:hAnsi="Cambria Math"/>
                      </w:rPr>
                      <m:t xml:space="preserve"> A</m:t>
                    </m:r>
                  </m:e>
                  <m:sub>
                    <m:r>
                      <w:rPr>
                        <w:rFonts w:ascii="Cambria Math" w:hAnsi="Cambria Math"/>
                      </w:rPr>
                      <m:t>642.2</m:t>
                    </m:r>
                  </m:sub>
                </m:sSub>
                <m:r>
                  <w:rPr>
                    <w:rFonts w:ascii="Cambria Math" w:hAnsi="Cambria Math"/>
                  </w:rPr>
                  <m:t>-2.43</m:t>
                </m:r>
                <m:sSub>
                  <m:sSubPr>
                    <m:ctrlPr>
                      <w:rPr>
                        <w:rFonts w:ascii="Cambria Math" w:hAnsi="Cambria Math"/>
                        <w:i/>
                      </w:rPr>
                    </m:ctrlPr>
                  </m:sSubPr>
                  <m:e>
                    <m:r>
                      <w:rPr>
                        <w:rFonts w:ascii="Cambria Math" w:hAnsi="Cambria Math"/>
                      </w:rPr>
                      <m:t xml:space="preserve"> A</m:t>
                    </m:r>
                  </m:e>
                  <m:sub>
                    <m:r>
                      <w:rPr>
                        <w:rFonts w:ascii="Cambria Math" w:hAnsi="Cambria Math"/>
                      </w:rPr>
                      <m:t>660.6</m:t>
                    </m:r>
                  </m:sub>
                </m:sSub>
              </m:oMath>
            </m:oMathPara>
          </w:p>
        </w:tc>
        <w:tc>
          <w:tcPr>
            <w:tcW w:w="3621" w:type="dxa"/>
          </w:tcPr>
          <w:p w14:paraId="577BAF09"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 xml:space="preserve">=10.05 </m:t>
                </m:r>
                <m:sSub>
                  <m:sSubPr>
                    <m:ctrlPr>
                      <w:rPr>
                        <w:rFonts w:ascii="Cambria Math" w:hAnsi="Cambria Math"/>
                        <w:i/>
                      </w:rPr>
                    </m:ctrlPr>
                  </m:sSubPr>
                  <m:e>
                    <m:r>
                      <w:rPr>
                        <w:rFonts w:ascii="Cambria Math" w:hAnsi="Cambria Math"/>
                      </w:rPr>
                      <m:t>A</m:t>
                    </m:r>
                  </m:e>
                  <m:sub>
                    <m:r>
                      <w:rPr>
                        <w:rFonts w:ascii="Cambria Math" w:hAnsi="Cambria Math"/>
                      </w:rPr>
                      <m:t>662</m:t>
                    </m:r>
                  </m:sub>
                </m:sSub>
                <m:r>
                  <w:rPr>
                    <w:rFonts w:ascii="Cambria Math" w:hAnsi="Cambria Math"/>
                  </w:rPr>
                  <m:t>-0.77</m:t>
                </m:r>
                <m:sSub>
                  <m:sSubPr>
                    <m:ctrlPr>
                      <w:rPr>
                        <w:rFonts w:ascii="Cambria Math" w:hAnsi="Cambria Math"/>
                        <w:i/>
                      </w:rPr>
                    </m:ctrlPr>
                  </m:sSubPr>
                  <m:e>
                    <m:r>
                      <w:rPr>
                        <w:rFonts w:ascii="Cambria Math" w:hAnsi="Cambria Math"/>
                      </w:rPr>
                      <m:t xml:space="preserve"> A</m:t>
                    </m:r>
                  </m:e>
                  <m:sub>
                    <m:r>
                      <w:rPr>
                        <w:rFonts w:ascii="Cambria Math" w:hAnsi="Cambria Math"/>
                      </w:rPr>
                      <m:t>644</m:t>
                    </m:r>
                  </m:sub>
                </m:sSub>
              </m:oMath>
            </m:oMathPara>
          </w:p>
          <w:p w14:paraId="3EF6D8FE"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=16.37</m:t>
                </m:r>
                <m:sSub>
                  <m:sSubPr>
                    <m:ctrlPr>
                      <w:rPr>
                        <w:rFonts w:ascii="Cambria Math" w:hAnsi="Cambria Math"/>
                        <w:i/>
                      </w:rPr>
                    </m:ctrlPr>
                  </m:sSubPr>
                  <m:e>
                    <m:r>
                      <w:rPr>
                        <w:rFonts w:ascii="Cambria Math" w:hAnsi="Cambria Math"/>
                      </w:rPr>
                      <m:t xml:space="preserve"> A</m:t>
                    </m:r>
                  </m:e>
                  <m:sub>
                    <m:r>
                      <w:rPr>
                        <w:rFonts w:ascii="Cambria Math" w:hAnsi="Cambria Math"/>
                      </w:rPr>
                      <m:t>644</m:t>
                    </m:r>
                  </m:sub>
                </m:sSub>
                <m:r>
                  <w:rPr>
                    <w:rFonts w:ascii="Cambria Math" w:hAnsi="Cambria Math"/>
                  </w:rPr>
                  <m:t>-3.14</m:t>
                </m:r>
                <m:sSub>
                  <m:sSubPr>
                    <m:ctrlPr>
                      <w:rPr>
                        <w:rFonts w:ascii="Cambria Math" w:hAnsi="Cambria Math"/>
                        <w:i/>
                      </w:rPr>
                    </m:ctrlPr>
                  </m:sSubPr>
                  <m:e>
                    <m:r>
                      <w:rPr>
                        <w:rFonts w:ascii="Cambria Math" w:hAnsi="Cambria Math"/>
                      </w:rPr>
                      <m:t xml:space="preserve"> A</m:t>
                    </m:r>
                  </m:e>
                  <m:sub>
                    <m:r>
                      <w:rPr>
                        <w:rFonts w:ascii="Cambria Math" w:hAnsi="Cambria Math"/>
                      </w:rPr>
                      <m:t>662</m:t>
                    </m:r>
                  </m:sub>
                </m:sSub>
              </m:oMath>
            </m:oMathPara>
          </w:p>
        </w:tc>
      </w:tr>
      <w:tr w:rsidR="00B8290A" w14:paraId="18BF4A54" w14:textId="77777777" w:rsidTr="007B6892">
        <w:tc>
          <w:tcPr>
            <w:tcW w:w="1975" w:type="dxa"/>
          </w:tcPr>
          <w:p w14:paraId="5E0D014E" w14:textId="77777777" w:rsidR="00B8290A" w:rsidRDefault="00B8290A" w:rsidP="007B6892">
            <w:pPr>
              <w:jc w:val="center"/>
            </w:pPr>
            <w:r>
              <w:t>Dimethyl-formamide (DMF)</w:t>
            </w:r>
          </w:p>
        </w:tc>
        <w:tc>
          <w:tcPr>
            <w:tcW w:w="3420" w:type="dxa"/>
          </w:tcPr>
          <w:p w14:paraId="33F7ED3F"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=12</m:t>
                </m:r>
                <m:sSub>
                  <m:sSubPr>
                    <m:ctrlPr>
                      <w:rPr>
                        <w:rFonts w:ascii="Cambria Math" w:hAnsi="Cambria Math"/>
                        <w:i/>
                      </w:rPr>
                    </m:ctrlPr>
                  </m:sSubPr>
                  <m:e>
                    <m:r>
                      <w:rPr>
                        <w:rFonts w:ascii="Cambria Math" w:hAnsi="Cambria Math"/>
                      </w:rPr>
                      <m:t xml:space="preserve"> A</m:t>
                    </m:r>
                  </m:e>
                  <m:sub>
                    <m:r>
                      <w:rPr>
                        <w:rFonts w:ascii="Cambria Math" w:hAnsi="Cambria Math"/>
                      </w:rPr>
                      <m:t>663.8</m:t>
                    </m:r>
                  </m:sub>
                </m:sSub>
                <m:r>
                  <w:rPr>
                    <w:rFonts w:ascii="Cambria Math" w:hAnsi="Cambria Math"/>
                  </w:rPr>
                  <m:t>-3.11</m:t>
                </m:r>
                <m:sSub>
                  <m:sSubPr>
                    <m:ctrlPr>
                      <w:rPr>
                        <w:rFonts w:ascii="Cambria Math" w:hAnsi="Cambria Math"/>
                        <w:i/>
                      </w:rPr>
                    </m:ctrlPr>
                  </m:sSubPr>
                  <m:e>
                    <m:r>
                      <w:rPr>
                        <w:rFonts w:ascii="Cambria Math" w:hAnsi="Cambria Math"/>
                      </w:rPr>
                      <m:t xml:space="preserve"> A</m:t>
                    </m:r>
                  </m:e>
                  <m:sub>
                    <m:r>
                      <w:rPr>
                        <w:rFonts w:ascii="Cambria Math" w:hAnsi="Cambria Math"/>
                      </w:rPr>
                      <m:t>646.8</m:t>
                    </m:r>
                  </m:sub>
                </m:sSub>
              </m:oMath>
            </m:oMathPara>
          </w:p>
          <w:p w14:paraId="4955508B"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=20.78</m:t>
                </m:r>
                <m:sSub>
                  <m:sSubPr>
                    <m:ctrlPr>
                      <w:rPr>
                        <w:rFonts w:ascii="Cambria Math" w:hAnsi="Cambria Math"/>
                        <w:i/>
                      </w:rPr>
                    </m:ctrlPr>
                  </m:sSubPr>
                  <m:e>
                    <m:r>
                      <w:rPr>
                        <w:rFonts w:ascii="Cambria Math" w:hAnsi="Cambria Math"/>
                      </w:rPr>
                      <m:t xml:space="preserve"> A</m:t>
                    </m:r>
                  </m:e>
                  <m:sub>
                    <m:r>
                      <w:rPr>
                        <w:rFonts w:ascii="Cambria Math" w:hAnsi="Cambria Math"/>
                      </w:rPr>
                      <m:t>646.8</m:t>
                    </m:r>
                  </m:sub>
                </m:sSub>
                <m:r>
                  <w:rPr>
                    <w:rFonts w:ascii="Cambria Math" w:hAnsi="Cambria Math"/>
                  </w:rPr>
                  <m:t>-4.88</m:t>
                </m:r>
                <m:sSub>
                  <m:sSubPr>
                    <m:ctrlPr>
                      <w:rPr>
                        <w:rFonts w:ascii="Cambria Math" w:hAnsi="Cambria Math"/>
                        <w:i/>
                      </w:rPr>
                    </m:ctrlPr>
                  </m:sSubPr>
                  <m:e>
                    <m:r>
                      <w:rPr>
                        <w:rFonts w:ascii="Cambria Math" w:hAnsi="Cambria Math"/>
                      </w:rPr>
                      <m:t xml:space="preserve"> A</m:t>
                    </m:r>
                  </m:e>
                  <m:sub>
                    <m:r>
                      <w:rPr>
                        <w:rFonts w:ascii="Cambria Math" w:hAnsi="Cambria Math"/>
                      </w:rPr>
                      <m:t>663.8</m:t>
                    </m:r>
                  </m:sub>
                </m:sSub>
              </m:oMath>
            </m:oMathPara>
          </w:p>
        </w:tc>
        <w:tc>
          <w:tcPr>
            <w:tcW w:w="3621" w:type="dxa"/>
          </w:tcPr>
          <w:p w14:paraId="68FFC959"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=11.65</m:t>
                </m:r>
                <m:sSub>
                  <m:sSubPr>
                    <m:ctrlPr>
                      <w:rPr>
                        <w:rFonts w:ascii="Cambria Math" w:hAnsi="Cambria Math"/>
                        <w:i/>
                      </w:rPr>
                    </m:ctrlPr>
                  </m:sSubPr>
                  <m:e>
                    <m:r>
                      <w:rPr>
                        <w:rFonts w:ascii="Cambria Math" w:hAnsi="Cambria Math"/>
                      </w:rPr>
                      <m:t xml:space="preserve"> A</m:t>
                    </m:r>
                  </m:e>
                  <m:sub>
                    <m:r>
                      <w:rPr>
                        <w:rFonts w:ascii="Cambria Math" w:hAnsi="Cambria Math"/>
                      </w:rPr>
                      <m:t>664</m:t>
                    </m:r>
                  </m:sub>
                </m:sSub>
                <m:r>
                  <w:rPr>
                    <w:rFonts w:ascii="Cambria Math" w:hAnsi="Cambria Math"/>
                  </w:rPr>
                  <m:t>-2.69</m:t>
                </m:r>
                <m:sSub>
                  <m:sSubPr>
                    <m:ctrlPr>
                      <w:rPr>
                        <w:rFonts w:ascii="Cambria Math" w:hAnsi="Cambria Math"/>
                        <w:i/>
                      </w:rPr>
                    </m:ctrlPr>
                  </m:sSubPr>
                  <m:e>
                    <m:r>
                      <w:rPr>
                        <w:rFonts w:ascii="Cambria Math" w:hAnsi="Cambria Math"/>
                      </w:rPr>
                      <m:t xml:space="preserve"> A</m:t>
                    </m:r>
                  </m:e>
                  <m:sub>
                    <m:r>
                      <w:rPr>
                        <w:rFonts w:ascii="Cambria Math" w:hAnsi="Cambria Math"/>
                      </w:rPr>
                      <m:t>647</m:t>
                    </m:r>
                  </m:sub>
                </m:sSub>
              </m:oMath>
            </m:oMathPara>
          </w:p>
          <w:p w14:paraId="37DC47E7"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=20.81</m:t>
                </m:r>
                <m:sSub>
                  <m:sSubPr>
                    <m:ctrlPr>
                      <w:rPr>
                        <w:rFonts w:ascii="Cambria Math" w:hAnsi="Cambria Math"/>
                        <w:i/>
                      </w:rPr>
                    </m:ctrlPr>
                  </m:sSubPr>
                  <m:e>
                    <m:r>
                      <w:rPr>
                        <w:rFonts w:ascii="Cambria Math" w:hAnsi="Cambria Math"/>
                      </w:rPr>
                      <m:t xml:space="preserve"> A</m:t>
                    </m:r>
                  </m:e>
                  <m:sub>
                    <m:r>
                      <w:rPr>
                        <w:rFonts w:ascii="Cambria Math" w:hAnsi="Cambria Math"/>
                      </w:rPr>
                      <m:t>647</m:t>
                    </m:r>
                  </m:sub>
                </m:sSub>
                <m:r>
                  <w:rPr>
                    <w:rFonts w:ascii="Cambria Math" w:hAnsi="Cambria Math"/>
                  </w:rPr>
                  <m:t>-4.53</m:t>
                </m:r>
                <m:sSub>
                  <m:sSubPr>
                    <m:ctrlPr>
                      <w:rPr>
                        <w:rFonts w:ascii="Cambria Math" w:hAnsi="Cambria Math"/>
                        <w:i/>
                      </w:rPr>
                    </m:ctrlPr>
                  </m:sSubPr>
                  <m:e>
                    <m:r>
                      <w:rPr>
                        <w:rFonts w:ascii="Cambria Math" w:hAnsi="Cambria Math"/>
                      </w:rPr>
                      <m:t xml:space="preserve"> A</m:t>
                    </m:r>
                  </m:e>
                  <m:sub>
                    <m:r>
                      <w:rPr>
                        <w:rFonts w:ascii="Cambria Math" w:hAnsi="Cambria Math"/>
                      </w:rPr>
                      <m:t>664</m:t>
                    </m:r>
                  </m:sub>
                </m:sSub>
              </m:oMath>
            </m:oMathPara>
          </w:p>
        </w:tc>
      </w:tr>
      <w:tr w:rsidR="00B8290A" w14:paraId="59509D32" w14:textId="77777777" w:rsidTr="007B6892">
        <w:tc>
          <w:tcPr>
            <w:tcW w:w="1975" w:type="dxa"/>
          </w:tcPr>
          <w:p w14:paraId="7D933115" w14:textId="77777777" w:rsidR="00B8290A" w:rsidRDefault="00B8290A" w:rsidP="007B6892">
            <w:pPr>
              <w:jc w:val="center"/>
            </w:pPr>
            <w:r>
              <w:t>Dimethyl-</w:t>
            </w:r>
            <w:proofErr w:type="spellStart"/>
            <w:r>
              <w:t>sulphoxide</w:t>
            </w:r>
            <w:proofErr w:type="spellEnd"/>
            <w:r>
              <w:t xml:space="preserve"> (DMSO)</w:t>
            </w:r>
          </w:p>
        </w:tc>
        <w:tc>
          <w:tcPr>
            <w:tcW w:w="3420" w:type="dxa"/>
          </w:tcPr>
          <w:p w14:paraId="12CEF827"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=12.47</m:t>
                </m:r>
                <m:sSub>
                  <m:sSubPr>
                    <m:ctrlPr>
                      <w:rPr>
                        <w:rFonts w:ascii="Cambria Math" w:hAnsi="Cambria Math"/>
                        <w:i/>
                      </w:rPr>
                    </m:ctrlPr>
                  </m:sSubPr>
                  <m:e>
                    <m:r>
                      <w:rPr>
                        <w:rFonts w:ascii="Cambria Math" w:hAnsi="Cambria Math"/>
                      </w:rPr>
                      <m:t xml:space="preserve"> A</m:t>
                    </m:r>
                  </m:e>
                  <m:sub>
                    <m:r>
                      <w:rPr>
                        <w:rFonts w:ascii="Cambria Math" w:hAnsi="Cambria Math"/>
                      </w:rPr>
                      <m:t>665.1</m:t>
                    </m:r>
                  </m:sub>
                </m:sSub>
                <m:r>
                  <w:rPr>
                    <w:rFonts w:ascii="Cambria Math" w:hAnsi="Cambria Math"/>
                  </w:rPr>
                  <m:t>-3.62</m:t>
                </m:r>
                <m:sSub>
                  <m:sSubPr>
                    <m:ctrlPr>
                      <w:rPr>
                        <w:rFonts w:ascii="Cambria Math" w:hAnsi="Cambria Math"/>
                        <w:i/>
                      </w:rPr>
                    </m:ctrlPr>
                  </m:sSubPr>
                  <m:e>
                    <m:r>
                      <w:rPr>
                        <w:rFonts w:ascii="Cambria Math" w:hAnsi="Cambria Math"/>
                      </w:rPr>
                      <m:t xml:space="preserve"> A</m:t>
                    </m:r>
                  </m:e>
                  <m:sub>
                    <m:r>
                      <w:rPr>
                        <w:rFonts w:ascii="Cambria Math" w:hAnsi="Cambria Math"/>
                      </w:rPr>
                      <m:t>649.1</m:t>
                    </m:r>
                  </m:sub>
                </m:sSub>
              </m:oMath>
            </m:oMathPara>
          </w:p>
          <w:p w14:paraId="2912BE05"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=25.06</m:t>
                </m:r>
                <m:sSub>
                  <m:sSubPr>
                    <m:ctrlPr>
                      <w:rPr>
                        <w:rFonts w:ascii="Cambria Math" w:hAnsi="Cambria Math"/>
                        <w:i/>
                      </w:rPr>
                    </m:ctrlPr>
                  </m:sSubPr>
                  <m:e>
                    <m:r>
                      <w:rPr>
                        <w:rFonts w:ascii="Cambria Math" w:hAnsi="Cambria Math"/>
                      </w:rPr>
                      <m:t xml:space="preserve"> A</m:t>
                    </m:r>
                  </m:e>
                  <m:sub>
                    <m:r>
                      <w:rPr>
                        <w:rFonts w:ascii="Cambria Math" w:hAnsi="Cambria Math"/>
                      </w:rPr>
                      <m:t>649.1</m:t>
                    </m:r>
                  </m:sub>
                </m:sSub>
                <m:r>
                  <w:rPr>
                    <w:rFonts w:ascii="Cambria Math" w:hAnsi="Cambria Math"/>
                  </w:rPr>
                  <m:t>-6.5</m:t>
                </m:r>
                <m:sSub>
                  <m:sSubPr>
                    <m:ctrlPr>
                      <w:rPr>
                        <w:rFonts w:ascii="Cambria Math" w:hAnsi="Cambria Math"/>
                        <w:i/>
                      </w:rPr>
                    </m:ctrlPr>
                  </m:sSubPr>
                  <m:e>
                    <m:r>
                      <w:rPr>
                        <w:rFonts w:ascii="Cambria Math" w:hAnsi="Cambria Math"/>
                      </w:rPr>
                      <m:t xml:space="preserve"> A</m:t>
                    </m:r>
                  </m:e>
                  <m:sub>
                    <m:r>
                      <w:rPr>
                        <w:rFonts w:ascii="Cambria Math" w:hAnsi="Cambria Math"/>
                      </w:rPr>
                      <m:t>665.1</m:t>
                    </m:r>
                  </m:sub>
                </m:sSub>
              </m:oMath>
            </m:oMathPara>
          </w:p>
        </w:tc>
        <w:tc>
          <w:tcPr>
            <w:tcW w:w="3621" w:type="dxa"/>
          </w:tcPr>
          <w:p w14:paraId="4F109517"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=12.19</m:t>
                </m:r>
                <m:sSub>
                  <m:sSubPr>
                    <m:ctrlPr>
                      <w:rPr>
                        <w:rFonts w:ascii="Cambria Math" w:hAnsi="Cambria Math"/>
                        <w:i/>
                      </w:rPr>
                    </m:ctrlPr>
                  </m:sSubPr>
                  <m:e>
                    <m:r>
                      <w:rPr>
                        <w:rFonts w:ascii="Cambria Math" w:hAnsi="Cambria Math"/>
                      </w:rPr>
                      <m:t xml:space="preserve"> A</m:t>
                    </m:r>
                  </m:e>
                  <m:sub>
                    <m:r>
                      <w:rPr>
                        <w:rFonts w:ascii="Cambria Math" w:hAnsi="Cambria Math"/>
                      </w:rPr>
                      <m:t>665</m:t>
                    </m:r>
                  </m:sub>
                </m:sSub>
                <m:r>
                  <w:rPr>
                    <w:rFonts w:ascii="Cambria Math" w:hAnsi="Cambria Math"/>
                  </w:rPr>
                  <m:t>-3.45</m:t>
                </m:r>
                <m:sSub>
                  <m:sSubPr>
                    <m:ctrlPr>
                      <w:rPr>
                        <w:rFonts w:ascii="Cambria Math" w:hAnsi="Cambria Math"/>
                        <w:i/>
                      </w:rPr>
                    </m:ctrlPr>
                  </m:sSubPr>
                  <m:e>
                    <m:r>
                      <w:rPr>
                        <w:rFonts w:ascii="Cambria Math" w:hAnsi="Cambria Math"/>
                      </w:rPr>
                      <m:t xml:space="preserve"> A</m:t>
                    </m:r>
                  </m:e>
                  <m:sub>
                    <m:r>
                      <w:rPr>
                        <w:rFonts w:ascii="Cambria Math" w:hAnsi="Cambria Math"/>
                      </w:rPr>
                      <m:t>649</m:t>
                    </m:r>
                  </m:sub>
                </m:sSub>
              </m:oMath>
            </m:oMathPara>
          </w:p>
          <w:p w14:paraId="4A3473F0"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=21.99</m:t>
                </m:r>
                <m:sSub>
                  <m:sSubPr>
                    <m:ctrlPr>
                      <w:rPr>
                        <w:rFonts w:ascii="Cambria Math" w:hAnsi="Cambria Math"/>
                        <w:i/>
                      </w:rPr>
                    </m:ctrlPr>
                  </m:sSubPr>
                  <m:e>
                    <m:r>
                      <w:rPr>
                        <w:rFonts w:ascii="Cambria Math" w:hAnsi="Cambria Math"/>
                      </w:rPr>
                      <m:t xml:space="preserve"> A</m:t>
                    </m:r>
                  </m:e>
                  <m:sub>
                    <m:r>
                      <w:rPr>
                        <w:rFonts w:ascii="Cambria Math" w:hAnsi="Cambria Math"/>
                      </w:rPr>
                      <m:t>649</m:t>
                    </m:r>
                  </m:sub>
                </m:sSub>
                <m:r>
                  <w:rPr>
                    <w:rFonts w:ascii="Cambria Math" w:hAnsi="Cambria Math"/>
                  </w:rPr>
                  <m:t>-5.32</m:t>
                </m:r>
                <m:sSub>
                  <m:sSubPr>
                    <m:ctrlPr>
                      <w:rPr>
                        <w:rFonts w:ascii="Cambria Math" w:hAnsi="Cambria Math"/>
                        <w:i/>
                      </w:rPr>
                    </m:ctrlPr>
                  </m:sSubPr>
                  <m:e>
                    <m:r>
                      <w:rPr>
                        <w:rFonts w:ascii="Cambria Math" w:hAnsi="Cambria Math"/>
                      </w:rPr>
                      <m:t xml:space="preserve"> A</m:t>
                    </m:r>
                  </m:e>
                  <m:sub>
                    <m:r>
                      <w:rPr>
                        <w:rFonts w:ascii="Cambria Math" w:hAnsi="Cambria Math"/>
                      </w:rPr>
                      <m:t>665</m:t>
                    </m:r>
                  </m:sub>
                </m:sSub>
              </m:oMath>
            </m:oMathPara>
          </w:p>
        </w:tc>
      </w:tr>
      <w:tr w:rsidR="00B8290A" w14:paraId="1C725BAA" w14:textId="77777777" w:rsidTr="007B6892">
        <w:tc>
          <w:tcPr>
            <w:tcW w:w="1975" w:type="dxa"/>
          </w:tcPr>
          <w:p w14:paraId="04AB6D4C" w14:textId="77777777" w:rsidR="00B8290A" w:rsidRDefault="00B8290A" w:rsidP="007B6892">
            <w:pPr>
              <w:jc w:val="center"/>
            </w:pPr>
            <w:r>
              <w:t>Methanol</w:t>
            </w:r>
          </w:p>
        </w:tc>
        <w:tc>
          <w:tcPr>
            <w:tcW w:w="3420" w:type="dxa"/>
          </w:tcPr>
          <w:p w14:paraId="3F8C9FD3"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=16.72</m:t>
                </m:r>
                <m:sSub>
                  <m:sSubPr>
                    <m:ctrlPr>
                      <w:rPr>
                        <w:rFonts w:ascii="Cambria Math" w:hAnsi="Cambria Math"/>
                        <w:i/>
                      </w:rPr>
                    </m:ctrlPr>
                  </m:sSubPr>
                  <m:e>
                    <m:r>
                      <w:rPr>
                        <w:rFonts w:ascii="Cambria Math" w:hAnsi="Cambria Math"/>
                      </w:rPr>
                      <m:t xml:space="preserve"> A</m:t>
                    </m:r>
                  </m:e>
                  <m:sub>
                    <m:r>
                      <w:rPr>
                        <w:rFonts w:ascii="Cambria Math" w:hAnsi="Cambria Math"/>
                      </w:rPr>
                      <m:t>665.2</m:t>
                    </m:r>
                  </m:sub>
                </m:sSub>
                <m:r>
                  <w:rPr>
                    <w:rFonts w:ascii="Cambria Math" w:hAnsi="Cambria Math"/>
                  </w:rPr>
                  <m:t>-9.16</m:t>
                </m:r>
                <m:sSub>
                  <m:sSubPr>
                    <m:ctrlPr>
                      <w:rPr>
                        <w:rFonts w:ascii="Cambria Math" w:hAnsi="Cambria Math"/>
                        <w:i/>
                      </w:rPr>
                    </m:ctrlPr>
                  </m:sSubPr>
                  <m:e>
                    <m:r>
                      <w:rPr>
                        <w:rFonts w:ascii="Cambria Math" w:hAnsi="Cambria Math"/>
                      </w:rPr>
                      <m:t xml:space="preserve"> A</m:t>
                    </m:r>
                  </m:e>
                  <m:sub>
                    <m:r>
                      <w:rPr>
                        <w:rFonts w:ascii="Cambria Math" w:hAnsi="Cambria Math"/>
                      </w:rPr>
                      <m:t>652.4</m:t>
                    </m:r>
                  </m:sub>
                </m:sSub>
              </m:oMath>
            </m:oMathPara>
          </w:p>
          <w:p w14:paraId="10DC49BB"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=34.09</m:t>
                </m:r>
                <m:sSub>
                  <m:sSubPr>
                    <m:ctrlPr>
                      <w:rPr>
                        <w:rFonts w:ascii="Cambria Math" w:hAnsi="Cambria Math"/>
                        <w:i/>
                      </w:rPr>
                    </m:ctrlPr>
                  </m:sSubPr>
                  <m:e>
                    <m:r>
                      <w:rPr>
                        <w:rFonts w:ascii="Cambria Math" w:hAnsi="Cambria Math"/>
                      </w:rPr>
                      <m:t xml:space="preserve"> A</m:t>
                    </m:r>
                  </m:e>
                  <m:sub>
                    <m:r>
                      <w:rPr>
                        <w:rFonts w:ascii="Cambria Math" w:hAnsi="Cambria Math"/>
                      </w:rPr>
                      <m:t>652.4</m:t>
                    </m:r>
                  </m:sub>
                </m:sSub>
                <m:r>
                  <w:rPr>
                    <w:rFonts w:ascii="Cambria Math" w:hAnsi="Cambria Math"/>
                  </w:rPr>
                  <m:t>-15.28</m:t>
                </m:r>
                <m:sSub>
                  <m:sSubPr>
                    <m:ctrlPr>
                      <w:rPr>
                        <w:rFonts w:ascii="Cambria Math" w:hAnsi="Cambria Math"/>
                        <w:i/>
                      </w:rPr>
                    </m:ctrlPr>
                  </m:sSubPr>
                  <m:e>
                    <m:r>
                      <w:rPr>
                        <w:rFonts w:ascii="Cambria Math" w:hAnsi="Cambria Math"/>
                      </w:rPr>
                      <m:t xml:space="preserve"> A</m:t>
                    </m:r>
                  </m:e>
                  <m:sub>
                    <m:r>
                      <w:rPr>
                        <w:rFonts w:ascii="Cambria Math" w:hAnsi="Cambria Math"/>
                      </w:rPr>
                      <m:t>665.1</m:t>
                    </m:r>
                  </m:sub>
                </m:sSub>
              </m:oMath>
            </m:oMathPara>
          </w:p>
        </w:tc>
        <w:tc>
          <w:tcPr>
            <w:tcW w:w="3621" w:type="dxa"/>
          </w:tcPr>
          <w:p w14:paraId="6E0549DF" w14:textId="77777777" w:rsidR="00B8290A" w:rsidRPr="007F6A93" w:rsidRDefault="00F123E0" w:rsidP="007B6892">
            <w:pPr>
              <w:rPr>
                <w:rFonts w:eastAsiaTheme="minorEastAsia"/>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=15.65</m:t>
                </m:r>
                <m:sSub>
                  <m:sSubPr>
                    <m:ctrlPr>
                      <w:rPr>
                        <w:rFonts w:ascii="Cambria Math" w:hAnsi="Cambria Math"/>
                        <w:i/>
                      </w:rPr>
                    </m:ctrlPr>
                  </m:sSubPr>
                  <m:e>
                    <m:r>
                      <w:rPr>
                        <w:rFonts w:ascii="Cambria Math" w:hAnsi="Cambria Math"/>
                      </w:rPr>
                      <m:t xml:space="preserve"> A</m:t>
                    </m:r>
                  </m:e>
                  <m:sub>
                    <m:r>
                      <w:rPr>
                        <w:rFonts w:ascii="Cambria Math" w:hAnsi="Cambria Math"/>
                      </w:rPr>
                      <m:t>666</m:t>
                    </m:r>
                  </m:sub>
                </m:sSub>
                <m:r>
                  <w:rPr>
                    <w:rFonts w:ascii="Cambria Math" w:hAnsi="Cambria Math"/>
                  </w:rPr>
                  <m:t>-7.34</m:t>
                </m:r>
                <m:sSub>
                  <m:sSubPr>
                    <m:ctrlPr>
                      <w:rPr>
                        <w:rFonts w:ascii="Cambria Math" w:hAnsi="Cambria Math"/>
                        <w:i/>
                      </w:rPr>
                    </m:ctrlPr>
                  </m:sSubPr>
                  <m:e>
                    <m:r>
                      <w:rPr>
                        <w:rFonts w:ascii="Cambria Math" w:hAnsi="Cambria Math"/>
                      </w:rPr>
                      <m:t xml:space="preserve"> A</m:t>
                    </m:r>
                  </m:e>
                  <m:sub>
                    <m:r>
                      <w:rPr>
                        <w:rFonts w:ascii="Cambria Math" w:hAnsi="Cambria Math"/>
                      </w:rPr>
                      <m:t>653</m:t>
                    </m:r>
                  </m:sub>
                </m:sSub>
              </m:oMath>
            </m:oMathPara>
          </w:p>
          <w:p w14:paraId="5BEFE007" w14:textId="77777777" w:rsidR="00B8290A" w:rsidRPr="007F6A93" w:rsidRDefault="00F123E0" w:rsidP="007B6892">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=27.05</m:t>
                </m:r>
                <m:sSub>
                  <m:sSubPr>
                    <m:ctrlPr>
                      <w:rPr>
                        <w:rFonts w:ascii="Cambria Math" w:hAnsi="Cambria Math"/>
                        <w:i/>
                      </w:rPr>
                    </m:ctrlPr>
                  </m:sSubPr>
                  <m:e>
                    <m:r>
                      <w:rPr>
                        <w:rFonts w:ascii="Cambria Math" w:hAnsi="Cambria Math"/>
                      </w:rPr>
                      <m:t xml:space="preserve"> A</m:t>
                    </m:r>
                  </m:e>
                  <m:sub>
                    <m:r>
                      <w:rPr>
                        <w:rFonts w:ascii="Cambria Math" w:hAnsi="Cambria Math"/>
                      </w:rPr>
                      <m:t>653</m:t>
                    </m:r>
                  </m:sub>
                </m:sSub>
                <m:r>
                  <w:rPr>
                    <w:rFonts w:ascii="Cambria Math" w:hAnsi="Cambria Math"/>
                  </w:rPr>
                  <m:t>-11.21</m:t>
                </m:r>
                <m:sSub>
                  <m:sSubPr>
                    <m:ctrlPr>
                      <w:rPr>
                        <w:rFonts w:ascii="Cambria Math" w:hAnsi="Cambria Math"/>
                        <w:i/>
                      </w:rPr>
                    </m:ctrlPr>
                  </m:sSubPr>
                  <m:e>
                    <m:r>
                      <w:rPr>
                        <w:rFonts w:ascii="Cambria Math" w:hAnsi="Cambria Math"/>
                      </w:rPr>
                      <m:t xml:space="preserve"> A</m:t>
                    </m:r>
                  </m:e>
                  <m:sub>
                    <m:r>
                      <w:rPr>
                        <w:rFonts w:ascii="Cambria Math" w:hAnsi="Cambria Math"/>
                      </w:rPr>
                      <m:t>666</m:t>
                    </m:r>
                  </m:sub>
                </m:sSub>
              </m:oMath>
            </m:oMathPara>
          </w:p>
        </w:tc>
      </w:tr>
    </w:tbl>
    <w:p w14:paraId="7B0F0608" w14:textId="77777777" w:rsidR="00B8290A" w:rsidRDefault="00B8290A" w:rsidP="00B74AEC">
      <w:pPr>
        <w:spacing w:line="360" w:lineRule="auto"/>
        <w:jc w:val="both"/>
      </w:pPr>
    </w:p>
    <w:p w14:paraId="56E99F83" w14:textId="5734570D" w:rsidR="00C71500" w:rsidRDefault="00B74AEC" w:rsidP="00C71500">
      <w:pPr>
        <w:spacing w:line="360" w:lineRule="auto"/>
        <w:jc w:val="both"/>
      </w:pPr>
      <w:r w:rsidRPr="004B66FD">
        <w:t>Once extracted in solution, the concentrations of chlorophyll-a and -b can be determined spectrophotometrically.</w:t>
      </w:r>
      <w:r w:rsidR="003C4600">
        <w:t xml:space="preserve"> </w:t>
      </w:r>
      <w:r>
        <w:fldChar w:fldCharType="begin" w:fldLock="1"/>
      </w:r>
      <w:r w:rsidR="00132903">
        <w:instrText>ADDIN CSL_CITATION {"citationItems":[{"id":"ITEM-1","itemData":{"DOI":"10.1016/S0176-1617(11)81192-2","ISBN":"0176-1617","ISSN":"01761617","PMID":"862","author":[{"dropping-particle":"","family":"Wellburn","given":"Alan R","non-dropping-particle":"","parse-names":false,"suffix":""}],"container-title":"Journal of Plant Physiology","id":"ITEM-1","issue":"3","issued":{"date-parts":[["1994"]]},"page":"307-313","title":"The Spectral Determination of Chlorophylls a and b, as well as Total Carotenoids, Using Various Solvents with Spectrophotometers of Different Resolution","type":"article-journal","volume":"144"},"uris":["http://www.mendeley.com/documents/?uuid=4fb4e0c4-8b03-4fc6-9edc-3a66eed93dde"]}],"mendeley":{"formattedCitation":"[20]","plainTextFormattedCitation":"[20]","previouslyFormattedCitation":"[20]"},"properties":{"noteIndex":0},"schema":"https://github.com/citation-style-language/schema/raw/master/csl-citation.json"}</w:instrText>
      </w:r>
      <w:r>
        <w:fldChar w:fldCharType="separate"/>
      </w:r>
      <w:r w:rsidR="00132903" w:rsidRPr="00132903">
        <w:rPr>
          <w:noProof/>
        </w:rPr>
        <w:t>[20]</w:t>
      </w:r>
      <w:r>
        <w:fldChar w:fldCharType="end"/>
      </w:r>
      <w:r>
        <w:t xml:space="preserve"> </w:t>
      </w:r>
      <w:r w:rsidRPr="004B66FD">
        <w:t>provides a series of spectrophotometric equations for converting absorption values to the concentrations of chlorophyll-a and -b (</w:t>
      </w:r>
      <w:r>
        <w:t xml:space="preserve">Table </w:t>
      </w:r>
      <w:r w:rsidR="00305B17">
        <w:t>2</w:t>
      </w:r>
      <w:r w:rsidRPr="004B66FD">
        <w:t>), emphasising the importance of using an equation derived from extinction coefficients associated with the solvent being used.</w:t>
      </w:r>
      <w:r w:rsidR="003C4600">
        <w:t xml:space="preserve"> </w:t>
      </w:r>
      <w:r>
        <w:t>The importance of matching spectrophotometric equations with instrument type and spectral resolution is also stressed.</w:t>
      </w:r>
      <w:r w:rsidR="003C4600">
        <w:t xml:space="preserve"> </w:t>
      </w:r>
      <w:r>
        <w:t>Those derived with high spectral resolution spectrophotometer are not appropriate for use with lower spectral resolution instruments, whilst those derived using diode-array spectrophotometers are not interchangeable with non-diode array instruments</w:t>
      </w:r>
      <w:r w:rsidR="00C71500">
        <w:t xml:space="preserve">. </w:t>
      </w:r>
    </w:p>
    <w:p w14:paraId="469FF658" w14:textId="0BE8DCDC" w:rsidR="00C71500" w:rsidRDefault="00C71500" w:rsidP="00C71500">
      <w:pPr>
        <w:spacing w:line="360" w:lineRule="auto"/>
        <w:jc w:val="both"/>
        <w:rPr>
          <w:rFonts w:eastAsiaTheme="minorEastAsia"/>
        </w:rPr>
      </w:pPr>
      <w:r>
        <w:t>As in the case of LAI, indirect techniques for the determination of LCC have been developed, reducing the need for destructive sampling and enabling larger areas to be covered in a shorter space of time.</w:t>
      </w:r>
      <w:r w:rsidR="003C4600">
        <w:t xml:space="preserve"> </w:t>
      </w:r>
      <w:r>
        <w:t>They involve the use of optical chlorophyll meters, which measure leaf transmittance at two wavelengths (red at approximately 650 nm and near-infrared at approximately 930 nm to 940 nm) to provide a relative measure of LCC.</w:t>
      </w:r>
      <w:r w:rsidR="003C4600">
        <w:t xml:space="preserve"> </w:t>
      </w:r>
      <w:r>
        <w:t>Such instruments include the Konica Minolta SPAD-502, Opti-Sciences CCM-200, and Apogee Instruments MC-100.</w:t>
      </w:r>
      <w:r w:rsidR="003C4600">
        <w:t xml:space="preserve"> </w:t>
      </w:r>
      <w:r>
        <w:t>All are based on similar principles, although differ slightly in their exact wavelength specification.</w:t>
      </w:r>
      <w:r w:rsidR="003C4600">
        <w:t xml:space="preserve"> </w:t>
      </w:r>
      <w:r>
        <w:t>Of the available optical chlorophyll meters, the SPAD-502 is the most widely used.</w:t>
      </w:r>
      <w:r w:rsidR="003C4600">
        <w:t xml:space="preserve"> </w:t>
      </w:r>
      <w:r>
        <w:t>By determining transmittance at 650 nm and 940 nm, the instrument calculates a relative value</w:t>
      </w:r>
      <w:r w:rsidRPr="5465A504">
        <w:rPr>
          <w:rFonts w:eastAsiaTheme="minorEastAsia"/>
        </w:rPr>
        <w:t xml:space="preserve"> proportional to LCC </w:t>
      </w:r>
      <w:r>
        <w:rPr>
          <w:rFonts w:eastAsiaTheme="minorEastAsia"/>
        </w:rPr>
        <w:t>as</w:t>
      </w:r>
    </w:p>
    <w:p w14:paraId="148B5348" w14:textId="77777777" w:rsidR="00B74AEC" w:rsidRPr="00FD3FB9" w:rsidRDefault="00B74AEC" w:rsidP="00B74AEC">
      <w:pPr>
        <w:spacing w:line="360" w:lineRule="auto"/>
        <w:jc w:val="both"/>
        <w:rPr>
          <w:rFonts w:eastAsiaTheme="minorEastAsia"/>
        </w:rPr>
      </w:pPr>
      <w:r>
        <w:rPr>
          <w:rFonts w:eastAsiaTheme="minorEastAsia"/>
        </w:rPr>
        <w:lastRenderedPageBreak/>
        <w:br/>
      </w:r>
      <m:oMathPara>
        <m:oMath>
          <m:r>
            <w:rPr>
              <w:rFonts w:ascii="Cambria Math" w:hAnsi="Cambria Math"/>
            </w:rPr>
            <m:t>M=k</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d>
                        <m:dPr>
                          <m:ctrlPr>
                            <w:rPr>
                              <w:rFonts w:ascii="Cambria Math" w:hAnsi="Cambria Math"/>
                              <w:i/>
                            </w:rPr>
                          </m:ctrlPr>
                        </m:dPr>
                        <m:e>
                          <m:r>
                            <w:rPr>
                              <w:rFonts w:ascii="Cambria Math" w:hAnsi="Cambria Math"/>
                            </w:rPr>
                            <m:t>650</m:t>
                          </m:r>
                        </m:e>
                      </m:d>
                    </m:sub>
                  </m:sSub>
                  <m:sSub>
                    <m:sSubPr>
                      <m:ctrlPr>
                        <w:rPr>
                          <w:rFonts w:ascii="Cambria Math" w:hAnsi="Cambria Math"/>
                          <w:i/>
                        </w:rPr>
                      </m:ctrlPr>
                    </m:sSubPr>
                    <m:e>
                      <m:r>
                        <w:rPr>
                          <w:rFonts w:ascii="Cambria Math" w:hAnsi="Cambria Math"/>
                        </w:rPr>
                        <m:t>I</m:t>
                      </m:r>
                    </m:e>
                    <m:sub>
                      <m:r>
                        <w:rPr>
                          <w:rFonts w:ascii="Cambria Math" w:hAnsi="Cambria Math"/>
                        </w:rPr>
                        <m:t>(940)</m:t>
                      </m:r>
                    </m:sub>
                  </m:sSub>
                </m:num>
                <m:den>
                  <m:sSub>
                    <m:sSubPr>
                      <m:ctrlPr>
                        <w:rPr>
                          <w:rFonts w:ascii="Cambria Math" w:hAnsi="Cambria Math"/>
                          <w:i/>
                        </w:rPr>
                      </m:ctrlPr>
                    </m:sSubPr>
                    <m:e>
                      <m:r>
                        <w:rPr>
                          <w:rFonts w:ascii="Cambria Math" w:hAnsi="Cambria Math"/>
                        </w:rPr>
                        <m:t>I</m:t>
                      </m:r>
                    </m:e>
                    <m:sub>
                      <m:r>
                        <w:rPr>
                          <w:rFonts w:ascii="Cambria Math" w:hAnsi="Cambria Math"/>
                        </w:rPr>
                        <m:t>(650)</m:t>
                      </m:r>
                    </m:sub>
                  </m:sSub>
                  <m:sSub>
                    <m:sSubPr>
                      <m:ctrlPr>
                        <w:rPr>
                          <w:rFonts w:ascii="Cambria Math" w:hAnsi="Cambria Math"/>
                          <w:i/>
                        </w:rPr>
                      </m:ctrlPr>
                    </m:sSubPr>
                    <m:e>
                      <m:r>
                        <w:rPr>
                          <w:rFonts w:ascii="Cambria Math" w:hAnsi="Cambria Math"/>
                        </w:rPr>
                        <m:t>I</m:t>
                      </m:r>
                    </m:e>
                    <m:sub>
                      <m:r>
                        <w:rPr>
                          <w:rFonts w:ascii="Cambria Math" w:hAnsi="Cambria Math"/>
                        </w:rPr>
                        <m:t>0(940)</m:t>
                      </m:r>
                    </m:sub>
                  </m:sSub>
                </m:den>
              </m:f>
            </m:e>
          </m:func>
          <m:r>
            <w:rPr>
              <w:rFonts w:ascii="Cambria Math" w:eastAsiaTheme="minorEastAsia" w:hAnsi="Cambria Math"/>
            </w:rPr>
            <m:t>+C</m:t>
          </m:r>
        </m:oMath>
      </m:oMathPara>
    </w:p>
    <w:p w14:paraId="4006A78E" w14:textId="61784587" w:rsidR="00B74AEC" w:rsidRDefault="00B74AEC" w:rsidP="00B74AEC">
      <w:pPr>
        <w:spacing w:line="360" w:lineRule="auto"/>
        <w:jc w:val="both"/>
        <w:rPr>
          <w:rFonts w:eastAsiaTheme="minorEastAsia"/>
        </w:rPr>
      </w:pPr>
      <w:r>
        <w:rPr>
          <w:rFonts w:eastAsiaTheme="minorEastAsia"/>
        </w:rPr>
        <w:br/>
        <w:t xml:space="preserve">where </w:t>
      </w:r>
      <m:oMath>
        <m:sSub>
          <m:sSubPr>
            <m:ctrlPr>
              <w:rPr>
                <w:rFonts w:ascii="Cambria Math" w:hAnsi="Cambria Math"/>
                <w:i/>
              </w:rPr>
            </m:ctrlPr>
          </m:sSubPr>
          <m:e>
            <m:r>
              <w:rPr>
                <w:rFonts w:ascii="Cambria Math" w:hAnsi="Cambria Math"/>
              </w:rPr>
              <m:t>I</m:t>
            </m:r>
          </m:e>
          <m:sub>
            <m:r>
              <w:rPr>
                <w:rFonts w:ascii="Cambria Math" w:hAnsi="Cambria Math"/>
              </w:rPr>
              <m:t>(650)</m:t>
            </m:r>
          </m:sub>
        </m:sSub>
      </m:oMath>
      <w:r>
        <w:rPr>
          <w:rFonts w:eastAsiaTheme="minorEastAsia"/>
        </w:rPr>
        <w:t xml:space="preserve">, </w:t>
      </w:r>
      <m:oMath>
        <m:sSub>
          <m:sSubPr>
            <m:ctrlPr>
              <w:rPr>
                <w:rFonts w:ascii="Cambria Math" w:hAnsi="Cambria Math"/>
                <w:i/>
              </w:rPr>
            </m:ctrlPr>
          </m:sSubPr>
          <m:e>
            <m:r>
              <w:rPr>
                <w:rFonts w:ascii="Cambria Math" w:hAnsi="Cambria Math"/>
              </w:rPr>
              <m:t>I</m:t>
            </m:r>
          </m:e>
          <m:sub>
            <m:r>
              <w:rPr>
                <w:rFonts w:ascii="Cambria Math" w:hAnsi="Cambria Math"/>
              </w:rPr>
              <m:t>(940)</m:t>
            </m:r>
          </m:sub>
        </m:sSub>
      </m:oMath>
      <w:r>
        <w:rPr>
          <w:rFonts w:eastAsiaTheme="minorEastAsia"/>
        </w:rPr>
        <w:t xml:space="preserve">, </w:t>
      </w:r>
      <m:oMath>
        <m:sSub>
          <m:sSubPr>
            <m:ctrlPr>
              <w:rPr>
                <w:rFonts w:ascii="Cambria Math" w:hAnsi="Cambria Math"/>
                <w:i/>
              </w:rPr>
            </m:ctrlPr>
          </m:sSubPr>
          <m:e>
            <m:r>
              <w:rPr>
                <w:rFonts w:ascii="Cambria Math" w:hAnsi="Cambria Math"/>
              </w:rPr>
              <m:t>I</m:t>
            </m:r>
          </m:e>
          <m:sub>
            <m:r>
              <w:rPr>
                <w:rFonts w:ascii="Cambria Math" w:hAnsi="Cambria Math"/>
              </w:rPr>
              <m:t>0</m:t>
            </m:r>
            <m:d>
              <m:dPr>
                <m:ctrlPr>
                  <w:rPr>
                    <w:rFonts w:ascii="Cambria Math" w:hAnsi="Cambria Math"/>
                    <w:i/>
                  </w:rPr>
                </m:ctrlPr>
              </m:dPr>
              <m:e>
                <m:r>
                  <w:rPr>
                    <w:rFonts w:ascii="Cambria Math" w:hAnsi="Cambria Math"/>
                  </w:rPr>
                  <m:t>650</m:t>
                </m:r>
              </m:e>
            </m:d>
          </m:sub>
        </m:sSub>
      </m:oMath>
      <w:r>
        <w:rPr>
          <w:rFonts w:eastAsiaTheme="minorEastAsia"/>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0(940)</m:t>
            </m:r>
          </m:sub>
        </m:sSub>
      </m:oMath>
      <w:r>
        <w:rPr>
          <w:rFonts w:eastAsiaTheme="minorEastAsia"/>
        </w:rPr>
        <w:t xml:space="preserve"> are the incident and transmitted electromagnetic radiation at 650 nm and 940 nm, respectively, whilst </w:t>
      </w:r>
      <m:oMath>
        <m:r>
          <w:rPr>
            <w:rFonts w:ascii="Cambria Math" w:hAnsi="Cambria Math"/>
          </w:rPr>
          <m:t>k</m:t>
        </m:r>
      </m:oMath>
      <w:r>
        <w:rPr>
          <w:rFonts w:eastAsiaTheme="minorEastAsia"/>
        </w:rPr>
        <w:t xml:space="preserve"> and </w:t>
      </w:r>
      <m:oMath>
        <m:r>
          <w:rPr>
            <w:rFonts w:ascii="Cambria Math" w:eastAsiaTheme="minorEastAsia" w:hAnsi="Cambria Math"/>
          </w:rPr>
          <m:t>C</m:t>
        </m:r>
      </m:oMath>
      <w:r>
        <w:rPr>
          <w:rFonts w:eastAsiaTheme="minorEastAsia"/>
        </w:rPr>
        <w:t xml:space="preserve"> are slope and offset terms undisclosed by the manufacturer.</w:t>
      </w:r>
    </w:p>
    <w:p w14:paraId="4335B1CE" w14:textId="0D104D28" w:rsidR="009E6CBD" w:rsidRDefault="009E6CBD" w:rsidP="008044D3">
      <w:pPr>
        <w:spacing w:line="360" w:lineRule="auto"/>
        <w:jc w:val="both"/>
      </w:pPr>
    </w:p>
    <w:p w14:paraId="456CAC95" w14:textId="66CEB70C" w:rsidR="000043E3" w:rsidRDefault="000043E3" w:rsidP="008044D3">
      <w:pPr>
        <w:spacing w:line="360" w:lineRule="auto"/>
        <w:jc w:val="both"/>
      </w:pPr>
    </w:p>
    <w:p w14:paraId="08670F05" w14:textId="77777777" w:rsidR="00B7778B" w:rsidRDefault="00B7778B" w:rsidP="008551DF">
      <w:pPr>
        <w:pStyle w:val="Heading1"/>
        <w:numPr>
          <w:ilvl w:val="0"/>
          <w:numId w:val="31"/>
        </w:numPr>
        <w:sectPr w:rsidR="00B7778B" w:rsidSect="00C036F8">
          <w:pgSz w:w="11906" w:h="16838"/>
          <w:pgMar w:top="1440" w:right="1440" w:bottom="1440" w:left="1440" w:header="708" w:footer="708" w:gutter="0"/>
          <w:cols w:space="708"/>
          <w:docGrid w:linePitch="360"/>
        </w:sectPr>
      </w:pPr>
    </w:p>
    <w:p w14:paraId="36EB61B0" w14:textId="65FF2624" w:rsidR="00B0002C" w:rsidRDefault="00EF3223" w:rsidP="00FD3124">
      <w:pPr>
        <w:pStyle w:val="Heading1"/>
      </w:pPr>
      <w:bookmarkStart w:id="55" w:name="_Toc44515966"/>
      <w:r>
        <w:lastRenderedPageBreak/>
        <w:t xml:space="preserve">Measurement </w:t>
      </w:r>
      <w:r w:rsidR="008D5A27">
        <w:t>Instrument</w:t>
      </w:r>
      <w:r>
        <w:t>ation</w:t>
      </w:r>
      <w:bookmarkEnd w:id="55"/>
      <w:r w:rsidR="0071535E">
        <w:t xml:space="preserve"> </w:t>
      </w:r>
    </w:p>
    <w:p w14:paraId="5E23145F" w14:textId="77777777" w:rsidR="0030087D" w:rsidRPr="0030087D" w:rsidRDefault="0030087D" w:rsidP="0069303D">
      <w:pPr>
        <w:spacing w:after="0"/>
      </w:pPr>
    </w:p>
    <w:p w14:paraId="32A3662B" w14:textId="7AC89045" w:rsidR="00B818F3" w:rsidRPr="0068439A" w:rsidRDefault="00B818F3" w:rsidP="00B818F3">
      <w:pPr>
        <w:spacing w:line="360" w:lineRule="auto"/>
        <w:jc w:val="both"/>
        <w:rPr>
          <w:lang w:eastAsia="en-GB"/>
        </w:rPr>
      </w:pPr>
      <w:r w:rsidRPr="0068439A">
        <w:rPr>
          <w:lang w:eastAsia="en-GB"/>
        </w:rPr>
        <w:t xml:space="preserve">The following sections provide a brief technical description of the instruments that can be used to measure </w:t>
      </w:r>
      <w:r>
        <w:rPr>
          <w:lang w:eastAsia="en-GB"/>
        </w:rPr>
        <w:t>FAPAR</w:t>
      </w:r>
      <w:r w:rsidR="007B6892">
        <w:rPr>
          <w:lang w:eastAsia="en-GB"/>
        </w:rPr>
        <w:t xml:space="preserve"> and CCC</w:t>
      </w:r>
      <w:r w:rsidR="00463F10">
        <w:rPr>
          <w:lang w:eastAsia="en-GB"/>
        </w:rPr>
        <w:t xml:space="preserve"> in the field</w:t>
      </w:r>
      <w:r w:rsidRPr="0068439A">
        <w:rPr>
          <w:lang w:eastAsia="en-GB"/>
        </w:rPr>
        <w:t>. Recommendations on the</w:t>
      </w:r>
      <w:r w:rsidR="007B6892">
        <w:rPr>
          <w:lang w:eastAsia="en-GB"/>
        </w:rPr>
        <w:t xml:space="preserve"> specific</w:t>
      </w:r>
      <w:r w:rsidRPr="0068439A">
        <w:rPr>
          <w:lang w:eastAsia="en-GB"/>
        </w:rPr>
        <w:t xml:space="preserve"> instruments that should be employed for campaign </w:t>
      </w:r>
      <w:r w:rsidR="007B6892">
        <w:rPr>
          <w:lang w:eastAsia="en-GB"/>
        </w:rPr>
        <w:t>and</w:t>
      </w:r>
      <w:r w:rsidR="007B6892" w:rsidRPr="0068439A">
        <w:rPr>
          <w:lang w:eastAsia="en-GB"/>
        </w:rPr>
        <w:t xml:space="preserve"> </w:t>
      </w:r>
      <w:r w:rsidRPr="0068439A">
        <w:rPr>
          <w:lang w:eastAsia="en-GB"/>
        </w:rPr>
        <w:t>permanent measurements will be discussed in</w:t>
      </w:r>
      <w:r>
        <w:rPr>
          <w:lang w:eastAsia="en-GB"/>
        </w:rPr>
        <w:t xml:space="preserve"> </w:t>
      </w:r>
      <w:r w:rsidRPr="00FD3124">
        <w:rPr>
          <w:lang w:eastAsia="en-GB"/>
        </w:rPr>
        <w:t xml:space="preserve">Section </w:t>
      </w:r>
      <w:r w:rsidRPr="00FD3124">
        <w:rPr>
          <w:lang w:eastAsia="en-GB"/>
        </w:rPr>
        <w:fldChar w:fldCharType="begin"/>
      </w:r>
      <w:r w:rsidRPr="00FD3124">
        <w:rPr>
          <w:lang w:eastAsia="en-GB"/>
        </w:rPr>
        <w:instrText xml:space="preserve"> REF _Ref39672096 \r \h </w:instrText>
      </w:r>
      <w:r w:rsidR="00463F10" w:rsidRPr="00FD3124">
        <w:rPr>
          <w:lang w:eastAsia="en-GB"/>
        </w:rPr>
        <w:instrText xml:space="preserve"> \* MERGEFORMAT </w:instrText>
      </w:r>
      <w:r w:rsidRPr="00FD3124">
        <w:rPr>
          <w:lang w:eastAsia="en-GB"/>
        </w:rPr>
      </w:r>
      <w:r w:rsidRPr="00FD3124">
        <w:rPr>
          <w:lang w:eastAsia="en-GB"/>
        </w:rPr>
        <w:fldChar w:fldCharType="separate"/>
      </w:r>
      <w:r w:rsidRPr="00FD3124">
        <w:rPr>
          <w:lang w:eastAsia="en-GB"/>
        </w:rPr>
        <w:t>5</w:t>
      </w:r>
      <w:r w:rsidRPr="00FD3124">
        <w:rPr>
          <w:lang w:eastAsia="en-GB"/>
        </w:rPr>
        <w:fldChar w:fldCharType="end"/>
      </w:r>
      <w:r w:rsidR="00491DBF">
        <w:rPr>
          <w:lang w:eastAsia="en-GB"/>
        </w:rPr>
        <w:t xml:space="preserve"> and </w:t>
      </w:r>
      <w:r w:rsidR="007B6892">
        <w:rPr>
          <w:lang w:eastAsia="en-GB"/>
        </w:rPr>
        <w:t>Appendix A</w:t>
      </w:r>
      <w:r w:rsidRPr="0068439A">
        <w:rPr>
          <w:lang w:eastAsia="en-GB"/>
        </w:rPr>
        <w:t>. Further details on the</w:t>
      </w:r>
      <w:r>
        <w:rPr>
          <w:lang w:eastAsia="en-GB"/>
        </w:rPr>
        <w:t xml:space="preserve"> </w:t>
      </w:r>
      <w:r w:rsidR="00B7778B">
        <w:rPr>
          <w:lang w:eastAsia="en-GB"/>
        </w:rPr>
        <w:t>manufacturer’s</w:t>
      </w:r>
      <w:r>
        <w:rPr>
          <w:lang w:eastAsia="en-GB"/>
        </w:rPr>
        <w:t xml:space="preserve"> specifications and</w:t>
      </w:r>
      <w:r w:rsidRPr="0068439A">
        <w:rPr>
          <w:lang w:eastAsia="en-GB"/>
        </w:rPr>
        <w:t xml:space="preserve"> theory of operation of the instruments</w:t>
      </w:r>
      <w:r>
        <w:rPr>
          <w:lang w:eastAsia="en-GB"/>
        </w:rPr>
        <w:t xml:space="preserve"> </w:t>
      </w:r>
      <w:r w:rsidRPr="0068439A">
        <w:rPr>
          <w:lang w:eastAsia="en-GB"/>
        </w:rPr>
        <w:t>can be found in the associated ‘</w:t>
      </w:r>
      <w:r w:rsidRPr="0068439A">
        <w:rPr>
          <w:i/>
          <w:iCs/>
          <w:lang w:eastAsia="en-GB"/>
        </w:rPr>
        <w:t>Technical Handbook</w:t>
      </w:r>
      <w:r>
        <w:rPr>
          <w:i/>
          <w:iCs/>
          <w:lang w:eastAsia="en-GB"/>
        </w:rPr>
        <w:t>s</w:t>
      </w:r>
      <w:r w:rsidRPr="0068439A">
        <w:rPr>
          <w:i/>
          <w:iCs/>
          <w:lang w:eastAsia="en-GB"/>
        </w:rPr>
        <w:t xml:space="preserve"> of FRM4VEG Instrumentation</w:t>
      </w:r>
      <w:r w:rsidRPr="0068439A">
        <w:rPr>
          <w:lang w:eastAsia="en-GB"/>
        </w:rPr>
        <w:t>’.</w:t>
      </w:r>
    </w:p>
    <w:p w14:paraId="6DB691B3" w14:textId="2CE8381D" w:rsidR="004544EA" w:rsidRDefault="0030087D" w:rsidP="0030087D">
      <w:pPr>
        <w:spacing w:line="360" w:lineRule="auto"/>
        <w:jc w:val="both"/>
        <w:rPr>
          <w:lang w:eastAsia="en-GB"/>
        </w:rPr>
      </w:pPr>
      <w:r>
        <w:rPr>
          <w:lang w:eastAsia="en-GB"/>
        </w:rPr>
        <w:t xml:space="preserve">FAPAR </w:t>
      </w:r>
      <w:r w:rsidR="00050652">
        <w:rPr>
          <w:lang w:eastAsia="en-GB"/>
        </w:rPr>
        <w:t>can</w:t>
      </w:r>
      <w:r>
        <w:rPr>
          <w:lang w:eastAsia="en-GB"/>
        </w:rPr>
        <w:t xml:space="preserve"> be derived from multi-angular measurements of</w:t>
      </w:r>
      <w:r w:rsidRPr="006B7C31">
        <w:t xml:space="preserve"> </w:t>
      </w:r>
      <w:r w:rsidRPr="006B7C31">
        <w:rPr>
          <w:lang w:eastAsia="en-GB"/>
        </w:rPr>
        <w:t>light interception</w:t>
      </w:r>
      <w:r>
        <w:rPr>
          <w:lang w:eastAsia="en-GB"/>
        </w:rPr>
        <w:t>/gap fraction provided by the LI-COR LAI-2200C Plant Canopy Analyser and digital hemispherical photography (DHP).</w:t>
      </w:r>
      <w:r w:rsidR="003C4600">
        <w:rPr>
          <w:lang w:eastAsia="en-GB"/>
        </w:rPr>
        <w:t xml:space="preserve"> </w:t>
      </w:r>
    </w:p>
    <w:p w14:paraId="1863A7B0" w14:textId="75F17EE5" w:rsidR="0030087D" w:rsidRDefault="0030087D" w:rsidP="00FD3124">
      <w:pPr>
        <w:spacing w:after="0" w:line="360" w:lineRule="auto"/>
        <w:jc w:val="both"/>
        <w:rPr>
          <w:lang w:eastAsia="en-GB"/>
        </w:rPr>
      </w:pPr>
      <w:r>
        <w:rPr>
          <w:lang w:eastAsia="en-GB"/>
        </w:rPr>
        <w:t xml:space="preserve">CCC </w:t>
      </w:r>
      <w:r w:rsidR="00DE1911">
        <w:rPr>
          <w:lang w:eastAsia="en-GB"/>
        </w:rPr>
        <w:t>is</w:t>
      </w:r>
      <w:r>
        <w:rPr>
          <w:lang w:eastAsia="en-GB"/>
        </w:rPr>
        <w:t xml:space="preserve"> determined as the product of leaf area index (LAI) and leaf chlorophyll concentration (LCC).</w:t>
      </w:r>
      <w:r w:rsidR="003C4600">
        <w:rPr>
          <w:lang w:eastAsia="en-GB"/>
        </w:rPr>
        <w:t xml:space="preserve"> </w:t>
      </w:r>
      <w:r>
        <w:rPr>
          <w:lang w:eastAsia="en-GB"/>
        </w:rPr>
        <w:t xml:space="preserve">LAI </w:t>
      </w:r>
      <w:r w:rsidR="00DE1911">
        <w:rPr>
          <w:lang w:eastAsia="en-GB"/>
        </w:rPr>
        <w:t>can</w:t>
      </w:r>
      <w:r>
        <w:rPr>
          <w:lang w:eastAsia="en-GB"/>
        </w:rPr>
        <w:t xml:space="preserve"> be derived from multi-angular measurements of </w:t>
      </w:r>
      <w:r w:rsidRPr="00E6288C">
        <w:rPr>
          <w:lang w:eastAsia="en-GB"/>
        </w:rPr>
        <w:t>light interception</w:t>
      </w:r>
      <w:r>
        <w:rPr>
          <w:lang w:eastAsia="en-GB"/>
        </w:rPr>
        <w:t>/gap fraction using the same instruments as for FAPAR, whilst LCC will be determined using a Konica Minolta SPAD-502 chlorophyll meter.</w:t>
      </w:r>
    </w:p>
    <w:p w14:paraId="106ED4E8" w14:textId="152E42D1" w:rsidR="00B0002C" w:rsidRDefault="00B0002C" w:rsidP="00B0002C"/>
    <w:p w14:paraId="093FDFF4" w14:textId="0488AF6D" w:rsidR="00652AC1" w:rsidRPr="00666EDE" w:rsidRDefault="00652AC1" w:rsidP="00FD3124">
      <w:pPr>
        <w:pStyle w:val="Heading2"/>
      </w:pPr>
      <w:bookmarkStart w:id="56" w:name="_Ref535758588"/>
      <w:bookmarkStart w:id="57" w:name="_Ref535758603"/>
      <w:bookmarkStart w:id="58" w:name="_Toc535806810"/>
      <w:bookmarkStart w:id="59" w:name="_Toc3030072"/>
      <w:bookmarkStart w:id="60" w:name="_Toc38183342"/>
      <w:bookmarkStart w:id="61" w:name="_Toc44515967"/>
      <w:r w:rsidRPr="00666EDE">
        <w:t>LI-</w:t>
      </w:r>
      <w:r w:rsidRPr="00FD3124">
        <w:t>COR</w:t>
      </w:r>
      <w:r w:rsidRPr="00666EDE">
        <w:t xml:space="preserve"> LAI-2200C Plant Canopy Analyser</w:t>
      </w:r>
      <w:bookmarkEnd w:id="56"/>
      <w:bookmarkEnd w:id="57"/>
      <w:bookmarkEnd w:id="58"/>
      <w:bookmarkEnd w:id="59"/>
      <w:bookmarkEnd w:id="60"/>
      <w:bookmarkEnd w:id="61"/>
    </w:p>
    <w:p w14:paraId="727F5C3E" w14:textId="77777777" w:rsidR="00652AC1" w:rsidRDefault="00652AC1" w:rsidP="0069303D">
      <w:pPr>
        <w:spacing w:after="0"/>
      </w:pPr>
    </w:p>
    <w:p w14:paraId="1197C12F" w14:textId="1808F9B4" w:rsidR="00652AC1" w:rsidRDefault="00652AC1" w:rsidP="00FD3124">
      <w:pPr>
        <w:spacing w:line="360" w:lineRule="auto"/>
        <w:jc w:val="both"/>
        <w:rPr>
          <w:rStyle w:val="st"/>
        </w:rPr>
      </w:pPr>
      <w:r w:rsidRPr="00EC5FC3">
        <w:t>The LAI-2200C is an instrument designed to calculate</w:t>
      </w:r>
      <w:r w:rsidR="002C3DFC">
        <w:t xml:space="preserve"> LAI</w:t>
      </w:r>
      <w:r w:rsidRPr="00EC5FC3">
        <w:t xml:space="preserve"> and other canopy attributes from multi-angular measurements of light interception</w:t>
      </w:r>
      <w:r w:rsidR="002C3DFC">
        <w:t xml:space="preserve"> </w:t>
      </w:r>
      <w:r w:rsidRPr="00EC5FC3">
        <w:t xml:space="preserve">made with </w:t>
      </w:r>
      <w:r w:rsidR="002C3DFC">
        <w:t>a ‘</w:t>
      </w:r>
      <w:r w:rsidRPr="00EC5FC3">
        <w:t>fish-eye</w:t>
      </w:r>
      <w:r w:rsidR="002C3DFC">
        <w:t>’</w:t>
      </w:r>
      <w:r w:rsidRPr="00EC5FC3">
        <w:t xml:space="preserve"> optical sensor</w:t>
      </w:r>
      <w:r w:rsidR="002C3DFC">
        <w:t xml:space="preserve"> that has</w:t>
      </w:r>
      <w:r w:rsidRPr="00EC5FC3">
        <w:t xml:space="preserve"> a 148</w:t>
      </w:r>
      <w:r w:rsidRPr="00EC5FC3">
        <w:rPr>
          <w:rStyle w:val="st"/>
        </w:rPr>
        <w:t>°</w:t>
      </w:r>
      <w:r w:rsidR="002C3DFC">
        <w:rPr>
          <w:rStyle w:val="st"/>
        </w:rPr>
        <w:t>FOV</w:t>
      </w:r>
      <w:r w:rsidRPr="00EC5FC3">
        <w:rPr>
          <w:rStyle w:val="st"/>
        </w:rPr>
        <w:t xml:space="preserve">. </w:t>
      </w:r>
      <w:r w:rsidR="002C3DFC">
        <w:t>It</w:t>
      </w:r>
      <w:r w:rsidR="002C3DFC" w:rsidRPr="00EC5FC3">
        <w:t xml:space="preserve"> measures </w:t>
      </w:r>
      <w:r w:rsidR="002C3DFC">
        <w:t>interception of diffuse light</w:t>
      </w:r>
      <w:r w:rsidR="002C3DFC" w:rsidRPr="00EC5FC3">
        <w:t xml:space="preserve"> at five zenith angles simultaneously. If the sensor is level and viewing the sky, detector 1 will measure the brightness straight overhead, while detector 5 will measure the brightness of a ring centred at the 68° zenith angle. A normal measurement with the LAI-2200C consists of a minimum of ten </w:t>
      </w:r>
      <w:r w:rsidR="002C3DFC">
        <w:t>values</w:t>
      </w:r>
      <w:r w:rsidR="002C3DFC" w:rsidRPr="00EC5FC3">
        <w:t xml:space="preserve">: five are </w:t>
      </w:r>
      <w:r w:rsidR="002C3DFC">
        <w:t>the readings</w:t>
      </w:r>
      <w:r w:rsidR="002C3DFC" w:rsidRPr="00EC5FC3">
        <w:t xml:space="preserve"> from the five detectors when the optical sensor was above the </w:t>
      </w:r>
      <w:r w:rsidR="002C3DFC">
        <w:t>canopy,</w:t>
      </w:r>
      <w:r w:rsidR="002C3DFC" w:rsidRPr="00EC5FC3">
        <w:t xml:space="preserve"> and the remaining five are the readings made with the sensor below the </w:t>
      </w:r>
      <w:r w:rsidR="002C3DFC">
        <w:t>canopy (though in reality multiple below canopy replicates are required to capture spatial variability)</w:t>
      </w:r>
      <w:r w:rsidR="002C3DFC" w:rsidRPr="00EC5FC3">
        <w:t xml:space="preserve">. Five values of canopy transmittance are calculated from these reading by dividing corresponding pairs. </w:t>
      </w:r>
    </w:p>
    <w:p w14:paraId="543C453F" w14:textId="651A3049" w:rsidR="00A071B1" w:rsidRPr="0068439A" w:rsidRDefault="00A071B1" w:rsidP="00A071B1">
      <w:pPr>
        <w:pStyle w:val="NoSpacing"/>
        <w:spacing w:line="360" w:lineRule="auto"/>
        <w:jc w:val="both"/>
        <w:rPr>
          <w:color w:val="000000" w:themeColor="text1"/>
          <w:lang w:val="en-GB"/>
        </w:rPr>
      </w:pPr>
      <w:bookmarkStart w:id="62" w:name="_Ref523478744"/>
      <w:r w:rsidRPr="0068439A">
        <w:rPr>
          <w:color w:val="000000" w:themeColor="text1"/>
          <w:lang w:val="en-GB" w:eastAsia="en-GB"/>
        </w:rPr>
        <w:t xml:space="preserve">The technical characteristics of </w:t>
      </w:r>
      <w:r w:rsidR="00037B1F">
        <w:rPr>
          <w:color w:val="000000" w:themeColor="text1"/>
          <w:lang w:val="en-GB" w:eastAsia="en-GB"/>
        </w:rPr>
        <w:t xml:space="preserve">the </w:t>
      </w:r>
      <w:r w:rsidR="00037B1F">
        <w:t>LAI-</w:t>
      </w:r>
      <w:r w:rsidR="00037B1F" w:rsidRPr="005A17B3">
        <w:t xml:space="preserve">2200C </w:t>
      </w:r>
      <w:r w:rsidRPr="005A17B3">
        <w:rPr>
          <w:color w:val="000000" w:themeColor="text1"/>
          <w:lang w:val="en-GB" w:eastAsia="en-GB"/>
        </w:rPr>
        <w:t xml:space="preserve">(Figure </w:t>
      </w:r>
      <w:r w:rsidR="00F1023F" w:rsidRPr="005A17B3">
        <w:rPr>
          <w:color w:val="000000" w:themeColor="text1"/>
          <w:lang w:val="en-GB" w:eastAsia="en-GB"/>
        </w:rPr>
        <w:t>3</w:t>
      </w:r>
      <w:r w:rsidRPr="005A17B3">
        <w:rPr>
          <w:color w:val="000000" w:themeColor="text1"/>
          <w:lang w:val="en-GB" w:eastAsia="en-GB"/>
        </w:rPr>
        <w:t>) provided</w:t>
      </w:r>
      <w:r w:rsidRPr="0068439A">
        <w:rPr>
          <w:color w:val="000000" w:themeColor="text1"/>
          <w:lang w:val="en-GB" w:eastAsia="en-GB"/>
        </w:rPr>
        <w:t xml:space="preserve"> by the manufacturer are detailed in</w:t>
      </w:r>
      <w:r w:rsidR="003C4600">
        <w:rPr>
          <w:color w:val="000000" w:themeColor="text1"/>
          <w:lang w:val="en-GB" w:eastAsia="en-GB"/>
        </w:rPr>
        <w:t xml:space="preserve"> </w:t>
      </w:r>
      <w:r w:rsidR="00037B1F">
        <w:fldChar w:fldCharType="begin" w:fldLock="1"/>
      </w:r>
      <w:r w:rsidR="00132903">
        <w:instrText>ADDIN CSL_CITATION {"citationItems":[{"id":"ITEM-1","itemData":{"author":[{"dropping-particle":"","family":"LI-COR","given":"","non-dropping-particle":"","parse-names":false,"suffix":""}],"id":"ITEM-1","issued":{"date-parts":[["2013"]]},"publisher":"LI-COR","publisher-place":"Lincoln, Nebraska, United States","title":"LAI-2200C Plant Canopy Analyser Instruction Manual","type":"book"},"uris":["http://www.mendeley.com/documents/?uuid=cf17c656-363c-4253-b375-fbc66385fac9"]}],"mendeley":{"formattedCitation":"[21]","plainTextFormattedCitation":"[21]","previouslyFormattedCitation":"[21]"},"properties":{"noteIndex":0},"schema":"https://github.com/citation-style-language/schema/raw/master/csl-citation.json"}</w:instrText>
      </w:r>
      <w:r w:rsidR="00037B1F">
        <w:fldChar w:fldCharType="separate"/>
      </w:r>
      <w:r w:rsidR="00132903" w:rsidRPr="00132903">
        <w:rPr>
          <w:noProof/>
        </w:rPr>
        <w:t>[21]</w:t>
      </w:r>
      <w:r w:rsidR="00037B1F">
        <w:fldChar w:fldCharType="end"/>
      </w:r>
      <w:r w:rsidR="00037B1F">
        <w:t xml:space="preserve"> </w:t>
      </w:r>
      <w:r w:rsidRPr="0068439A">
        <w:rPr>
          <w:color w:val="000000" w:themeColor="text1"/>
          <w:lang w:val="en-GB" w:eastAsia="en-GB"/>
        </w:rPr>
        <w:t xml:space="preserve">and </w:t>
      </w:r>
      <w:r w:rsidRPr="0068439A">
        <w:rPr>
          <w:color w:val="000000" w:themeColor="text1"/>
          <w:lang w:val="en-GB"/>
        </w:rPr>
        <w:t>in the ‘</w:t>
      </w:r>
      <w:r w:rsidRPr="0068439A">
        <w:rPr>
          <w:i/>
          <w:iCs/>
          <w:color w:val="000000" w:themeColor="text1"/>
          <w:lang w:val="en-GB"/>
        </w:rPr>
        <w:t xml:space="preserve">Technical Handbook of FRM4VEG Instrumentation: </w:t>
      </w:r>
      <w:r w:rsidR="00037B1F">
        <w:rPr>
          <w:i/>
          <w:iCs/>
          <w:color w:val="000000" w:themeColor="text1"/>
          <w:lang w:val="en-GB"/>
        </w:rPr>
        <w:t>LAI-2200C</w:t>
      </w:r>
      <w:r>
        <w:rPr>
          <w:i/>
          <w:iCs/>
          <w:color w:val="000000" w:themeColor="text1"/>
          <w:lang w:val="en-GB"/>
        </w:rPr>
        <w:t>’</w:t>
      </w:r>
      <w:r w:rsidRPr="0068439A">
        <w:rPr>
          <w:color w:val="000000" w:themeColor="text1"/>
          <w:lang w:val="en-GB"/>
        </w:rPr>
        <w:t>.</w:t>
      </w:r>
    </w:p>
    <w:p w14:paraId="3A7B4FD5" w14:textId="77777777" w:rsidR="00A071B1" w:rsidRDefault="00A071B1" w:rsidP="00652AC1">
      <w:pPr>
        <w:spacing w:line="360" w:lineRule="auto"/>
        <w:jc w:val="both"/>
      </w:pPr>
    </w:p>
    <w:bookmarkEnd w:id="62"/>
    <w:p w14:paraId="3B671C64" w14:textId="77777777" w:rsidR="00652AC1" w:rsidRDefault="00652AC1" w:rsidP="00652AC1">
      <w:pPr>
        <w:keepNext/>
        <w:jc w:val="center"/>
      </w:pPr>
      <w:r>
        <w:rPr>
          <w:noProof/>
          <w:lang w:eastAsia="en-GB"/>
        </w:rPr>
        <w:lastRenderedPageBreak/>
        <w:drawing>
          <wp:inline distT="0" distB="0" distL="0" distR="0" wp14:anchorId="3188D145" wp14:editId="68D10627">
            <wp:extent cx="1440000" cy="1614986"/>
            <wp:effectExtent l="0" t="0" r="0" b="4445"/>
            <wp:docPr id="29" name="Picture 29" descr="Image result for lai-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ai-2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1614986"/>
                    </a:xfrm>
                    <a:prstGeom prst="rect">
                      <a:avLst/>
                    </a:prstGeom>
                    <a:noFill/>
                    <a:ln>
                      <a:noFill/>
                    </a:ln>
                  </pic:spPr>
                </pic:pic>
              </a:graphicData>
            </a:graphic>
          </wp:inline>
        </w:drawing>
      </w:r>
    </w:p>
    <w:p w14:paraId="7DB8FBDF" w14:textId="5BE7C79C" w:rsidR="00652AC1" w:rsidRDefault="00652AC1" w:rsidP="00652AC1">
      <w:pPr>
        <w:pStyle w:val="Caption"/>
        <w:jc w:val="center"/>
      </w:pPr>
      <w:bookmarkStart w:id="63" w:name="_Toc37836772"/>
      <w:bookmarkStart w:id="64" w:name="_Toc41595338"/>
      <w:r>
        <w:t xml:space="preserve">Figure </w:t>
      </w:r>
      <w:fldSimple w:instr=" SEQ Figure \* ARABIC ">
        <w:r w:rsidR="00F1023F">
          <w:rPr>
            <w:noProof/>
          </w:rPr>
          <w:t>3</w:t>
        </w:r>
      </w:fldSimple>
      <w:r>
        <w:t xml:space="preserve">: </w:t>
      </w:r>
      <w:r w:rsidRPr="007876E8">
        <w:t xml:space="preserve">LI-COR LAI-2200C Plant Canopy Analyser </w:t>
      </w:r>
      <w:r w:rsidR="00B60D54">
        <w:fldChar w:fldCharType="begin" w:fldLock="1"/>
      </w:r>
      <w:r w:rsidR="00B60D54">
        <w:instrText>ADDIN CSL_CITATION {"citationItems":[{"id":"ITEM-1","itemData":{"URL":"https://www.licor.com/env/products/leaf_area/LAI-2200C/optical-sensor.html","accessed":{"date-parts":[["2017","5","10"]]},"author":[{"dropping-particle":"","family":"LI-COR","given":"","non-dropping-particle":"","parse-names":false,"suffix":""}],"id":"ITEM-1","issued":{"date-parts":[["2017"]]},"note":"Available from: https://www.licor.com/env/products/leaf_area/LAI-2200C/optical-sensor.html [accessed 10/05/2017].","title":"LAI-2200C Optical Sensor","type":"webpage"},"uris":["http://www.mendeley.com/documents/?uuid=70873c27-5544-44b2-bf19-6ba16a3500a3"]}],"mendeley":{"formattedCitation":"[12]","plainTextFormattedCitation":"[12]","previouslyFormattedCitation":"[12]"},"properties":{"noteIndex":0},"schema":"https://github.com/citation-style-language/schema/raw/master/csl-citation.json"}</w:instrText>
      </w:r>
      <w:r w:rsidR="00B60D54">
        <w:fldChar w:fldCharType="separate"/>
      </w:r>
      <w:r w:rsidR="00B60D54" w:rsidRPr="00B60D54">
        <w:rPr>
          <w:i w:val="0"/>
          <w:noProof/>
        </w:rPr>
        <w:t>[12]</w:t>
      </w:r>
      <w:r w:rsidR="00B60D54">
        <w:fldChar w:fldCharType="end"/>
      </w:r>
      <w:r w:rsidRPr="007876E8">
        <w:t>.</w:t>
      </w:r>
      <w:bookmarkEnd w:id="63"/>
      <w:bookmarkEnd w:id="64"/>
    </w:p>
    <w:p w14:paraId="68AB40F8" w14:textId="77777777" w:rsidR="00652AC1" w:rsidRPr="00666EDE" w:rsidRDefault="00652AC1" w:rsidP="00652AC1">
      <w:pPr>
        <w:rPr>
          <w:sz w:val="24"/>
          <w:szCs w:val="24"/>
          <w:lang w:val="fr-FR"/>
        </w:rPr>
      </w:pPr>
      <w:bookmarkStart w:id="65" w:name="_Ref523478764"/>
    </w:p>
    <w:p w14:paraId="0CE84D27" w14:textId="654CA578" w:rsidR="00652AC1" w:rsidRPr="00666EDE" w:rsidRDefault="00FD3124" w:rsidP="00FD3124">
      <w:pPr>
        <w:pStyle w:val="Heading2"/>
      </w:pPr>
      <w:bookmarkStart w:id="66" w:name="_Ref535758594"/>
      <w:bookmarkStart w:id="67" w:name="_Ref535758607"/>
      <w:bookmarkStart w:id="68" w:name="_Toc535806811"/>
      <w:bookmarkStart w:id="69" w:name="_Toc3030073"/>
      <w:bookmarkStart w:id="70" w:name="_Toc38183343"/>
      <w:bookmarkStart w:id="71" w:name="_Toc44515968"/>
      <w:bookmarkEnd w:id="65"/>
      <w:r>
        <w:t>DSLR</w:t>
      </w:r>
      <w:r w:rsidR="00652AC1" w:rsidRPr="00666EDE">
        <w:t xml:space="preserve"> Camera and Fisheye Lens</w:t>
      </w:r>
      <w:bookmarkEnd w:id="66"/>
      <w:bookmarkEnd w:id="67"/>
      <w:bookmarkEnd w:id="68"/>
      <w:bookmarkEnd w:id="69"/>
      <w:bookmarkEnd w:id="70"/>
      <w:r w:rsidR="00822A91">
        <w:t xml:space="preserve"> for </w:t>
      </w:r>
      <w:r>
        <w:t>DHP</w:t>
      </w:r>
      <w:bookmarkEnd w:id="71"/>
    </w:p>
    <w:p w14:paraId="46E48997" w14:textId="77777777" w:rsidR="00652AC1" w:rsidRPr="0097285E" w:rsidRDefault="00652AC1" w:rsidP="0069303D">
      <w:pPr>
        <w:spacing w:after="0"/>
      </w:pPr>
    </w:p>
    <w:p w14:paraId="36F649C9" w14:textId="0A539D47" w:rsidR="003D38BB" w:rsidRPr="0068439A" w:rsidRDefault="00EB7838" w:rsidP="003D38BB">
      <w:pPr>
        <w:pStyle w:val="NoSpacing"/>
        <w:spacing w:line="360" w:lineRule="auto"/>
        <w:jc w:val="both"/>
        <w:rPr>
          <w:color w:val="000000" w:themeColor="text1"/>
          <w:lang w:val="en-GB"/>
        </w:rPr>
      </w:pPr>
      <w:r>
        <w:t>As detailed in Section 2.1 and 2.2, DHP provides a means of measuring gap fraction at multiple angles, from which several canopy attributes</w:t>
      </w:r>
      <w:r w:rsidR="001935FE">
        <w:t xml:space="preserve"> (including LAI and FAPAR)</w:t>
      </w:r>
      <w:r>
        <w:t xml:space="preserve"> can be derived. </w:t>
      </w:r>
      <w:r w:rsidR="00822A91">
        <w:t xml:space="preserve">In the FRM4VEG project, a </w:t>
      </w:r>
      <w:r w:rsidR="00652AC1">
        <w:t xml:space="preserve">Canon </w:t>
      </w:r>
      <w:r w:rsidR="00652AC1" w:rsidRPr="00464AF9">
        <w:t xml:space="preserve">EOS </w:t>
      </w:r>
      <w:r w:rsidR="00652AC1">
        <w:t xml:space="preserve">6D </w:t>
      </w:r>
      <w:r w:rsidR="00822A91">
        <w:t>was operated with</w:t>
      </w:r>
      <w:r w:rsidR="00EB6E7B">
        <w:t xml:space="preserve"> </w:t>
      </w:r>
      <w:r w:rsidR="00652AC1">
        <w:t>the Sigma 8 mm F3.5 EX DG fisheye lens for the purposes of DHP.</w:t>
      </w:r>
      <w:r w:rsidR="003C4600">
        <w:t xml:space="preserve"> </w:t>
      </w:r>
      <w:r w:rsidR="003D38BB" w:rsidRPr="0068439A">
        <w:rPr>
          <w:color w:val="000000" w:themeColor="text1"/>
          <w:lang w:val="en-GB" w:eastAsia="en-GB"/>
        </w:rPr>
        <w:t xml:space="preserve">The technical characteristics of </w:t>
      </w:r>
      <w:r w:rsidR="003D38BB">
        <w:rPr>
          <w:color w:val="000000" w:themeColor="text1"/>
          <w:lang w:val="en-GB" w:eastAsia="en-GB"/>
        </w:rPr>
        <w:t xml:space="preserve">the </w:t>
      </w:r>
      <w:r w:rsidR="00822A91">
        <w:t xml:space="preserve">camera </w:t>
      </w:r>
      <w:r w:rsidR="00822A91" w:rsidRPr="005A17B3">
        <w:t>and lens</w:t>
      </w:r>
      <w:r w:rsidR="00822A91" w:rsidRPr="005A17B3">
        <w:rPr>
          <w:color w:val="000000" w:themeColor="text1"/>
          <w:lang w:val="en-GB" w:eastAsia="en-GB"/>
        </w:rPr>
        <w:t xml:space="preserve"> </w:t>
      </w:r>
      <w:r w:rsidR="003D38BB" w:rsidRPr="005A17B3">
        <w:rPr>
          <w:color w:val="000000" w:themeColor="text1"/>
          <w:lang w:val="en-GB" w:eastAsia="en-GB"/>
        </w:rPr>
        <w:t xml:space="preserve">(Figure </w:t>
      </w:r>
      <w:r w:rsidR="00F1023F" w:rsidRPr="005A17B3">
        <w:rPr>
          <w:color w:val="000000" w:themeColor="text1"/>
          <w:lang w:val="en-GB" w:eastAsia="en-GB"/>
        </w:rPr>
        <w:t>4</w:t>
      </w:r>
      <w:r w:rsidR="003D38BB" w:rsidRPr="005A17B3">
        <w:rPr>
          <w:color w:val="000000" w:themeColor="text1"/>
          <w:lang w:val="en-GB" w:eastAsia="en-GB"/>
        </w:rPr>
        <w:t>) provided by the</w:t>
      </w:r>
      <w:r w:rsidR="00822A91" w:rsidRPr="005A17B3">
        <w:rPr>
          <w:color w:val="000000" w:themeColor="text1"/>
          <w:lang w:val="en-GB" w:eastAsia="en-GB"/>
        </w:rPr>
        <w:t xml:space="preserve"> respective</w:t>
      </w:r>
      <w:r w:rsidR="003D38BB" w:rsidRPr="005A17B3">
        <w:rPr>
          <w:color w:val="000000" w:themeColor="text1"/>
          <w:lang w:val="en-GB" w:eastAsia="en-GB"/>
        </w:rPr>
        <w:t xml:space="preserve"> </w:t>
      </w:r>
      <w:r w:rsidR="00822A91" w:rsidRPr="005A17B3">
        <w:rPr>
          <w:color w:val="000000" w:themeColor="text1"/>
          <w:lang w:val="en-GB" w:eastAsia="en-GB"/>
        </w:rPr>
        <w:t>manufacturers</w:t>
      </w:r>
      <w:r w:rsidR="003D38BB" w:rsidRPr="005A17B3">
        <w:rPr>
          <w:color w:val="000000" w:themeColor="text1"/>
          <w:lang w:val="en-GB" w:eastAsia="en-GB"/>
        </w:rPr>
        <w:t xml:space="preserve"> are detailed in </w:t>
      </w:r>
      <w:r w:rsidR="003D38BB" w:rsidRPr="005A17B3">
        <w:fldChar w:fldCharType="begin" w:fldLock="1"/>
      </w:r>
      <w:r w:rsidR="00132903" w:rsidRPr="005A17B3">
        <w:instrText>ADDIN CSL_CITATION {"citationItems":[{"id":"ITEM-1","itemData":{"URL":"https://www.canon.co.uk/for_home/product_finder/cameras/digital_slr/eos_6d/specification.aspx","accessed":{"date-parts":[["2018","8","24"]]},"author":[{"dropping-particle":"","family":"Canon","given":"","non-dropping-particle":"","parse-names":false,"suffix":""}],"id":"ITEM-1","issued":{"date-parts":[["0"]]},"note":"Available from: https://www.canon.co.uk/for_home/product_finder/cameras/digital_slr/eos_6d/specification.aspx [accessed 24/08/2018].","title":"Canon EOS 6D Specification","type":"webpage"},"uris":["http://www.mendeley.com/documents/?uuid=c9b65669-d2b6-4cb3-83cb-59bad4fefb3b"]}],"mendeley":{"formattedCitation":"[22]","plainTextFormattedCitation":"[22]","previouslyFormattedCitation":"[22]"},"properties":{"noteIndex":0},"schema":"https://github.com/citation-style-language/schema/raw/master/csl-citation.json"}</w:instrText>
      </w:r>
      <w:r w:rsidR="003D38BB" w:rsidRPr="005A17B3">
        <w:fldChar w:fldCharType="separate"/>
      </w:r>
      <w:r w:rsidR="00132903" w:rsidRPr="005A17B3">
        <w:rPr>
          <w:noProof/>
        </w:rPr>
        <w:t>[22]</w:t>
      </w:r>
      <w:r w:rsidR="003D38BB" w:rsidRPr="005A17B3">
        <w:fldChar w:fldCharType="end"/>
      </w:r>
      <w:r w:rsidR="003D38BB" w:rsidRPr="005A17B3">
        <w:t xml:space="preserve"> </w:t>
      </w:r>
      <w:r w:rsidR="003D38BB" w:rsidRPr="005A17B3">
        <w:rPr>
          <w:color w:val="000000" w:themeColor="text1"/>
          <w:lang w:val="en-GB" w:eastAsia="en-GB"/>
        </w:rPr>
        <w:t xml:space="preserve">and </w:t>
      </w:r>
      <w:r w:rsidR="003D38BB" w:rsidRPr="005A17B3">
        <w:rPr>
          <w:color w:val="000000" w:themeColor="text1"/>
          <w:lang w:val="en-GB"/>
        </w:rPr>
        <w:t>in the ‘</w:t>
      </w:r>
      <w:r w:rsidR="003D38BB" w:rsidRPr="005A17B3">
        <w:rPr>
          <w:i/>
          <w:iCs/>
          <w:color w:val="000000" w:themeColor="text1"/>
          <w:lang w:val="en-GB"/>
        </w:rPr>
        <w:t>Technical Handbook of FRM4VEG</w:t>
      </w:r>
      <w:r w:rsidR="003D38BB" w:rsidRPr="0068439A">
        <w:rPr>
          <w:i/>
          <w:iCs/>
          <w:color w:val="000000" w:themeColor="text1"/>
          <w:lang w:val="en-GB"/>
        </w:rPr>
        <w:t xml:space="preserve"> Instrumentation: </w:t>
      </w:r>
      <w:r w:rsidR="00822A91" w:rsidRPr="00822A91">
        <w:rPr>
          <w:i/>
          <w:iCs/>
          <w:color w:val="000000" w:themeColor="text1"/>
          <w:lang w:val="en-GB"/>
        </w:rPr>
        <w:t>Canon EOS 6D Digital Single Lens Reflex Camera and Sigma 8 mm F3.5 EX DG Fisheye Lens</w:t>
      </w:r>
      <w:r w:rsidR="00822A91">
        <w:rPr>
          <w:i/>
          <w:iCs/>
          <w:color w:val="000000" w:themeColor="text1"/>
          <w:lang w:val="en-GB"/>
        </w:rPr>
        <w:t>’</w:t>
      </w:r>
      <w:r w:rsidR="003D38BB" w:rsidRPr="0068439A">
        <w:rPr>
          <w:color w:val="000000" w:themeColor="text1"/>
          <w:lang w:val="en-GB"/>
        </w:rPr>
        <w:t>.</w:t>
      </w:r>
    </w:p>
    <w:p w14:paraId="5370D035" w14:textId="77777777" w:rsidR="00652AC1" w:rsidRDefault="00652AC1" w:rsidP="00652AC1">
      <w:pPr>
        <w:keepNext/>
        <w:jc w:val="center"/>
      </w:pPr>
      <w:r w:rsidRPr="006F11F1">
        <w:rPr>
          <w:noProof/>
          <w:lang w:eastAsia="en-GB"/>
        </w:rPr>
        <w:drawing>
          <wp:inline distT="0" distB="0" distL="0" distR="0" wp14:anchorId="35E5E7F3" wp14:editId="4CDE527E">
            <wp:extent cx="1440000" cy="1345352"/>
            <wp:effectExtent l="0" t="0" r="8255" b="7620"/>
            <wp:docPr id="21" name="Picture 21" descr="https://www.wexphotovideo.com/globalassets/product-images/1630000/163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roduct-image" descr="https://www.wexphotovideo.com/globalassets/product-images/1630000/163056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6" t="884" r="7214" b="11190"/>
                    <a:stretch/>
                  </pic:blipFill>
                  <pic:spPr bwMode="auto">
                    <a:xfrm>
                      <a:off x="0" y="0"/>
                      <a:ext cx="1440000" cy="1345352"/>
                    </a:xfrm>
                    <a:prstGeom prst="rect">
                      <a:avLst/>
                    </a:prstGeom>
                    <a:noFill/>
                    <a:ln>
                      <a:noFill/>
                    </a:ln>
                    <a:extLst>
                      <a:ext uri="{53640926-AAD7-44D8-BBD7-CCE9431645EC}">
                        <a14:shadowObscured xmlns:a14="http://schemas.microsoft.com/office/drawing/2010/main"/>
                      </a:ext>
                    </a:extLst>
                  </pic:spPr>
                </pic:pic>
              </a:graphicData>
            </a:graphic>
          </wp:inline>
        </w:drawing>
      </w:r>
    </w:p>
    <w:p w14:paraId="29F06835" w14:textId="250B0D53" w:rsidR="00652AC1" w:rsidRPr="00314496" w:rsidRDefault="00652AC1" w:rsidP="00652AC1">
      <w:pPr>
        <w:pStyle w:val="Caption"/>
        <w:jc w:val="center"/>
      </w:pPr>
      <w:bookmarkStart w:id="72" w:name="_Toc37836773"/>
      <w:bookmarkStart w:id="73" w:name="_Toc41595339"/>
      <w:r>
        <w:t xml:space="preserve">Figure </w:t>
      </w:r>
      <w:fldSimple w:instr=" SEQ Figure \* ARABIC ">
        <w:r w:rsidR="00F1023F">
          <w:rPr>
            <w:noProof/>
          </w:rPr>
          <w:t>4</w:t>
        </w:r>
      </w:fldSimple>
      <w:r>
        <w:t xml:space="preserve">: </w:t>
      </w:r>
      <w:r w:rsidRPr="00862743">
        <w:t xml:space="preserve">Canon EOS 6D DSLR camera </w:t>
      </w:r>
      <w:bookmarkEnd w:id="72"/>
      <w:r w:rsidR="00B60D54">
        <w:fldChar w:fldCharType="begin" w:fldLock="1"/>
      </w:r>
      <w:r w:rsidR="00132903">
        <w:instrText>ADDIN CSL_CITATION {"citationItems":[{"id":"ITEM-1","itemData":{"author":[{"dropping-particle":"","family":"Canon","given":"","non-dropping-particle":"","parse-names":false,"suffix":""}],"id":"ITEM-1","issued":{"date-parts":[["2017"]]},"publisher":"Canon","publisher-place":"Tokyo, Japan","title":"EOS 6D Instruction Manual","type":"book"},"uris":["http://www.mendeley.com/documents/?uuid=9fa69d6b-6308-43d9-9fa8-12003cfcb7c7"]}],"mendeley":{"formattedCitation":"[23]","plainTextFormattedCitation":"[23]","previouslyFormattedCitation":"[23]"},"properties":{"noteIndex":0},"schema":"https://github.com/citation-style-language/schema/raw/master/csl-citation.json"}</w:instrText>
      </w:r>
      <w:r w:rsidR="00B60D54">
        <w:fldChar w:fldCharType="separate"/>
      </w:r>
      <w:r w:rsidR="00132903" w:rsidRPr="00132903">
        <w:rPr>
          <w:i w:val="0"/>
          <w:noProof/>
        </w:rPr>
        <w:t>[23]</w:t>
      </w:r>
      <w:r w:rsidR="00B60D54">
        <w:fldChar w:fldCharType="end"/>
      </w:r>
      <w:r w:rsidR="00B60D54">
        <w:t>.</w:t>
      </w:r>
      <w:bookmarkEnd w:id="73"/>
    </w:p>
    <w:p w14:paraId="06DA82C3" w14:textId="77777777" w:rsidR="00652AC1" w:rsidRDefault="00652AC1" w:rsidP="00652AC1">
      <w:pPr>
        <w:jc w:val="both"/>
      </w:pPr>
    </w:p>
    <w:p w14:paraId="07D72D96" w14:textId="77777777" w:rsidR="00652AC1" w:rsidRPr="00666EDE" w:rsidRDefault="00652AC1" w:rsidP="00FD3124">
      <w:pPr>
        <w:pStyle w:val="Heading2"/>
      </w:pPr>
      <w:bookmarkStart w:id="74" w:name="_Ref535758611"/>
      <w:bookmarkStart w:id="75" w:name="_Toc535806812"/>
      <w:bookmarkStart w:id="76" w:name="_Toc3030074"/>
      <w:bookmarkStart w:id="77" w:name="_Toc38183344"/>
      <w:bookmarkStart w:id="78" w:name="_Toc44515969"/>
      <w:r w:rsidRPr="00666EDE">
        <w:t xml:space="preserve">Konica Minolta </w:t>
      </w:r>
      <w:r w:rsidRPr="00FD3124">
        <w:t>SPAD</w:t>
      </w:r>
      <w:r w:rsidRPr="00666EDE">
        <w:t>-502 Chlorophyll Meter</w:t>
      </w:r>
      <w:bookmarkEnd w:id="74"/>
      <w:bookmarkEnd w:id="75"/>
      <w:bookmarkEnd w:id="76"/>
      <w:bookmarkEnd w:id="77"/>
      <w:bookmarkEnd w:id="78"/>
    </w:p>
    <w:p w14:paraId="64FC968D" w14:textId="77777777" w:rsidR="00652AC1" w:rsidRDefault="00652AC1" w:rsidP="0069303D">
      <w:pPr>
        <w:spacing w:after="0"/>
      </w:pPr>
    </w:p>
    <w:p w14:paraId="49288EDE" w14:textId="21B63EA5" w:rsidR="00652AC1" w:rsidRDefault="00652AC1" w:rsidP="00652AC1">
      <w:pPr>
        <w:spacing w:line="360" w:lineRule="auto"/>
        <w:jc w:val="both"/>
      </w:pPr>
      <w:r w:rsidRPr="00FC473D">
        <w:t>The SPAD-502</w:t>
      </w:r>
      <w:r>
        <w:t xml:space="preserve"> </w:t>
      </w:r>
      <w:r w:rsidRPr="00FC473D">
        <w:t>is a compact handheld instrument to quickly and non-destructively provide a relative measure of</w:t>
      </w:r>
      <w:r>
        <w:t xml:space="preserve"> LCC.</w:t>
      </w:r>
      <w:r w:rsidR="003C4600">
        <w:t xml:space="preserve"> </w:t>
      </w:r>
      <w:r>
        <w:t xml:space="preserve">The amount of chlorophyll present in plant leaves can serve as an indicator of the overall condition of the plant itself. In general, healthier plants contain more chlorophyll than less healthy ones. </w:t>
      </w:r>
      <w:r w:rsidRPr="00FC473D">
        <w:t>The instrument is water resistant and can be used in a variety of environmental conditions, and its measurement area of 2 mm x 3 mm enables even small leaves to be measured.</w:t>
      </w:r>
      <w:r w:rsidR="0007612D" w:rsidRPr="0007612D">
        <w:t xml:space="preserve"> </w:t>
      </w:r>
    </w:p>
    <w:p w14:paraId="1F9D252F" w14:textId="375C91F9" w:rsidR="003219E9" w:rsidRPr="0068439A" w:rsidRDefault="003219E9" w:rsidP="003219E9">
      <w:pPr>
        <w:pStyle w:val="NoSpacing"/>
        <w:spacing w:line="360" w:lineRule="auto"/>
        <w:jc w:val="both"/>
        <w:rPr>
          <w:color w:val="000000" w:themeColor="text1"/>
          <w:lang w:val="en-GB"/>
        </w:rPr>
      </w:pPr>
      <w:r w:rsidRPr="0068439A">
        <w:rPr>
          <w:color w:val="000000" w:themeColor="text1"/>
          <w:lang w:val="en-GB" w:eastAsia="en-GB"/>
        </w:rPr>
        <w:t xml:space="preserve">The technical characteristics of </w:t>
      </w:r>
      <w:r>
        <w:rPr>
          <w:color w:val="000000" w:themeColor="text1"/>
          <w:lang w:val="en-GB" w:eastAsia="en-GB"/>
        </w:rPr>
        <w:t xml:space="preserve">the </w:t>
      </w:r>
      <w:r w:rsidR="001575D2">
        <w:t>SPAD-</w:t>
      </w:r>
      <w:r w:rsidR="001575D2" w:rsidRPr="005A17B3">
        <w:t>502</w:t>
      </w:r>
      <w:r w:rsidR="001575D2" w:rsidRPr="005A17B3">
        <w:rPr>
          <w:color w:val="000000" w:themeColor="text1"/>
          <w:lang w:val="en-GB" w:eastAsia="en-GB"/>
        </w:rPr>
        <w:t xml:space="preserve"> </w:t>
      </w:r>
      <w:r w:rsidRPr="005A17B3">
        <w:rPr>
          <w:color w:val="000000" w:themeColor="text1"/>
          <w:lang w:val="en-GB" w:eastAsia="en-GB"/>
        </w:rPr>
        <w:t xml:space="preserve">(Figure </w:t>
      </w:r>
      <w:r w:rsidR="00F1023F" w:rsidRPr="005A17B3">
        <w:rPr>
          <w:color w:val="000000" w:themeColor="text1"/>
          <w:lang w:val="en-GB" w:eastAsia="en-GB"/>
        </w:rPr>
        <w:t>5</w:t>
      </w:r>
      <w:r w:rsidRPr="005A17B3">
        <w:rPr>
          <w:color w:val="000000" w:themeColor="text1"/>
          <w:lang w:val="en-GB" w:eastAsia="en-GB"/>
        </w:rPr>
        <w:t>) provided</w:t>
      </w:r>
      <w:r w:rsidRPr="0068439A">
        <w:rPr>
          <w:color w:val="000000" w:themeColor="text1"/>
          <w:lang w:val="en-GB" w:eastAsia="en-GB"/>
        </w:rPr>
        <w:t xml:space="preserve"> by the manufacturer are detailed in </w:t>
      </w:r>
      <w:r>
        <w:fldChar w:fldCharType="begin" w:fldLock="1"/>
      </w:r>
      <w:r w:rsidR="00132903">
        <w:instrText>ADDIN CSL_CITATION {"citationItems":[{"id":"ITEM-1","itemData":{"author":[{"dropping-particle":"","family":"Minolta","given":"","non-dropping-particle":"","parse-names":false,"suffix":""}],"id":"ITEM-1","issued":{"date-parts":[["0"]]},"publisher":"Minolta","publisher-place":"Osaka, Japan","title":"Chlorophyll Meter SPAD-502","type":"book"},"uris":["http://www.mendeley.com/documents/?uuid=b1eb0efe-0f2c-476f-b8c8-a8dc188c5df6"]}],"mendeley":{"formattedCitation":"[24]","plainTextFormattedCitation":"[24]","previouslyFormattedCitation":"[24]"},"properties":{"noteIndex":0},"schema":"https://github.com/citation-style-language/schema/raw/master/csl-citation.json"}</w:instrText>
      </w:r>
      <w:r>
        <w:fldChar w:fldCharType="separate"/>
      </w:r>
      <w:r w:rsidR="00132903" w:rsidRPr="00132903">
        <w:rPr>
          <w:noProof/>
        </w:rPr>
        <w:t>[24]</w:t>
      </w:r>
      <w:r>
        <w:fldChar w:fldCharType="end"/>
      </w:r>
      <w:r w:rsidRPr="0068439A">
        <w:rPr>
          <w:color w:val="000000" w:themeColor="text1"/>
          <w:lang w:val="en-GB" w:eastAsia="en-GB"/>
        </w:rPr>
        <w:t xml:space="preserve"> </w:t>
      </w:r>
      <w:r>
        <w:rPr>
          <w:color w:val="000000" w:themeColor="text1"/>
          <w:lang w:val="en-GB" w:eastAsia="en-GB"/>
        </w:rPr>
        <w:t>a</w:t>
      </w:r>
      <w:r w:rsidRPr="0068439A">
        <w:rPr>
          <w:color w:val="000000" w:themeColor="text1"/>
          <w:lang w:val="en-GB" w:eastAsia="en-GB"/>
        </w:rPr>
        <w:t xml:space="preserve">nd </w:t>
      </w:r>
      <w:r w:rsidRPr="0068439A">
        <w:rPr>
          <w:color w:val="000000" w:themeColor="text1"/>
          <w:lang w:val="en-GB"/>
        </w:rPr>
        <w:t>in the ‘</w:t>
      </w:r>
      <w:r w:rsidRPr="0068439A">
        <w:rPr>
          <w:i/>
          <w:iCs/>
          <w:color w:val="000000" w:themeColor="text1"/>
          <w:lang w:val="en-GB"/>
        </w:rPr>
        <w:t xml:space="preserve">Technical Handbook of FRM4VEG Instrumentation: </w:t>
      </w:r>
      <w:r w:rsidR="0007612D">
        <w:rPr>
          <w:i/>
          <w:iCs/>
          <w:color w:val="000000" w:themeColor="text1"/>
          <w:lang w:val="en-GB"/>
        </w:rPr>
        <w:t>Konica Minolta SPAD-502 Chlorophyll Meter</w:t>
      </w:r>
      <w:r w:rsidR="001575D2">
        <w:rPr>
          <w:i/>
          <w:iCs/>
          <w:color w:val="000000" w:themeColor="text1"/>
          <w:lang w:val="en-GB"/>
        </w:rPr>
        <w:t>‘</w:t>
      </w:r>
      <w:r w:rsidRPr="0068439A">
        <w:rPr>
          <w:color w:val="000000" w:themeColor="text1"/>
          <w:lang w:val="en-GB"/>
        </w:rPr>
        <w:t>.</w:t>
      </w:r>
    </w:p>
    <w:p w14:paraId="33FDA6DA" w14:textId="1F97ACFA" w:rsidR="00652AC1" w:rsidRDefault="00652AC1" w:rsidP="00652AC1">
      <w:pPr>
        <w:spacing w:line="360" w:lineRule="auto"/>
        <w:jc w:val="both"/>
      </w:pPr>
    </w:p>
    <w:p w14:paraId="24F6C89F" w14:textId="77777777" w:rsidR="00652AC1" w:rsidRDefault="00652AC1" w:rsidP="00652AC1">
      <w:pPr>
        <w:keepNext/>
        <w:jc w:val="center"/>
      </w:pPr>
      <w:r w:rsidRPr="00074C6C">
        <w:rPr>
          <w:noProof/>
          <w:lang w:eastAsia="en-GB"/>
        </w:rPr>
        <w:drawing>
          <wp:inline distT="0" distB="0" distL="0" distR="0" wp14:anchorId="3258C0DB" wp14:editId="21351F2B">
            <wp:extent cx="2160000" cy="1188216"/>
            <wp:effectExtent l="0" t="0" r="0" b="0"/>
            <wp:docPr id="30" name="Picture 30" descr="Image result for spad-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pad-5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188216"/>
                    </a:xfrm>
                    <a:prstGeom prst="rect">
                      <a:avLst/>
                    </a:prstGeom>
                    <a:noFill/>
                    <a:ln>
                      <a:noFill/>
                    </a:ln>
                  </pic:spPr>
                </pic:pic>
              </a:graphicData>
            </a:graphic>
          </wp:inline>
        </w:drawing>
      </w:r>
    </w:p>
    <w:p w14:paraId="43A810AD" w14:textId="2DE29A8C" w:rsidR="00652AC1" w:rsidRPr="00350E8F" w:rsidRDefault="00652AC1" w:rsidP="00822A91">
      <w:pPr>
        <w:pStyle w:val="Caption"/>
        <w:jc w:val="center"/>
        <w:rPr>
          <w:lang w:eastAsia="en-GB"/>
        </w:rPr>
      </w:pPr>
      <w:bookmarkStart w:id="79" w:name="_Toc37836774"/>
      <w:bookmarkStart w:id="80" w:name="_Toc41595340"/>
      <w:r>
        <w:t xml:space="preserve">Figure </w:t>
      </w:r>
      <w:r w:rsidR="00FD3124">
        <w:rPr>
          <w:i w:val="0"/>
          <w:iCs w:val="0"/>
        </w:rPr>
        <w:fldChar w:fldCharType="begin"/>
      </w:r>
      <w:r w:rsidR="00FD3124">
        <w:rPr>
          <w:i w:val="0"/>
          <w:iCs w:val="0"/>
        </w:rPr>
        <w:instrText xml:space="preserve"> SEQ Figure \* ARABIC </w:instrText>
      </w:r>
      <w:r w:rsidR="00FD3124">
        <w:rPr>
          <w:i w:val="0"/>
          <w:iCs w:val="0"/>
        </w:rPr>
        <w:fldChar w:fldCharType="separate"/>
      </w:r>
      <w:r w:rsidR="00F1023F">
        <w:rPr>
          <w:noProof/>
        </w:rPr>
        <w:t>5</w:t>
      </w:r>
      <w:r w:rsidR="00FD3124">
        <w:rPr>
          <w:i w:val="0"/>
          <w:iCs w:val="0"/>
          <w:noProof/>
          <w:color w:val="auto"/>
          <w:sz w:val="22"/>
          <w:szCs w:val="22"/>
        </w:rPr>
        <w:fldChar w:fldCharType="end"/>
      </w:r>
      <w:r>
        <w:t xml:space="preserve">: </w:t>
      </w:r>
      <w:r w:rsidRPr="00632B07">
        <w:t>Konica</w:t>
      </w:r>
      <w:r w:rsidR="001575D2">
        <w:t xml:space="preserve"> </w:t>
      </w:r>
      <w:r w:rsidRPr="00632B07">
        <w:t>Minolta SPAD-502</w:t>
      </w:r>
      <w:r w:rsidR="00B60D54">
        <w:t xml:space="preserve"> </w:t>
      </w:r>
      <w:r w:rsidR="00B60D54">
        <w:fldChar w:fldCharType="begin" w:fldLock="1"/>
      </w:r>
      <w:r w:rsidR="00132903">
        <w:instrText>ADDIN CSL_CITATION {"citationItems":[{"id":"ITEM-1","itemData":{"URL":"https://www.konicaminolta.eu/en/measuring-instruments/products/colour-measurement/discontinued-products/spad-502.html","accessed":{"date-parts":[["2018","8","24"]]},"author":[{"dropping-particle":"","family":"Konica Minolta","given":"","non-dropping-particle":"","parse-names":false,"suffix":""}],"id":"ITEM-1","issued":{"date-parts":[["0"]]},"note":"Available from: https://www.konicaminolta.eu/en/measuring-instruments/products/colour-measurement/discontinued-products/spad-502.html [accessed 24/08/2018].","title":"Chlorophyll Meter SPAD-502","type":"webpage"},"uris":["http://www.mendeley.com/documents/?uuid=6d16b8cf-b07f-4d5b-b67d-0c4647e3a77d"]}],"mendeley":{"formattedCitation":"[25]","plainTextFormattedCitation":"[25]","previouslyFormattedCitation":"[25]"},"properties":{"noteIndex":0},"schema":"https://github.com/citation-style-language/schema/raw/master/csl-citation.json"}</w:instrText>
      </w:r>
      <w:r w:rsidR="00B60D54">
        <w:fldChar w:fldCharType="separate"/>
      </w:r>
      <w:r w:rsidR="00132903" w:rsidRPr="00132903">
        <w:rPr>
          <w:i w:val="0"/>
          <w:noProof/>
        </w:rPr>
        <w:t>[25]</w:t>
      </w:r>
      <w:r w:rsidR="00B60D54">
        <w:fldChar w:fldCharType="end"/>
      </w:r>
      <w:r w:rsidRPr="00632B07">
        <w:t>.</w:t>
      </w:r>
      <w:bookmarkEnd w:id="79"/>
      <w:bookmarkEnd w:id="80"/>
    </w:p>
    <w:p w14:paraId="63697965" w14:textId="2D20001F" w:rsidR="00B0002C" w:rsidRDefault="00B0002C" w:rsidP="00465F8E">
      <w:pPr>
        <w:spacing w:after="0"/>
      </w:pPr>
    </w:p>
    <w:p w14:paraId="3FB17DE7" w14:textId="77777777" w:rsidR="00526699" w:rsidRPr="00B0002C" w:rsidRDefault="00526699" w:rsidP="00465F8E">
      <w:pPr>
        <w:spacing w:after="0"/>
      </w:pPr>
    </w:p>
    <w:p w14:paraId="19141B92" w14:textId="3EFE9778" w:rsidR="00526699" w:rsidRDefault="00526699" w:rsidP="00526699">
      <w:pPr>
        <w:pStyle w:val="Heading2"/>
      </w:pPr>
      <w:bookmarkStart w:id="81" w:name="_Toc41574054"/>
      <w:bookmarkStart w:id="82" w:name="_Toc44515970"/>
      <w:r w:rsidRPr="00CB3AE8">
        <w:t>SQ-110 PAR Sensor</w:t>
      </w:r>
      <w:bookmarkEnd w:id="81"/>
      <w:bookmarkEnd w:id="82"/>
    </w:p>
    <w:p w14:paraId="4805A040" w14:textId="77777777" w:rsidR="00526699" w:rsidRPr="00526699" w:rsidRDefault="00526699" w:rsidP="00526699">
      <w:pPr>
        <w:spacing w:after="0"/>
      </w:pPr>
    </w:p>
    <w:p w14:paraId="33727426" w14:textId="1E1D60CD" w:rsidR="00526699" w:rsidRPr="0068439A" w:rsidRDefault="00526699" w:rsidP="00526699">
      <w:pPr>
        <w:pStyle w:val="NoSpacing"/>
        <w:spacing w:line="360" w:lineRule="auto"/>
        <w:jc w:val="both"/>
        <w:rPr>
          <w:color w:val="000000" w:themeColor="text1"/>
          <w:lang w:val="en-GB"/>
        </w:rPr>
      </w:pPr>
      <w:r w:rsidRPr="00C81259">
        <w:t>The SQ-</w:t>
      </w:r>
      <w:r w:rsidRPr="005A17B3">
        <w:t>110 (Figure 6) is</w:t>
      </w:r>
      <w:r w:rsidRPr="00C81259">
        <w:t xml:space="preserve"> a self-powered quantum sensor that measures photosynthetically active radiation (PAR) and it is calibrated for use in sunlight. The sensor housing design features a fully potted, domed-shaped head making the sensor fully weatherproof and self-cleaning.</w:t>
      </w:r>
      <w:r w:rsidRPr="0068439A">
        <w:rPr>
          <w:color w:val="000000" w:themeColor="text1"/>
          <w:lang w:val="en-GB" w:eastAsia="en-GB"/>
        </w:rPr>
        <w:t xml:space="preserve">The technical characteristics of </w:t>
      </w:r>
      <w:r>
        <w:rPr>
          <w:color w:val="000000" w:themeColor="text1"/>
          <w:lang w:val="en-GB" w:eastAsia="en-GB"/>
        </w:rPr>
        <w:t xml:space="preserve">the </w:t>
      </w:r>
      <w:r>
        <w:t>SQ-110 PAR sensor</w:t>
      </w:r>
      <w:r w:rsidRPr="0068439A">
        <w:rPr>
          <w:color w:val="000000" w:themeColor="text1"/>
          <w:lang w:val="en-GB" w:eastAsia="en-GB"/>
        </w:rPr>
        <w:t xml:space="preserve"> (</w:t>
      </w:r>
      <w:r>
        <w:rPr>
          <w:color w:val="000000" w:themeColor="text1"/>
          <w:lang w:val="en-GB" w:eastAsia="en-GB"/>
        </w:rPr>
        <w:t>Figure 6</w:t>
      </w:r>
      <w:r w:rsidRPr="00526699">
        <w:rPr>
          <w:color w:val="000000" w:themeColor="text1"/>
          <w:lang w:val="en-GB" w:eastAsia="en-GB"/>
        </w:rPr>
        <w:t>)</w:t>
      </w:r>
      <w:r w:rsidRPr="0068439A">
        <w:rPr>
          <w:color w:val="000000" w:themeColor="text1"/>
          <w:lang w:val="en-GB" w:eastAsia="en-GB"/>
        </w:rPr>
        <w:t xml:space="preserve"> provided by the manufacturer are detailed in</w:t>
      </w:r>
      <w:r w:rsidR="002A5CA0">
        <w:rPr>
          <w:color w:val="000000" w:themeColor="text1"/>
          <w:lang w:val="en-GB" w:eastAsia="en-GB"/>
        </w:rPr>
        <w:t xml:space="preserve"> </w:t>
      </w:r>
      <w:r w:rsidR="002A5CA0">
        <w:rPr>
          <w:color w:val="000000" w:themeColor="text1"/>
          <w:lang w:val="en-GB" w:eastAsia="en-GB"/>
        </w:rPr>
        <w:fldChar w:fldCharType="begin" w:fldLock="1"/>
      </w:r>
      <w:r w:rsidR="002A5CA0">
        <w:rPr>
          <w:color w:val="000000" w:themeColor="text1"/>
          <w:lang w:val="en-GB" w:eastAsia="en-GB"/>
        </w:rPr>
        <w:instrText>ADDIN CSL_CITATION {"citationItems":[{"id":"ITEM-1","itemData":{"author":[{"dropping-particle":"","family":"Apogee Instruments","given":"","non-dropping-particle":"","parse-names":false,"suffix":""}],"id":"ITEM-1","issued":{"date-parts":[["2020"]]},"publisher-place":"Utah, USA","title":"Quantum Sensor Owner's Manual","type":"article"},"uris":["http://www.mendeley.com/documents/?uuid=32e31cc1-b91f-4636-a91a-4f319b143fbd"]}],"mendeley":{"formattedCitation":"[26]","plainTextFormattedCitation":"[26]","previouslyFormattedCitation":"[26]"},"properties":{"noteIndex":0},"schema":"https://github.com/citation-style-language/schema/raw/master/csl-citation.json"}</w:instrText>
      </w:r>
      <w:r w:rsidR="002A5CA0">
        <w:rPr>
          <w:color w:val="000000" w:themeColor="text1"/>
          <w:lang w:val="en-GB" w:eastAsia="en-GB"/>
        </w:rPr>
        <w:fldChar w:fldCharType="separate"/>
      </w:r>
      <w:r w:rsidR="002A5CA0" w:rsidRPr="002A5CA0">
        <w:rPr>
          <w:noProof/>
          <w:color w:val="000000" w:themeColor="text1"/>
          <w:lang w:val="en-GB" w:eastAsia="en-GB"/>
        </w:rPr>
        <w:t>[26]</w:t>
      </w:r>
      <w:r w:rsidR="002A5CA0">
        <w:rPr>
          <w:color w:val="000000" w:themeColor="text1"/>
          <w:lang w:val="en-GB" w:eastAsia="en-GB"/>
        </w:rPr>
        <w:fldChar w:fldCharType="end"/>
      </w:r>
      <w:r>
        <w:t xml:space="preserve"> </w:t>
      </w:r>
      <w:r>
        <w:rPr>
          <w:color w:val="000000" w:themeColor="text1"/>
          <w:lang w:val="en-GB" w:eastAsia="en-GB"/>
        </w:rPr>
        <w:t>a</w:t>
      </w:r>
      <w:r w:rsidRPr="0068439A">
        <w:rPr>
          <w:color w:val="000000" w:themeColor="text1"/>
          <w:lang w:val="en-GB" w:eastAsia="en-GB"/>
        </w:rPr>
        <w:t xml:space="preserve">nd </w:t>
      </w:r>
      <w:r w:rsidRPr="0068439A">
        <w:rPr>
          <w:color w:val="000000" w:themeColor="text1"/>
          <w:lang w:val="en-GB"/>
        </w:rPr>
        <w:t>in the ‘</w:t>
      </w:r>
      <w:r w:rsidRPr="0068439A">
        <w:rPr>
          <w:i/>
          <w:iCs/>
          <w:color w:val="000000" w:themeColor="text1"/>
          <w:lang w:val="en-GB"/>
        </w:rPr>
        <w:t xml:space="preserve">Technical Handbook of FRM4VEG Instrumentation: </w:t>
      </w:r>
      <w:r w:rsidRPr="0026499F">
        <w:rPr>
          <w:i/>
          <w:iCs/>
          <w:color w:val="000000" w:themeColor="text1"/>
          <w:lang w:val="en-GB"/>
        </w:rPr>
        <w:t>SQ-110 PAR Sensor</w:t>
      </w:r>
      <w:r>
        <w:rPr>
          <w:i/>
          <w:iCs/>
          <w:color w:val="000000" w:themeColor="text1"/>
          <w:lang w:val="en-GB"/>
        </w:rPr>
        <w:t>‘</w:t>
      </w:r>
      <w:r w:rsidRPr="0068439A">
        <w:rPr>
          <w:color w:val="000000" w:themeColor="text1"/>
          <w:lang w:val="en-GB"/>
        </w:rPr>
        <w:t>.</w:t>
      </w:r>
    </w:p>
    <w:p w14:paraId="48DEB3EA" w14:textId="77777777" w:rsidR="00526699" w:rsidRDefault="00526699" w:rsidP="00526699">
      <w:pPr>
        <w:spacing w:line="360" w:lineRule="auto"/>
        <w:jc w:val="both"/>
      </w:pPr>
    </w:p>
    <w:p w14:paraId="22A8F73E" w14:textId="77777777" w:rsidR="00526699" w:rsidRPr="00B0002C" w:rsidRDefault="00526699" w:rsidP="00526699">
      <w:pPr>
        <w:jc w:val="center"/>
      </w:pPr>
      <w:r>
        <w:rPr>
          <w:noProof/>
          <w:lang w:val="es-ES" w:eastAsia="es-ES"/>
        </w:rPr>
        <w:drawing>
          <wp:inline distT="0" distB="0" distL="0" distR="0" wp14:anchorId="78BC6D61" wp14:editId="4D6A2EE0">
            <wp:extent cx="1800000" cy="1572000"/>
            <wp:effectExtent l="0" t="0" r="0" b="0"/>
            <wp:docPr id="13" name="Imagen 6" descr="C:\Users\eolab\Downloads\rs=w_600,h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olab\Downloads\rs=w_600,h_600.jpg"/>
                    <pic:cNvPicPr>
                      <a:picLocks noChangeAspect="1" noChangeArrowheads="1"/>
                    </pic:cNvPicPr>
                  </pic:nvPicPr>
                  <pic:blipFill>
                    <a:blip r:embed="rId25">
                      <a:clrChange>
                        <a:clrFrom>
                          <a:srgbClr val="FDFDFD"/>
                        </a:clrFrom>
                        <a:clrTo>
                          <a:srgbClr val="FDFDFD">
                            <a:alpha val="0"/>
                          </a:srgbClr>
                        </a:clrTo>
                      </a:clrChange>
                    </a:blip>
                    <a:srcRect/>
                    <a:stretch>
                      <a:fillRect/>
                    </a:stretch>
                  </pic:blipFill>
                  <pic:spPr bwMode="auto">
                    <a:xfrm>
                      <a:off x="0" y="0"/>
                      <a:ext cx="1800000" cy="1572000"/>
                    </a:xfrm>
                    <a:prstGeom prst="rect">
                      <a:avLst/>
                    </a:prstGeom>
                    <a:noFill/>
                    <a:ln w="9525">
                      <a:noFill/>
                      <a:miter lim="800000"/>
                      <a:headEnd/>
                      <a:tailEnd/>
                    </a:ln>
                  </pic:spPr>
                </pic:pic>
              </a:graphicData>
            </a:graphic>
          </wp:inline>
        </w:drawing>
      </w:r>
    </w:p>
    <w:p w14:paraId="4721DA31" w14:textId="0663091B" w:rsidR="00526699" w:rsidRDefault="00526699" w:rsidP="00526699">
      <w:pPr>
        <w:pStyle w:val="Caption"/>
        <w:jc w:val="center"/>
        <w:rPr>
          <w:lang w:val="es-ES"/>
        </w:rPr>
      </w:pPr>
      <w:bookmarkStart w:id="83" w:name="_Ref41568876"/>
      <w:bookmarkStart w:id="84" w:name="_Toc41571419"/>
      <w:bookmarkStart w:id="85" w:name="_Ref41572818"/>
      <w:bookmarkStart w:id="86" w:name="_Ref41572839"/>
      <w:bookmarkStart w:id="87" w:name="_Toc41595341"/>
      <w:r>
        <w:t>Figure</w:t>
      </w:r>
      <w:r w:rsidRPr="00526699">
        <w:t xml:space="preserve"> </w:t>
      </w:r>
      <w:fldSimple w:instr=" SEQ Figure \* ARABIC ">
        <w:r w:rsidRPr="00526699">
          <w:rPr>
            <w:noProof/>
          </w:rPr>
          <w:t>6</w:t>
        </w:r>
      </w:fldSimple>
      <w:bookmarkEnd w:id="83"/>
      <w:r>
        <w:t xml:space="preserve">: </w:t>
      </w:r>
      <w:proofErr w:type="spellStart"/>
      <w:r>
        <w:rPr>
          <w:lang w:val="es-ES"/>
        </w:rPr>
        <w:t>Apogee</w:t>
      </w:r>
      <w:proofErr w:type="spellEnd"/>
      <w:r w:rsidR="002A5CA0">
        <w:rPr>
          <w:lang w:val="es-ES"/>
        </w:rPr>
        <w:t xml:space="preserve"> </w:t>
      </w:r>
      <w:r w:rsidRPr="00E160CF">
        <w:rPr>
          <w:lang w:val="es-ES"/>
        </w:rPr>
        <w:t xml:space="preserve">SQ-110 PAR Sensor </w:t>
      </w:r>
      <w:bookmarkEnd w:id="84"/>
      <w:bookmarkEnd w:id="85"/>
      <w:bookmarkEnd w:id="86"/>
      <w:r w:rsidR="002A5CA0">
        <w:rPr>
          <w:lang w:val="es-ES"/>
        </w:rPr>
        <w:fldChar w:fldCharType="begin" w:fldLock="1"/>
      </w:r>
      <w:r w:rsidR="002A5CA0">
        <w:rPr>
          <w:lang w:val="es-ES"/>
        </w:rPr>
        <w:instrText>ADDIN CSL_CITATION {"citationItems":[{"id":"ITEM-1","itemData":{"author":[{"dropping-particle":"","family":"Apogee Instruments","given":"","non-dropping-particle":"","parse-names":false,"suffix":""}],"id":"ITEM-1","issued":{"date-parts":[["2020"]]},"publisher-place":"Utah, USA","title":"Quantum Sensor Owner's Manual","type":"article"},"uris":["http://www.mendeley.com/documents/?uuid=32e31cc1-b91f-4636-a91a-4f319b143fbd"]}],"mendeley":{"formattedCitation":"[26]","plainTextFormattedCitation":"[26]","previouslyFormattedCitation":"[26]"},"properties":{"noteIndex":0},"schema":"https://github.com/citation-style-language/schema/raw/master/csl-citation.json"}</w:instrText>
      </w:r>
      <w:r w:rsidR="002A5CA0">
        <w:rPr>
          <w:lang w:val="es-ES"/>
        </w:rPr>
        <w:fldChar w:fldCharType="separate"/>
      </w:r>
      <w:r w:rsidR="002A5CA0" w:rsidRPr="002A5CA0">
        <w:rPr>
          <w:i w:val="0"/>
          <w:noProof/>
          <w:lang w:val="es-ES"/>
        </w:rPr>
        <w:t>[26]</w:t>
      </w:r>
      <w:r w:rsidR="002A5CA0">
        <w:rPr>
          <w:lang w:val="es-ES"/>
        </w:rPr>
        <w:fldChar w:fldCharType="end"/>
      </w:r>
      <w:r w:rsidR="002A5CA0">
        <w:rPr>
          <w:lang w:val="es-ES"/>
        </w:rPr>
        <w:t>.</w:t>
      </w:r>
      <w:bookmarkEnd w:id="87"/>
    </w:p>
    <w:p w14:paraId="477B6E8C" w14:textId="4A693F40" w:rsidR="008A7AE6" w:rsidRPr="008A7AE6" w:rsidRDefault="008A7AE6" w:rsidP="008A7AE6"/>
    <w:p w14:paraId="22B91354" w14:textId="441B4178" w:rsidR="001575D2" w:rsidRDefault="00465F8E" w:rsidP="00465F8E">
      <w:pPr>
        <w:pStyle w:val="Heading2"/>
      </w:pPr>
      <w:bookmarkStart w:id="88" w:name="_Toc44515971"/>
      <w:proofErr w:type="spellStart"/>
      <w:r>
        <w:t>AccuPAR</w:t>
      </w:r>
      <w:proofErr w:type="spellEnd"/>
      <w:r>
        <w:t xml:space="preserve"> PAR/LAI </w:t>
      </w:r>
      <w:proofErr w:type="spellStart"/>
      <w:r>
        <w:t>Ceptometer</w:t>
      </w:r>
      <w:proofErr w:type="spellEnd"/>
      <w:r w:rsidR="00526699">
        <w:t xml:space="preserve"> LP-80</w:t>
      </w:r>
      <w:bookmarkEnd w:id="88"/>
    </w:p>
    <w:p w14:paraId="38644BF6" w14:textId="77777777" w:rsidR="00465F8E" w:rsidRDefault="00465F8E" w:rsidP="00465F8E">
      <w:pPr>
        <w:spacing w:after="0"/>
      </w:pPr>
    </w:p>
    <w:p w14:paraId="3A785727" w14:textId="4D277160" w:rsidR="00526699" w:rsidRPr="00486C07" w:rsidRDefault="00526699" w:rsidP="00526699">
      <w:pPr>
        <w:spacing w:line="360" w:lineRule="auto"/>
        <w:jc w:val="both"/>
        <w:rPr>
          <w:color w:val="000000" w:themeColor="text1"/>
          <w:lang w:eastAsia="en-GB"/>
        </w:rPr>
      </w:pPr>
      <w:r w:rsidRPr="00486C07">
        <w:rPr>
          <w:color w:val="000000" w:themeColor="text1"/>
          <w:lang w:eastAsia="en-GB"/>
        </w:rPr>
        <w:t xml:space="preserve">The </w:t>
      </w:r>
      <w:proofErr w:type="spellStart"/>
      <w:r w:rsidRPr="00486C07">
        <w:rPr>
          <w:color w:val="000000" w:themeColor="text1"/>
          <w:lang w:eastAsia="en-GB"/>
        </w:rPr>
        <w:t>AccuPAR</w:t>
      </w:r>
      <w:proofErr w:type="spellEnd"/>
      <w:r w:rsidRPr="00486C07">
        <w:rPr>
          <w:color w:val="000000" w:themeColor="text1"/>
          <w:lang w:eastAsia="en-GB"/>
        </w:rPr>
        <w:t xml:space="preserve"> </w:t>
      </w:r>
      <w:r>
        <w:rPr>
          <w:color w:val="000000" w:themeColor="text1"/>
          <w:lang w:eastAsia="en-GB"/>
        </w:rPr>
        <w:t xml:space="preserve">model </w:t>
      </w:r>
      <w:r w:rsidRPr="00486C07">
        <w:rPr>
          <w:color w:val="000000" w:themeColor="text1"/>
          <w:lang w:eastAsia="en-GB"/>
        </w:rPr>
        <w:t xml:space="preserve">LP-80 PAR/LAI </w:t>
      </w:r>
      <w:proofErr w:type="spellStart"/>
      <w:r w:rsidRPr="005A17B3">
        <w:rPr>
          <w:color w:val="000000" w:themeColor="text1"/>
          <w:lang w:eastAsia="en-GB"/>
        </w:rPr>
        <w:t>ceptometer</w:t>
      </w:r>
      <w:proofErr w:type="spellEnd"/>
      <w:r w:rsidRPr="005A17B3">
        <w:rPr>
          <w:color w:val="000000" w:themeColor="text1"/>
          <w:lang w:eastAsia="en-GB"/>
        </w:rPr>
        <w:t xml:space="preserve"> (Figure 7)</w:t>
      </w:r>
      <w:r w:rsidRPr="00486C07">
        <w:rPr>
          <w:color w:val="000000" w:themeColor="text1"/>
          <w:lang w:eastAsia="en-GB"/>
        </w:rPr>
        <w:t xml:space="preserve"> measures</w:t>
      </w:r>
      <w:r>
        <w:rPr>
          <w:color w:val="000000" w:themeColor="text1"/>
          <w:lang w:eastAsia="en-GB"/>
        </w:rPr>
        <w:t xml:space="preserve"> PAR</w:t>
      </w:r>
      <w:r w:rsidRPr="00486C07">
        <w:rPr>
          <w:color w:val="000000" w:themeColor="text1"/>
          <w:lang w:eastAsia="en-GB"/>
        </w:rPr>
        <w:t>.</w:t>
      </w:r>
      <w:r w:rsidR="003C4600">
        <w:rPr>
          <w:color w:val="000000" w:themeColor="text1"/>
          <w:lang w:eastAsia="en-GB"/>
        </w:rPr>
        <w:t xml:space="preserve"> </w:t>
      </w:r>
      <w:r w:rsidRPr="00486C07">
        <w:rPr>
          <w:color w:val="000000" w:themeColor="text1"/>
          <w:lang w:eastAsia="en-GB"/>
        </w:rPr>
        <w:t xml:space="preserve">It is a menu-driven, battery-operated linear PAR </w:t>
      </w:r>
      <w:proofErr w:type="spellStart"/>
      <w:r w:rsidRPr="00486C07">
        <w:rPr>
          <w:color w:val="000000" w:themeColor="text1"/>
          <w:lang w:eastAsia="en-GB"/>
        </w:rPr>
        <w:t>ceptometer</w:t>
      </w:r>
      <w:proofErr w:type="spellEnd"/>
      <w:r w:rsidRPr="00486C07">
        <w:rPr>
          <w:color w:val="000000" w:themeColor="text1"/>
          <w:lang w:eastAsia="en-GB"/>
        </w:rPr>
        <w:t xml:space="preserve">, used to measure light interception in plant canopies, and to calculate </w:t>
      </w:r>
      <w:r>
        <w:rPr>
          <w:color w:val="000000" w:themeColor="text1"/>
          <w:lang w:eastAsia="en-GB"/>
        </w:rPr>
        <w:t>LAI</w:t>
      </w:r>
      <w:r w:rsidRPr="00486C07">
        <w:rPr>
          <w:color w:val="000000" w:themeColor="text1"/>
          <w:lang w:eastAsia="en-GB"/>
        </w:rPr>
        <w:t xml:space="preserve"> by inverting the PAR readings.</w:t>
      </w:r>
    </w:p>
    <w:p w14:paraId="35B43E8C" w14:textId="1CD6DFEE" w:rsidR="00526699" w:rsidRDefault="00526699" w:rsidP="00526699">
      <w:pPr>
        <w:spacing w:line="360" w:lineRule="auto"/>
        <w:jc w:val="both"/>
        <w:rPr>
          <w:color w:val="000000" w:themeColor="text1"/>
          <w:lang w:eastAsia="en-GB"/>
        </w:rPr>
      </w:pPr>
      <w:r w:rsidRPr="00486C07">
        <w:rPr>
          <w:color w:val="000000" w:themeColor="text1"/>
          <w:lang w:eastAsia="en-GB"/>
        </w:rPr>
        <w:t xml:space="preserve">The instrument consists of an integrated microprocessor-driven data logger and probe. The probe contains 80 independent sensors, spaced 1 cm apart. The photosensors measure PAR in the 400 to 700 nm waveband. The </w:t>
      </w:r>
      <w:proofErr w:type="spellStart"/>
      <w:r w:rsidRPr="00486C07">
        <w:rPr>
          <w:color w:val="000000" w:themeColor="text1"/>
          <w:lang w:eastAsia="en-GB"/>
        </w:rPr>
        <w:t>AccuPAR</w:t>
      </w:r>
      <w:proofErr w:type="spellEnd"/>
      <w:r w:rsidRPr="00486C07">
        <w:rPr>
          <w:color w:val="000000" w:themeColor="text1"/>
          <w:lang w:eastAsia="en-GB"/>
        </w:rPr>
        <w:t xml:space="preserve"> displays PAR in units of micromoles per meter squared per second. The instrument is capable of hand-held or unattended measurement</w:t>
      </w:r>
      <w:r>
        <w:rPr>
          <w:color w:val="000000" w:themeColor="text1"/>
          <w:lang w:eastAsia="en-GB"/>
        </w:rPr>
        <w:t xml:space="preserve"> </w:t>
      </w:r>
      <w:r w:rsidR="002A5CA0">
        <w:rPr>
          <w:color w:val="000000" w:themeColor="text1"/>
          <w:lang w:eastAsia="en-GB"/>
        </w:rPr>
        <w:fldChar w:fldCharType="begin" w:fldLock="1"/>
      </w:r>
      <w:r w:rsidR="002A5CA0">
        <w:rPr>
          <w:color w:val="000000" w:themeColor="text1"/>
          <w:lang w:eastAsia="en-GB"/>
        </w:rPr>
        <w:instrText>ADDIN CSL_CITATION {"citationItems":[{"id":"ITEM-1","itemData":{"ISBN":"5093325600","author":[{"dropping-particle":"","family":"Meter Group","given":"","non-dropping-particle":"","parse-names":false,"suffix":""}],"container-title":"Decagon Devices, Inc.","id":"ITEM-1","issued":{"date-parts":[["2018"]]},"publisher":"Meter Group","publisher-place":"Pullman, Washington, United States","title":"AccuPAR PAR/LAI Ceptometer: Model LP-80","type":"book"},"uris":["http://www.mendeley.com/documents/?uuid=8b08c0b2-7ee4-4ef5-996c-9b113db26b1a"]}],"mendeley":{"formattedCitation":"[15]","plainTextFormattedCitation":"[15]"},"properties":{"noteIndex":0},"schema":"https://github.com/citation-style-language/schema/raw/master/csl-citation.json"}</w:instrText>
      </w:r>
      <w:r w:rsidR="002A5CA0">
        <w:rPr>
          <w:color w:val="000000" w:themeColor="text1"/>
          <w:lang w:eastAsia="en-GB"/>
        </w:rPr>
        <w:fldChar w:fldCharType="separate"/>
      </w:r>
      <w:r w:rsidR="002A5CA0" w:rsidRPr="002A5CA0">
        <w:rPr>
          <w:noProof/>
          <w:color w:val="000000" w:themeColor="text1"/>
          <w:lang w:eastAsia="en-GB"/>
        </w:rPr>
        <w:t>[15]</w:t>
      </w:r>
      <w:r w:rsidR="002A5CA0">
        <w:rPr>
          <w:color w:val="000000" w:themeColor="text1"/>
          <w:lang w:eastAsia="en-GB"/>
        </w:rPr>
        <w:fldChar w:fldCharType="end"/>
      </w:r>
      <w:r>
        <w:rPr>
          <w:color w:val="000000" w:themeColor="text1"/>
          <w:lang w:eastAsia="en-GB"/>
        </w:rPr>
        <w:t>.</w:t>
      </w:r>
    </w:p>
    <w:p w14:paraId="5ED0505B" w14:textId="2872E859" w:rsidR="00526699" w:rsidRDefault="00526699" w:rsidP="00526699">
      <w:pPr>
        <w:spacing w:line="360" w:lineRule="auto"/>
        <w:jc w:val="both"/>
        <w:rPr>
          <w:i/>
          <w:iCs/>
          <w:color w:val="000000" w:themeColor="text1"/>
        </w:rPr>
      </w:pPr>
      <w:r w:rsidRPr="0068439A">
        <w:rPr>
          <w:color w:val="000000" w:themeColor="text1"/>
          <w:lang w:eastAsia="en-GB"/>
        </w:rPr>
        <w:lastRenderedPageBreak/>
        <w:t xml:space="preserve">The technical characteristics of </w:t>
      </w:r>
      <w:r>
        <w:rPr>
          <w:color w:val="000000" w:themeColor="text1"/>
          <w:lang w:eastAsia="en-GB"/>
        </w:rPr>
        <w:t xml:space="preserve">the </w:t>
      </w:r>
      <w:r>
        <w:t>LP-80</w:t>
      </w:r>
      <w:r w:rsidRPr="0068439A">
        <w:rPr>
          <w:color w:val="000000" w:themeColor="text1"/>
          <w:lang w:eastAsia="en-GB"/>
        </w:rPr>
        <w:t xml:space="preserve"> provided by the manufacturer are detailed in </w:t>
      </w:r>
      <w:r w:rsidR="002A5CA0">
        <w:rPr>
          <w:color w:val="000000" w:themeColor="text1"/>
          <w:lang w:eastAsia="en-GB"/>
        </w:rPr>
        <w:fldChar w:fldCharType="begin" w:fldLock="1"/>
      </w:r>
      <w:r w:rsidR="002A5CA0">
        <w:rPr>
          <w:color w:val="000000" w:themeColor="text1"/>
          <w:lang w:eastAsia="en-GB"/>
        </w:rPr>
        <w:instrText>ADDIN CSL_CITATION {"citationItems":[{"id":"ITEM-1","itemData":{"ISBN":"5093325600","author":[{"dropping-particle":"","family":"Meter Group","given":"","non-dropping-particle":"","parse-names":false,"suffix":""}],"container-title":"Decagon Devices, Inc.","id":"ITEM-1","issued":{"date-parts":[["2018"]]},"publisher":"Meter Group","publisher-place":"Pullman, Washington, United States","title":"AccuPAR PAR/LAI Ceptometer: Model LP-80","type":"book"},"uris":["http://www.mendeley.com/documents/?uuid=8b08c0b2-7ee4-4ef5-996c-9b113db26b1a"]}],"mendeley":{"formattedCitation":"[15]","plainTextFormattedCitation":"[15]","previouslyFormattedCitation":"[15]"},"properties":{"noteIndex":0},"schema":"https://github.com/citation-style-language/schema/raw/master/csl-citation.json"}</w:instrText>
      </w:r>
      <w:r w:rsidR="002A5CA0">
        <w:rPr>
          <w:color w:val="000000" w:themeColor="text1"/>
          <w:lang w:eastAsia="en-GB"/>
        </w:rPr>
        <w:fldChar w:fldCharType="separate"/>
      </w:r>
      <w:r w:rsidR="002A5CA0" w:rsidRPr="002A5CA0">
        <w:rPr>
          <w:noProof/>
          <w:color w:val="000000" w:themeColor="text1"/>
          <w:lang w:eastAsia="en-GB"/>
        </w:rPr>
        <w:t>[15]</w:t>
      </w:r>
      <w:r w:rsidR="002A5CA0">
        <w:rPr>
          <w:color w:val="000000" w:themeColor="text1"/>
          <w:lang w:eastAsia="en-GB"/>
        </w:rPr>
        <w:fldChar w:fldCharType="end"/>
      </w:r>
      <w:r>
        <w:t xml:space="preserve"> </w:t>
      </w:r>
      <w:r>
        <w:rPr>
          <w:color w:val="000000" w:themeColor="text1"/>
          <w:lang w:eastAsia="en-GB"/>
        </w:rPr>
        <w:t>a</w:t>
      </w:r>
      <w:r w:rsidRPr="0068439A">
        <w:rPr>
          <w:color w:val="000000" w:themeColor="text1"/>
          <w:lang w:eastAsia="en-GB"/>
        </w:rPr>
        <w:t xml:space="preserve">nd </w:t>
      </w:r>
      <w:r w:rsidRPr="0068439A">
        <w:rPr>
          <w:color w:val="000000" w:themeColor="text1"/>
        </w:rPr>
        <w:t>in the ‘</w:t>
      </w:r>
      <w:r w:rsidRPr="0068439A">
        <w:rPr>
          <w:i/>
          <w:iCs/>
          <w:color w:val="000000" w:themeColor="text1"/>
        </w:rPr>
        <w:t xml:space="preserve">Technical Handbook of FRM4VEG Instrumentation: </w:t>
      </w:r>
      <w:proofErr w:type="spellStart"/>
      <w:r w:rsidRPr="0026499F">
        <w:rPr>
          <w:i/>
          <w:iCs/>
          <w:color w:val="000000" w:themeColor="text1"/>
        </w:rPr>
        <w:t>AccuPAR</w:t>
      </w:r>
      <w:proofErr w:type="spellEnd"/>
      <w:r w:rsidRPr="0026499F">
        <w:rPr>
          <w:i/>
          <w:iCs/>
          <w:color w:val="000000" w:themeColor="text1"/>
        </w:rPr>
        <w:t xml:space="preserve"> PAR/LAI </w:t>
      </w:r>
      <w:proofErr w:type="spellStart"/>
      <w:r w:rsidRPr="0026499F">
        <w:rPr>
          <w:i/>
          <w:iCs/>
          <w:color w:val="000000" w:themeColor="text1"/>
        </w:rPr>
        <w:t>Ceptometer</w:t>
      </w:r>
      <w:proofErr w:type="spellEnd"/>
      <w:r>
        <w:rPr>
          <w:i/>
          <w:iCs/>
          <w:color w:val="000000" w:themeColor="text1"/>
        </w:rPr>
        <w:t xml:space="preserve"> </w:t>
      </w:r>
      <w:r w:rsidRPr="0026499F">
        <w:rPr>
          <w:i/>
          <w:iCs/>
          <w:color w:val="000000" w:themeColor="text1"/>
        </w:rPr>
        <w:t>LP-80</w:t>
      </w:r>
      <w:r>
        <w:rPr>
          <w:i/>
          <w:iCs/>
          <w:color w:val="000000" w:themeColor="text1"/>
        </w:rPr>
        <w:t>‘</w:t>
      </w:r>
      <w:r w:rsidRPr="0026499F">
        <w:rPr>
          <w:i/>
          <w:iCs/>
          <w:color w:val="000000" w:themeColor="text1"/>
        </w:rPr>
        <w:t>.</w:t>
      </w:r>
    </w:p>
    <w:p w14:paraId="6FA3ECDB" w14:textId="77777777" w:rsidR="00526699" w:rsidRDefault="00526699" w:rsidP="00526699">
      <w:pPr>
        <w:spacing w:line="360" w:lineRule="auto"/>
        <w:jc w:val="both"/>
        <w:rPr>
          <w:i/>
          <w:iCs/>
          <w:color w:val="000000" w:themeColor="text1"/>
        </w:rPr>
      </w:pPr>
    </w:p>
    <w:p w14:paraId="198D1DDD" w14:textId="77777777" w:rsidR="00526699" w:rsidRPr="00526699" w:rsidRDefault="00526699" w:rsidP="00526699">
      <w:pPr>
        <w:jc w:val="center"/>
        <w:rPr>
          <w:i/>
          <w:iCs/>
        </w:rPr>
      </w:pPr>
      <w:r w:rsidRPr="00526699">
        <w:rPr>
          <w:i/>
          <w:iCs/>
          <w:noProof/>
          <w:lang w:val="es-ES" w:eastAsia="es-ES"/>
        </w:rPr>
        <w:drawing>
          <wp:inline distT="0" distB="0" distL="0" distR="0" wp14:anchorId="2C28D890" wp14:editId="737584CB">
            <wp:extent cx="1800000" cy="1743075"/>
            <wp:effectExtent l="0" t="0" r="0" b="0"/>
            <wp:docPr id="15" name="Imagen 2" descr="Paddy Rice Experiment in the Sanjiang Plain (PRESP)"/>
            <wp:cNvGraphicFramePr/>
            <a:graphic xmlns:a="http://schemas.openxmlformats.org/drawingml/2006/main">
              <a:graphicData uri="http://schemas.openxmlformats.org/drawingml/2006/picture">
                <pic:pic xmlns:pic="http://schemas.openxmlformats.org/drawingml/2006/picture">
                  <pic:nvPicPr>
                    <pic:cNvPr id="1028" name="Picture 4" descr="Paddy Rice Experiment in the Sanjiang Plain (PRESP)"/>
                    <pic:cNvPicPr>
                      <a:picLocks noChangeAspect="1" noChangeArrowheads="1"/>
                    </pic:cNvPicPr>
                  </pic:nvPicPr>
                  <pic:blipFill>
                    <a:blip r:embed="rId26"/>
                    <a:srcRect/>
                    <a:stretch>
                      <a:fillRect/>
                    </a:stretch>
                  </pic:blipFill>
                  <pic:spPr bwMode="auto">
                    <a:xfrm>
                      <a:off x="0" y="0"/>
                      <a:ext cx="1800000" cy="1743075"/>
                    </a:xfrm>
                    <a:prstGeom prst="rect">
                      <a:avLst/>
                    </a:prstGeom>
                    <a:noFill/>
                  </pic:spPr>
                </pic:pic>
              </a:graphicData>
            </a:graphic>
          </wp:inline>
        </w:drawing>
      </w:r>
    </w:p>
    <w:p w14:paraId="55BF6F97" w14:textId="588C10BB" w:rsidR="00526699" w:rsidRDefault="00526699" w:rsidP="00526699">
      <w:pPr>
        <w:pStyle w:val="Caption"/>
        <w:jc w:val="center"/>
        <w:rPr>
          <w:lang w:val="es-ES"/>
        </w:rPr>
      </w:pPr>
      <w:bookmarkStart w:id="89" w:name="_Ref41569003"/>
      <w:bookmarkStart w:id="90" w:name="_Toc41571420"/>
      <w:bookmarkStart w:id="91" w:name="_Ref41572860"/>
      <w:bookmarkStart w:id="92" w:name="_Ref41572888"/>
      <w:bookmarkStart w:id="93" w:name="_Toc41595342"/>
      <w:r w:rsidRPr="00526699">
        <w:t xml:space="preserve">Figure </w:t>
      </w:r>
      <w:fldSimple w:instr=" SEQ Figure \* ARABIC ">
        <w:r w:rsidRPr="00526699">
          <w:rPr>
            <w:noProof/>
          </w:rPr>
          <w:t>7</w:t>
        </w:r>
      </w:fldSimple>
      <w:bookmarkEnd w:id="89"/>
      <w:r>
        <w:t xml:space="preserve">: </w:t>
      </w:r>
      <w:proofErr w:type="spellStart"/>
      <w:r w:rsidRPr="00CB0B21">
        <w:rPr>
          <w:lang w:val="es-ES"/>
        </w:rPr>
        <w:t>AccuPAR</w:t>
      </w:r>
      <w:proofErr w:type="spellEnd"/>
      <w:r>
        <w:rPr>
          <w:lang w:val="es-ES"/>
        </w:rPr>
        <w:t xml:space="preserve"> </w:t>
      </w:r>
      <w:proofErr w:type="spellStart"/>
      <w:r w:rsidRPr="00CB0B21">
        <w:rPr>
          <w:lang w:val="es-ES"/>
        </w:rPr>
        <w:t>model</w:t>
      </w:r>
      <w:proofErr w:type="spellEnd"/>
      <w:r w:rsidRPr="00CB0B21">
        <w:rPr>
          <w:lang w:val="es-ES"/>
        </w:rPr>
        <w:t xml:space="preserve"> LP-80 PAR/LAI </w:t>
      </w:r>
      <w:proofErr w:type="spellStart"/>
      <w:r w:rsidRPr="00CB0B21">
        <w:rPr>
          <w:lang w:val="es-ES"/>
        </w:rPr>
        <w:t>Ceptometer</w:t>
      </w:r>
      <w:bookmarkEnd w:id="90"/>
      <w:bookmarkEnd w:id="91"/>
      <w:bookmarkEnd w:id="92"/>
      <w:proofErr w:type="spellEnd"/>
      <w:r w:rsidR="002A5CA0">
        <w:rPr>
          <w:lang w:val="es-ES"/>
        </w:rPr>
        <w:t xml:space="preserve"> </w:t>
      </w:r>
      <w:r w:rsidR="002A5CA0">
        <w:rPr>
          <w:lang w:val="es-ES"/>
        </w:rPr>
        <w:fldChar w:fldCharType="begin" w:fldLock="1"/>
      </w:r>
      <w:r w:rsidR="002A5CA0">
        <w:rPr>
          <w:lang w:val="es-ES"/>
        </w:rPr>
        <w:instrText>ADDIN CSL_CITATION {"citationItems":[{"id":"ITEM-1","itemData":{"ISBN":"5093325600","author":[{"dropping-particle":"","family":"Meter Group","given":"","non-dropping-particle":"","parse-names":false,"suffix":""}],"container-title":"Decagon Devices, Inc.","id":"ITEM-1","issued":{"date-parts":[["2018"]]},"publisher":"Meter Group","publisher-place":"Pullman, Washington, United States","title":"AccuPAR PAR/LAI Ceptometer: Model LP-80","type":"book"},"uris":["http://www.mendeley.com/documents/?uuid=8b08c0b2-7ee4-4ef5-996c-9b113db26b1a"]}],"mendeley":{"formattedCitation":"[15]","plainTextFormattedCitation":"[15]","previouslyFormattedCitation":"[15]"},"properties":{"noteIndex":0},"schema":"https://github.com/citation-style-language/schema/raw/master/csl-citation.json"}</w:instrText>
      </w:r>
      <w:r w:rsidR="002A5CA0">
        <w:rPr>
          <w:lang w:val="es-ES"/>
        </w:rPr>
        <w:fldChar w:fldCharType="separate"/>
      </w:r>
      <w:r w:rsidR="002A5CA0" w:rsidRPr="002A5CA0">
        <w:rPr>
          <w:i w:val="0"/>
          <w:noProof/>
          <w:lang w:val="es-ES"/>
        </w:rPr>
        <w:t>[15]</w:t>
      </w:r>
      <w:r w:rsidR="002A5CA0">
        <w:rPr>
          <w:lang w:val="es-ES"/>
        </w:rPr>
        <w:fldChar w:fldCharType="end"/>
      </w:r>
      <w:r>
        <w:rPr>
          <w:i w:val="0"/>
          <w:iCs w:val="0"/>
        </w:rPr>
        <w:t>.</w:t>
      </w:r>
      <w:bookmarkEnd w:id="93"/>
    </w:p>
    <w:p w14:paraId="25B8585E" w14:textId="77777777" w:rsidR="00526699" w:rsidRPr="00BC3B50" w:rsidRDefault="00526699" w:rsidP="00526699">
      <w:pPr>
        <w:spacing w:line="360" w:lineRule="auto"/>
        <w:jc w:val="both"/>
      </w:pPr>
    </w:p>
    <w:p w14:paraId="3DA8B908" w14:textId="77777777" w:rsidR="00526699" w:rsidRDefault="00526699" w:rsidP="00C51520">
      <w:pPr>
        <w:pStyle w:val="Heading1"/>
        <w:sectPr w:rsidR="00526699" w:rsidSect="00C036F8">
          <w:pgSz w:w="11906" w:h="16838"/>
          <w:pgMar w:top="1440" w:right="1440" w:bottom="1440" w:left="1440" w:header="708" w:footer="708" w:gutter="0"/>
          <w:cols w:space="708"/>
          <w:docGrid w:linePitch="360"/>
        </w:sectPr>
      </w:pPr>
    </w:p>
    <w:p w14:paraId="3E3E29CA" w14:textId="1B0D5CAA" w:rsidR="00B44FCE" w:rsidRDefault="00B44FCE" w:rsidP="00C51520">
      <w:pPr>
        <w:pStyle w:val="Heading1"/>
      </w:pPr>
      <w:bookmarkStart w:id="94" w:name="_Toc44515972"/>
      <w:r>
        <w:lastRenderedPageBreak/>
        <w:t>Instrument Calibration</w:t>
      </w:r>
      <w:bookmarkEnd w:id="94"/>
      <w:r>
        <w:t xml:space="preserve"> </w:t>
      </w:r>
    </w:p>
    <w:p w14:paraId="64CD0FC5" w14:textId="305A5945" w:rsidR="00EF3223" w:rsidRDefault="00EF3223" w:rsidP="0069303D">
      <w:pPr>
        <w:spacing w:after="0"/>
      </w:pPr>
    </w:p>
    <w:p w14:paraId="2671F7AB" w14:textId="4E043F23" w:rsidR="00E909C2" w:rsidRPr="0068439A" w:rsidRDefault="00E909C2" w:rsidP="00E909C2">
      <w:pPr>
        <w:spacing w:line="360" w:lineRule="auto"/>
        <w:jc w:val="both"/>
      </w:pPr>
      <w:r w:rsidRPr="0068439A">
        <w:t xml:space="preserve">To calibrate an instrument means to compare it against a more accurate reference in order to provide traceability of the measure by following </w:t>
      </w:r>
      <w:r>
        <w:t xml:space="preserve">ISO </w:t>
      </w:r>
      <w:r w:rsidRPr="0068439A">
        <w:t>standards and</w:t>
      </w:r>
      <w:r>
        <w:t xml:space="preserve"> to ensure</w:t>
      </w:r>
      <w:r w:rsidRPr="0068439A">
        <w:t xml:space="preserve"> </w:t>
      </w:r>
      <w:r>
        <w:t>global</w:t>
      </w:r>
      <w:r w:rsidRPr="0068439A">
        <w:t xml:space="preserve"> consistency </w:t>
      </w:r>
      <w:r w:rsidRPr="0068439A">
        <w:fldChar w:fldCharType="begin" w:fldLock="1"/>
      </w:r>
      <w:r w:rsidR="002A5CA0">
        <w:instrText>ADDIN CSL_CITATION {"citationItems":[{"id":"ITEM-1","itemData":{"DOI":"10.1088/0026-1394/34/6/6","ISSN":"00261394","abstract":"There is a growing requirement for an internationally accepted system of recognition of measurement capabilities and relationships within and among countries, to facilitate seamless global commerce and trade. As a result, metrologists world-wide have recently developed increased interest in the concept and definition of traceability. Classically, traceability provides a way of relating the results of a measurement (or value of a standard) to higher-level standards. Such standards are usually national or international standards, and the comparisons used to provide the traceability must have well-understood uncertainties. An additional complexity arises because all instruments and standards are subject to change, however slight, over time. This paper develops approaches for dealing with the effects of such time-dependent changes as a part of traceability statements. The use of metrological timelines provides a means of effectively visualizing these relationships in a statement of traceability. When the rate of change in the measurement process is sufficiently small, the approach proposed here is less important. However, documented measurement assurance procedures are required at all levels so that appropriate uncertainties may be estimated with confidence. When laboratory or national boundaries are crossed in the traceability process, other factors come into play, and the original concept of traceability can become obscure. It is becoming common to hear the term \"equivalence\" used to describe these more complex measurement relationships.","author":[{"dropping-particle":"","family":"Ehrlich","given":"C. D.","non-dropping-particle":"","parse-names":false,"suffix":""},{"dropping-particle":"","family":"Rasberry","given":"S. D.","non-dropping-particle":"","parse-names":false,"suffix":""}],"container-title":"Metrologia","id":"ITEM-1","issue":"6","issued":{"date-parts":[["1997"]]},"page":"503-514","title":"Metrological timelines in traceability","type":"article-journal","volume":"34"},"uris":["http://www.mendeley.com/documents/?uuid=53872b12-0535-4be4-a10d-fa500eb7e3a8"]}],"mendeley":{"formattedCitation":"[27]","plainTextFormattedCitation":"[27]","previouslyFormattedCitation":"[27]"},"properties":{"noteIndex":0},"schema":"https://github.com/citation-style-language/schema/raw/master/csl-citation.json"}</w:instrText>
      </w:r>
      <w:r w:rsidRPr="0068439A">
        <w:fldChar w:fldCharType="separate"/>
      </w:r>
      <w:r w:rsidR="002A5CA0" w:rsidRPr="002A5CA0">
        <w:rPr>
          <w:noProof/>
        </w:rPr>
        <w:t>[27]</w:t>
      </w:r>
      <w:r w:rsidRPr="0068439A">
        <w:fldChar w:fldCharType="end"/>
      </w:r>
      <w:r w:rsidRPr="0068439A">
        <w:t xml:space="preserve">. Calibration is </w:t>
      </w:r>
      <w:r>
        <w:t>essential for:</w:t>
      </w:r>
      <w:r w:rsidRPr="0068439A">
        <w:t xml:space="preserve"> ensuring an instrument is</w:t>
      </w:r>
      <w:r>
        <w:t xml:space="preserve"> </w:t>
      </w:r>
      <w:r w:rsidRPr="0068439A">
        <w:t>fit for purpose</w:t>
      </w:r>
      <w:r>
        <w:t>;</w:t>
      </w:r>
      <w:r w:rsidRPr="0068439A">
        <w:t xml:space="preserve"> </w:t>
      </w:r>
      <w:r>
        <w:t>quantifying</w:t>
      </w:r>
      <w:r w:rsidRPr="0068439A">
        <w:t xml:space="preserve"> its reliability</w:t>
      </w:r>
      <w:r>
        <w:t>; and</w:t>
      </w:r>
      <w:r w:rsidRPr="0068439A">
        <w:t xml:space="preserve"> </w:t>
      </w:r>
      <w:r>
        <w:t>allowing</w:t>
      </w:r>
      <w:r w:rsidRPr="0068439A">
        <w:t xml:space="preserve"> instrument drift to be monitored (through repeated calibrations)</w:t>
      </w:r>
      <w:r>
        <w:t xml:space="preserve">. When </w:t>
      </w:r>
      <w:r w:rsidRPr="0068439A">
        <w:t xml:space="preserve">combined with uncertainty analysis, </w:t>
      </w:r>
      <w:r>
        <w:t>calibration information</w:t>
      </w:r>
      <w:r w:rsidRPr="0068439A">
        <w:t xml:space="preserve"> allows assessment of the uncertainty that an instrument contributes to a measurement. Initial calibration is usually performed by the manufacturer, but it must be performed regularly at appropriate intervals depending on the frequency o</w:t>
      </w:r>
      <w:r>
        <w:t>f</w:t>
      </w:r>
      <w:r w:rsidRPr="0068439A">
        <w:t xml:space="preserve"> usage</w:t>
      </w:r>
      <w:r>
        <w:t xml:space="preserve">, </w:t>
      </w:r>
      <w:r w:rsidRPr="0068439A">
        <w:t>susceptibility to drift</w:t>
      </w:r>
      <w:r>
        <w:t xml:space="preserve"> and to ensure the measurement meets international reporting requirements (i.e. GCOS)</w:t>
      </w:r>
      <w:r w:rsidRPr="0068439A">
        <w:t xml:space="preserve">. When an instrument is calibrated, bias (a constant or predictable difference between the </w:t>
      </w:r>
      <w:r>
        <w:t>instrument</w:t>
      </w:r>
      <w:r w:rsidRPr="0068439A">
        <w:t xml:space="preserve"> readings) and drift (differences </w:t>
      </w:r>
      <w:r>
        <w:t>in</w:t>
      </w:r>
      <w:r w:rsidRPr="0068439A">
        <w:t xml:space="preserve"> an instrument</w:t>
      </w:r>
      <w:r>
        <w:t>’</w:t>
      </w:r>
      <w:r w:rsidRPr="0068439A">
        <w:t xml:space="preserve">s readings </w:t>
      </w:r>
      <w:r>
        <w:t>through time</w:t>
      </w:r>
      <w:r w:rsidRPr="0068439A">
        <w:t xml:space="preserve">) </w:t>
      </w:r>
      <w:r>
        <w:t>can be accounted for</w:t>
      </w:r>
      <w:r w:rsidRPr="0068439A">
        <w:t xml:space="preserve">. </w:t>
      </w:r>
    </w:p>
    <w:p w14:paraId="06AA44ED" w14:textId="77777777" w:rsidR="00E909C2" w:rsidRPr="00EF3223" w:rsidRDefault="00E909C2" w:rsidP="00EF3223"/>
    <w:p w14:paraId="22BF2BDC" w14:textId="746E67C4" w:rsidR="00884DBB" w:rsidRPr="00C51520" w:rsidRDefault="00884DBB" w:rsidP="00C51520">
      <w:pPr>
        <w:pStyle w:val="Heading2"/>
        <w:numPr>
          <w:ilvl w:val="1"/>
          <w:numId w:val="39"/>
        </w:numPr>
        <w:rPr>
          <w:rFonts w:eastAsiaTheme="minorEastAsia"/>
        </w:rPr>
      </w:pPr>
      <w:bookmarkStart w:id="95" w:name="_Ref1754179"/>
      <w:bookmarkStart w:id="96" w:name="_Toc38183448"/>
      <w:bookmarkStart w:id="97" w:name="_Toc44515973"/>
      <w:r w:rsidRPr="00C51520">
        <w:rPr>
          <w:rFonts w:eastAsiaTheme="minorEastAsia"/>
        </w:rPr>
        <w:t>Quantum Sensor Calibration</w:t>
      </w:r>
      <w:bookmarkEnd w:id="95"/>
      <w:bookmarkEnd w:id="96"/>
      <w:bookmarkEnd w:id="97"/>
    </w:p>
    <w:p w14:paraId="6C15AF74" w14:textId="77777777" w:rsidR="00850414" w:rsidRDefault="00850414" w:rsidP="0069303D">
      <w:pPr>
        <w:spacing w:after="0" w:line="360" w:lineRule="auto"/>
        <w:jc w:val="both"/>
      </w:pPr>
    </w:p>
    <w:p w14:paraId="464E0A4A" w14:textId="18756E50" w:rsidR="00884DBB" w:rsidRDefault="00884DBB" w:rsidP="00884DBB">
      <w:pPr>
        <w:spacing w:line="360" w:lineRule="auto"/>
        <w:jc w:val="both"/>
      </w:pPr>
      <w:r>
        <w:t xml:space="preserve">The quantum sensor calibration procedure adopted in the FRM4VEG project is designed according to the laboratory facilities available at NPL. The calibration coefficient (expressed in </w:t>
      </w:r>
      <w:r>
        <w:sym w:font="Symbol" w:char="F06D"/>
      </w:r>
      <w:r>
        <w:t>mol </w:t>
      </w:r>
      <w:r w:rsidRPr="00E9287A">
        <w:t>m</w:t>
      </w:r>
      <w:r>
        <w:rPr>
          <w:vertAlign w:val="superscript"/>
        </w:rPr>
        <w:t>-2</w:t>
      </w:r>
      <w:r>
        <w:t> s</w:t>
      </w:r>
      <w:r>
        <w:rPr>
          <w:vertAlign w:val="superscript"/>
        </w:rPr>
        <w:t>-1</w:t>
      </w:r>
      <w:r>
        <w:t xml:space="preserve">) </w:t>
      </w:r>
      <w:r w:rsidRPr="00E9287A">
        <w:t>is</w:t>
      </w:r>
      <w:r>
        <w:t xml:space="preserve"> derived from a combination of spectral response and broadband irradiance measurements.</w:t>
      </w:r>
    </w:p>
    <w:p w14:paraId="3AED9652" w14:textId="18CE3C26" w:rsidR="00884DBB" w:rsidRDefault="00884DBB" w:rsidP="00884DBB">
      <w:pPr>
        <w:spacing w:line="360" w:lineRule="auto"/>
        <w:jc w:val="both"/>
      </w:pPr>
      <w:r>
        <w:t xml:space="preserve">The sensor spectral responsivity is measured using a broadband source with a grating that produces monochromatic light that reaches the </w:t>
      </w:r>
      <w:r w:rsidRPr="005A17B3">
        <w:t>detector</w:t>
      </w:r>
      <w:r w:rsidR="00F1023F" w:rsidRPr="005A17B3">
        <w:t xml:space="preserve"> (Figure </w:t>
      </w:r>
      <w:r w:rsidR="0035328A" w:rsidRPr="005A17B3">
        <w:t>8</w:t>
      </w:r>
      <w:r w:rsidR="00F1023F" w:rsidRPr="005A17B3">
        <w:t>)</w:t>
      </w:r>
      <w:r w:rsidRPr="005A17B3">
        <w:t>. The</w:t>
      </w:r>
      <w:r>
        <w:t xml:space="preserve"> signal from the test detectors (in this case the quantum sensors) are compared against reference silicon detectors.</w:t>
      </w:r>
      <w:r w:rsidR="003C4600">
        <w:t xml:space="preserve"> </w:t>
      </w:r>
      <w:r>
        <w:t>At this stage it is possible to produce an absolute spectral response for detectors whose apertures can be overfilled, however, this is not possible with quantum sensors such as the Apogee Instruments SQ-110, due to the large detector area.</w:t>
      </w:r>
      <w:r w:rsidR="003C4600">
        <w:t xml:space="preserve"> </w:t>
      </w:r>
      <w:r>
        <w:t>Underfilling the detector is sufficient to produce a relative spectral response.</w:t>
      </w:r>
      <w:r w:rsidR="003C4600">
        <w:t xml:space="preserve"> </w:t>
      </w:r>
      <w:r>
        <w:t>As a result, a second stage is required and involves calibration against a broadband irradiance source (FEL lamp).</w:t>
      </w:r>
      <w:r w:rsidR="003C4600">
        <w:t xml:space="preserve"> </w:t>
      </w:r>
      <w:r>
        <w:t xml:space="preserve">In this procedure the </w:t>
      </w:r>
      <w:r w:rsidRPr="005A17B3">
        <w:t>detector is aligned at 500 mm from the FEL and records the signal output at a specific current and voltage</w:t>
      </w:r>
      <w:r w:rsidR="00F1023F" w:rsidRPr="005A17B3">
        <w:t xml:space="preserve"> (Figure </w:t>
      </w:r>
      <w:r w:rsidR="0035328A" w:rsidRPr="005A17B3">
        <w:t>9</w:t>
      </w:r>
      <w:r w:rsidR="00F1023F" w:rsidRPr="005A17B3">
        <w:t>).</w:t>
      </w:r>
    </w:p>
    <w:p w14:paraId="47AC8EAC" w14:textId="77777777" w:rsidR="00884DBB" w:rsidRDefault="00884DBB" w:rsidP="00884DBB">
      <w:pPr>
        <w:keepNext/>
        <w:jc w:val="center"/>
      </w:pPr>
      <w:r>
        <w:lastRenderedPageBreak/>
        <w:br/>
      </w:r>
      <w:r>
        <w:rPr>
          <w:noProof/>
          <w:lang w:eastAsia="en-GB"/>
        </w:rPr>
        <w:drawing>
          <wp:inline distT="0" distB="0" distL="0" distR="0" wp14:anchorId="5B7BB72F" wp14:editId="0CC28172">
            <wp:extent cx="2880000" cy="21601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p w14:paraId="41EA2FE1" w14:textId="723C096C" w:rsidR="00884DBB" w:rsidRDefault="00884DBB" w:rsidP="00884DBB">
      <w:pPr>
        <w:pStyle w:val="Caption"/>
        <w:jc w:val="center"/>
      </w:pPr>
      <w:bookmarkStart w:id="98" w:name="_Ref523746186"/>
      <w:bookmarkStart w:id="99" w:name="_Toc37082478"/>
      <w:bookmarkStart w:id="100" w:name="_Toc41595343"/>
      <w:r>
        <w:t xml:space="preserve">Figure </w:t>
      </w:r>
      <w:r>
        <w:rPr>
          <w:noProof/>
        </w:rPr>
        <w:fldChar w:fldCharType="begin"/>
      </w:r>
      <w:r>
        <w:rPr>
          <w:noProof/>
        </w:rPr>
        <w:instrText xml:space="preserve"> SEQ Figure \* ARABIC </w:instrText>
      </w:r>
      <w:r>
        <w:rPr>
          <w:noProof/>
        </w:rPr>
        <w:fldChar w:fldCharType="separate"/>
      </w:r>
      <w:r w:rsidR="0035328A">
        <w:rPr>
          <w:noProof/>
        </w:rPr>
        <w:t>8</w:t>
      </w:r>
      <w:r>
        <w:rPr>
          <w:noProof/>
        </w:rPr>
        <w:fldChar w:fldCharType="end"/>
      </w:r>
      <w:bookmarkEnd w:id="98"/>
      <w:r>
        <w:t>: PAR sensors set up on the spectral response facility at NPL.</w:t>
      </w:r>
      <w:bookmarkEnd w:id="99"/>
      <w:bookmarkEnd w:id="100"/>
    </w:p>
    <w:p w14:paraId="503BAAF2" w14:textId="77777777" w:rsidR="00884DBB" w:rsidRDefault="00884DBB" w:rsidP="00884DBB">
      <w:pPr>
        <w:keepNext/>
        <w:jc w:val="center"/>
      </w:pPr>
      <w:r>
        <w:br/>
      </w:r>
      <w:r>
        <w:rPr>
          <w:noProof/>
          <w:lang w:eastAsia="en-GB"/>
        </w:rPr>
        <w:drawing>
          <wp:inline distT="0" distB="0" distL="0" distR="0" wp14:anchorId="1BFD5D76" wp14:editId="481FCDD3">
            <wp:extent cx="2880000" cy="21601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2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159"/>
                    </a:xfrm>
                    <a:prstGeom prst="rect">
                      <a:avLst/>
                    </a:prstGeom>
                  </pic:spPr>
                </pic:pic>
              </a:graphicData>
            </a:graphic>
          </wp:inline>
        </w:drawing>
      </w:r>
    </w:p>
    <w:p w14:paraId="1C19E873" w14:textId="702C9C31" w:rsidR="00884DBB" w:rsidRPr="00763DCB" w:rsidRDefault="00884DBB" w:rsidP="00884DBB">
      <w:pPr>
        <w:pStyle w:val="Caption"/>
        <w:jc w:val="center"/>
      </w:pPr>
      <w:bookmarkStart w:id="101" w:name="_Ref523747312"/>
      <w:bookmarkStart w:id="102" w:name="_Toc37082479"/>
      <w:bookmarkStart w:id="103" w:name="_Toc41595344"/>
      <w:r>
        <w:t xml:space="preserve">Figure </w:t>
      </w:r>
      <w:r>
        <w:rPr>
          <w:noProof/>
        </w:rPr>
        <w:fldChar w:fldCharType="begin"/>
      </w:r>
      <w:r>
        <w:rPr>
          <w:noProof/>
        </w:rPr>
        <w:instrText xml:space="preserve"> SEQ Figure \* ARABIC </w:instrText>
      </w:r>
      <w:r>
        <w:rPr>
          <w:noProof/>
        </w:rPr>
        <w:fldChar w:fldCharType="separate"/>
      </w:r>
      <w:r w:rsidR="0035328A">
        <w:rPr>
          <w:noProof/>
        </w:rPr>
        <w:t>9</w:t>
      </w:r>
      <w:r>
        <w:rPr>
          <w:noProof/>
        </w:rPr>
        <w:fldChar w:fldCharType="end"/>
      </w:r>
      <w:bookmarkEnd w:id="101"/>
      <w:r>
        <w:t>: Alignment of PAR sensors before measuring a broadband source.</w:t>
      </w:r>
      <w:bookmarkEnd w:id="102"/>
      <w:bookmarkEnd w:id="103"/>
    </w:p>
    <w:p w14:paraId="28F731C9" w14:textId="5678ECFF" w:rsidR="00884DBB" w:rsidRDefault="00884DBB" w:rsidP="00FD3124">
      <w:pPr>
        <w:spacing w:after="0" w:line="360" w:lineRule="auto"/>
        <w:jc w:val="both"/>
      </w:pPr>
      <w:r>
        <w:br/>
        <w:t>The information from the relative spectral response measurements is used to decompose the contribution from each wavelength region in order to ascertain the photon irradiance.</w:t>
      </w:r>
      <w:r w:rsidR="003C4600">
        <w:t xml:space="preserve"> </w:t>
      </w:r>
      <w:r>
        <w:t xml:space="preserve">This procedure applies to illumination sources which are reasonably </w:t>
      </w:r>
      <w:proofErr w:type="gramStart"/>
      <w:r>
        <w:t>similar to</w:t>
      </w:r>
      <w:proofErr w:type="gramEnd"/>
      <w:r>
        <w:t xml:space="preserve"> the spectral shape of the FEL.</w:t>
      </w:r>
      <w:r w:rsidR="003C4600">
        <w:t xml:space="preserve"> </w:t>
      </w:r>
      <w:r>
        <w:t>If this is not the case, a spectral mismatch factor (SMF) is applied to convert the calibration coefficient to the spectral shape of the desired illumination source.</w:t>
      </w:r>
      <w:r w:rsidR="003C4600">
        <w:t xml:space="preserve"> </w:t>
      </w:r>
      <w:r>
        <w:t>A secondary procedure to test the cosine response of the PAR sensors was implemented on a subset of the sensors prior to field deployment.</w:t>
      </w:r>
      <w:r w:rsidR="003C4600">
        <w:t xml:space="preserve"> </w:t>
      </w:r>
      <w:r>
        <w:t>This procedure used a similar setup to the broadband irradiance measurements but with a smaller bulb.</w:t>
      </w:r>
      <w:r w:rsidR="003C4600">
        <w:t xml:space="preserve"> </w:t>
      </w:r>
      <w:r>
        <w:t>This brought the irradiance source closer to the point source assumption required for cosine response characterisation.</w:t>
      </w:r>
      <w:r w:rsidR="003C4600">
        <w:t xml:space="preserve"> </w:t>
      </w:r>
      <w:r>
        <w:t xml:space="preserve">In this procedure, the detector was rotated </w:t>
      </w:r>
      <w:r>
        <w:sym w:font="Symbol" w:char="F0B1"/>
      </w:r>
      <w:r>
        <w:t xml:space="preserve"> 90</w:t>
      </w:r>
      <w:r w:rsidRPr="00E32BD5">
        <w:t>°</w:t>
      </w:r>
      <w:r>
        <w:t xml:space="preserve"> about the alignment axis, recording the signal at specified angles in between.</w:t>
      </w:r>
      <w:r w:rsidR="003C4600">
        <w:t xml:space="preserve"> </w:t>
      </w:r>
      <w:r>
        <w:t>The signal recorded at each angle was made relative to that produced at 0</w:t>
      </w:r>
      <w:r w:rsidRPr="00E32BD5">
        <w:t>°</w:t>
      </w:r>
      <w:r>
        <w:t>.</w:t>
      </w:r>
      <w:r w:rsidR="003C4600">
        <w:t xml:space="preserve"> </w:t>
      </w:r>
      <w:r>
        <w:t>The output response was compared to a theoretical cosine response.</w:t>
      </w:r>
    </w:p>
    <w:p w14:paraId="0E2D10F8" w14:textId="77777777" w:rsidR="001575D2" w:rsidRDefault="001575D2" w:rsidP="00884DBB">
      <w:pPr>
        <w:spacing w:line="360" w:lineRule="auto"/>
        <w:jc w:val="both"/>
      </w:pPr>
    </w:p>
    <w:p w14:paraId="756912E8" w14:textId="0872BC32" w:rsidR="00884DBB" w:rsidRDefault="00884DBB" w:rsidP="00C51520">
      <w:pPr>
        <w:pStyle w:val="Heading2"/>
      </w:pPr>
      <w:bookmarkStart w:id="104" w:name="_Toc40901547"/>
      <w:bookmarkStart w:id="105" w:name="_Toc40901548"/>
      <w:bookmarkStart w:id="106" w:name="_Ref2964120"/>
      <w:bookmarkStart w:id="107" w:name="_Toc38183451"/>
      <w:bookmarkStart w:id="108" w:name="_Toc44515974"/>
      <w:bookmarkEnd w:id="104"/>
      <w:bookmarkEnd w:id="105"/>
      <w:r>
        <w:lastRenderedPageBreak/>
        <w:t>LAI-2200C Calibration</w:t>
      </w:r>
      <w:bookmarkEnd w:id="106"/>
      <w:bookmarkEnd w:id="107"/>
      <w:bookmarkEnd w:id="108"/>
    </w:p>
    <w:p w14:paraId="5B073A2D" w14:textId="77777777" w:rsidR="00884DBB" w:rsidRDefault="00884DBB" w:rsidP="0069303D">
      <w:pPr>
        <w:spacing w:after="0"/>
      </w:pPr>
    </w:p>
    <w:p w14:paraId="3F4FBFC4" w14:textId="183B87BC" w:rsidR="00884DBB" w:rsidRDefault="00884DBB" w:rsidP="00FD3124">
      <w:pPr>
        <w:spacing w:after="0" w:line="360" w:lineRule="auto"/>
        <w:jc w:val="both"/>
      </w:pPr>
      <w:r w:rsidRPr="00602DE2">
        <w:t xml:space="preserve">Prior to shipping, two calibration procedures are performed by the manufacturer of the </w:t>
      </w:r>
      <w:r>
        <w:t>LAI-2200C</w:t>
      </w:r>
      <w:r w:rsidRPr="00602DE2">
        <w:t>.</w:t>
      </w:r>
      <w:r w:rsidR="003C4600">
        <w:t xml:space="preserve"> </w:t>
      </w:r>
      <w:r w:rsidRPr="00602DE2">
        <w:t>The first is angular calibration, which involves the measurement of a collimated source of light at a range of zenith angles across two planes.</w:t>
      </w:r>
      <w:r w:rsidR="003C4600">
        <w:t xml:space="preserve"> </w:t>
      </w:r>
      <w:r w:rsidRPr="00602DE2">
        <w:t>This procedure is used to centre the sensor and confirm its relative angular response.</w:t>
      </w:r>
      <w:r w:rsidR="003C4600">
        <w:t xml:space="preserve"> </w:t>
      </w:r>
      <w:r w:rsidRPr="00602DE2">
        <w:t>The second procedure makes use of an integrating sphere to match the radiometric response of each sensor ring to each other (but not to an absolute standard).</w:t>
      </w:r>
      <w:r w:rsidR="003C4600">
        <w:t xml:space="preserve"> </w:t>
      </w:r>
      <w:r w:rsidRPr="00602DE2">
        <w:t>Although the sensor may be subject to long-term electronic drift, the manufacturer suggest</w:t>
      </w:r>
      <w:r w:rsidR="00A8093C">
        <w:t>s</w:t>
      </w:r>
      <w:r w:rsidRPr="00602DE2">
        <w:t xml:space="preserve"> that such drift will not affect the derived LAI values.</w:t>
      </w:r>
      <w:r w:rsidR="003C4600">
        <w:t xml:space="preserve"> </w:t>
      </w:r>
      <w:r w:rsidRPr="00602DE2">
        <w:t>Thus, as long as the optics within the sensor remain in place, recalibration is not</w:t>
      </w:r>
      <w:r>
        <w:t xml:space="preserve"> required before deployment</w:t>
      </w:r>
      <w:r w:rsidR="00B60D54">
        <w:t xml:space="preserve"> </w:t>
      </w:r>
      <w:r w:rsidR="00B60D54">
        <w:fldChar w:fldCharType="begin" w:fldLock="1"/>
      </w:r>
      <w:r w:rsidR="00132903">
        <w:instrText>ADDIN CSL_CITATION {"citationItems":[{"id":"ITEM-1","itemData":{"author":[{"dropping-particle":"","family":"LI-COR","given":"","non-dropping-particle":"","parse-names":false,"suffix":""}],"id":"ITEM-1","issued":{"date-parts":[["2013"]]},"publisher":"LI-COR","publisher-place":"Lincoln, Nebraska, United States","title":"LAI-2200C Plant Canopy Analyser Instruction Manual","type":"book"},"uris":["http://www.mendeley.com/documents/?uuid=cf17c656-363c-4253-b375-fbc66385fac9"]}],"mendeley":{"formattedCitation":"[21]","plainTextFormattedCitation":"[21]","previouslyFormattedCitation":"[21]"},"properties":{"noteIndex":0},"schema":"https://github.com/citation-style-language/schema/raw/master/csl-citation.json"}</w:instrText>
      </w:r>
      <w:r w:rsidR="00B60D54">
        <w:fldChar w:fldCharType="separate"/>
      </w:r>
      <w:r w:rsidR="00132903" w:rsidRPr="00132903">
        <w:rPr>
          <w:noProof/>
        </w:rPr>
        <w:t>[21]</w:t>
      </w:r>
      <w:r w:rsidR="00B60D54">
        <w:fldChar w:fldCharType="end"/>
      </w:r>
      <w:r>
        <w:t>.</w:t>
      </w:r>
    </w:p>
    <w:p w14:paraId="717C9FDC" w14:textId="77777777" w:rsidR="00884DBB" w:rsidRDefault="00884DBB" w:rsidP="00884DBB">
      <w:pPr>
        <w:jc w:val="both"/>
      </w:pPr>
    </w:p>
    <w:p w14:paraId="550DBD12" w14:textId="18B24D1F" w:rsidR="00884DBB" w:rsidRDefault="00884DBB" w:rsidP="00FD3124">
      <w:pPr>
        <w:pStyle w:val="Heading2"/>
      </w:pPr>
      <w:bookmarkStart w:id="109" w:name="_Ref2963927"/>
      <w:bookmarkStart w:id="110" w:name="_Toc38183452"/>
      <w:bookmarkStart w:id="111" w:name="_Toc44515975"/>
      <w:r>
        <w:t>DHP Calibration</w:t>
      </w:r>
      <w:bookmarkEnd w:id="109"/>
      <w:bookmarkEnd w:id="110"/>
      <w:bookmarkEnd w:id="111"/>
    </w:p>
    <w:p w14:paraId="0B1B4903" w14:textId="77777777" w:rsidR="00884DBB" w:rsidRDefault="00884DBB" w:rsidP="0069303D">
      <w:pPr>
        <w:spacing w:after="0"/>
      </w:pPr>
    </w:p>
    <w:p w14:paraId="30CCBA07" w14:textId="4D1CCD2B" w:rsidR="00884DBB" w:rsidRDefault="00884DBB" w:rsidP="00884DBB">
      <w:pPr>
        <w:spacing w:line="360" w:lineRule="auto"/>
        <w:jc w:val="both"/>
      </w:pPr>
      <w:r>
        <w:t xml:space="preserve">In order to determine the zenith and azimuth angles of each pixel in an image acquired using DHP, two calibration procedures are required </w:t>
      </w:r>
      <w:r>
        <w:fldChar w:fldCharType="begin" w:fldLock="1"/>
      </w:r>
      <w:r w:rsidR="00132903">
        <w:instrText>ADDIN CSL_CITATION {"citationItems":[{"id":"ITEM-1","itemData":{"author":[{"dropping-particle":"","family":"Weiss","given":"M","non-dropping-particle":"","parse-names":false,"suffix":""},{"dropping-particle":"","family":"Baret","given":"F","non-dropping-particle":"","parse-names":false,"suffix":""}],"id":"ITEM-1","issued":{"date-parts":[["2017"]]},"publisher":"Institut National de la Recherche Agronomique","publisher-place":"Avignon, France","title":"CAN-EYE V6.4.91 User Manual","type":"book"},"uris":["http://www.mendeley.com/documents/?uuid=8a5b1745-c3f3-4339-9154-7d2a6136d02a"]}],"mendeley":{"formattedCitation":"[18]","plainTextFormattedCitation":"[18]","previouslyFormattedCitation":"[18]"},"properties":{"noteIndex":0},"schema":"https://github.com/citation-style-language/schema/raw/master/csl-citation.json"}</w:instrText>
      </w:r>
      <w:r>
        <w:fldChar w:fldCharType="separate"/>
      </w:r>
      <w:r w:rsidR="00132903" w:rsidRPr="00132903">
        <w:rPr>
          <w:noProof/>
        </w:rPr>
        <w:t>[18]</w:t>
      </w:r>
      <w:r>
        <w:fldChar w:fldCharType="end"/>
      </w:r>
      <w:r>
        <w:t>.</w:t>
      </w:r>
      <w:r w:rsidR="003C4600">
        <w:t xml:space="preserve"> </w:t>
      </w:r>
      <w:r>
        <w:t>The first establishes the position of the optical centre (i.e. the position on the imaging sensor that corresponds to the centre of the fisheye lens), whilst the second enables the projection function of the fisheye lens to be determined.</w:t>
      </w:r>
      <w:r w:rsidR="003C4600">
        <w:t xml:space="preserve"> </w:t>
      </w:r>
      <w:r>
        <w:t>Each calibration is specific to a given camera body and fisheye lens.</w:t>
      </w:r>
      <w:r w:rsidR="003C4600">
        <w:t xml:space="preserve"> </w:t>
      </w:r>
    </w:p>
    <w:p w14:paraId="3A76239F" w14:textId="3A0156E5" w:rsidR="00884DBB" w:rsidRDefault="00884DBB" w:rsidP="000043E3">
      <w:pPr>
        <w:spacing w:line="360" w:lineRule="auto"/>
        <w:jc w:val="both"/>
      </w:pPr>
      <w:r>
        <w:t>The position of the optical centre is</w:t>
      </w:r>
      <w:r w:rsidRPr="0A45E27C">
        <w:t xml:space="preserve"> </w:t>
      </w:r>
      <w:r>
        <w:t>established by recording the coordinates of a point as it rotates around the central axis of the fisheye lens.</w:t>
      </w:r>
      <w:r w:rsidR="003C4600">
        <w:t xml:space="preserve"> </w:t>
      </w:r>
      <w:r>
        <w:t>This can be achieved, for example, by drilling a hole in the lens cap</w:t>
      </w:r>
      <w:r w:rsidRPr="0A45E27C">
        <w:t xml:space="preserve">, </w:t>
      </w:r>
      <w:r>
        <w:t>and then acquiring</w:t>
      </w:r>
      <w:r w:rsidRPr="0A45E27C">
        <w:t xml:space="preserve"> </w:t>
      </w:r>
      <w:r>
        <w:t>images with the hole at several different positions.</w:t>
      </w:r>
      <w:r w:rsidR="003C4600">
        <w:t xml:space="preserve"> </w:t>
      </w:r>
      <w:r>
        <w:t>Using these images, the coordinates of the optical centre can be determined by means of interpolation</w:t>
      </w:r>
      <w:r w:rsidRPr="0A45E27C">
        <w:t>.</w:t>
      </w:r>
      <w:r w:rsidR="003C4600">
        <w:t xml:space="preserve"> </w:t>
      </w:r>
      <w:r>
        <w:t>Whilst a high-quality fisheye lens can be assumed to have a near-polar projection function, it is desirable to perform calibration to verify this prior to deployment.</w:t>
      </w:r>
      <w:r w:rsidR="003C4600">
        <w:t xml:space="preserve"> </w:t>
      </w:r>
      <w:r>
        <w:t>The projection function can be determined using a dedicated calibration rig, as described by</w:t>
      </w:r>
      <w:r w:rsidR="00132903">
        <w:t xml:space="preserve"> </w:t>
      </w:r>
      <w:r w:rsidR="00132903">
        <w:fldChar w:fldCharType="begin" w:fldLock="1"/>
      </w:r>
      <w:r w:rsidR="00132903">
        <w:instrText>ADDIN CSL_CITATION {"citationItems":[{"id":"ITEM-1","itemData":{"author":[{"dropping-particle":"","family":"Weiss","given":"M","non-dropping-particle":"","parse-names":false,"suffix":""},{"dropping-particle":"","family":"Baret","given":"F","non-dropping-particle":"","parse-names":false,"suffix":""}],"id":"ITEM-1","issued":{"date-parts":[["2017"]]},"publisher":"Institut National de la Recherche Agronomique","publisher-place":"Avignon, France","title":"CAN-EYE V6.4.91 User Manual","type":"book"},"uris":["http://www.mendeley.com/documents/?uuid=8a5b1745-c3f3-4339-9154-7d2a6136d02a"]}],"mendeley":{"formattedCitation":"[18]","plainTextFormattedCitation":"[18]","previouslyFormattedCitation":"[18]"},"properties":{"noteIndex":0},"schema":"https://github.com/citation-style-language/schema/raw/master/csl-citation.json"}</w:instrText>
      </w:r>
      <w:r w:rsidR="00132903">
        <w:fldChar w:fldCharType="separate"/>
      </w:r>
      <w:r w:rsidR="00132903" w:rsidRPr="00132903">
        <w:rPr>
          <w:noProof/>
        </w:rPr>
        <w:t>[18]</w:t>
      </w:r>
      <w:r w:rsidR="00132903">
        <w:fldChar w:fldCharType="end"/>
      </w:r>
      <w:r>
        <w:t>.</w:t>
      </w:r>
      <w:r w:rsidR="003C4600">
        <w:t xml:space="preserve"> </w:t>
      </w:r>
      <w:r>
        <w:t xml:space="preserve">An example of the measurement setup used to define the lens projection is </w:t>
      </w:r>
      <w:r w:rsidRPr="005A17B3">
        <w:t xml:space="preserve">shown in Figure </w:t>
      </w:r>
      <w:r w:rsidR="0035328A" w:rsidRPr="005A17B3">
        <w:t>10</w:t>
      </w:r>
      <w:r w:rsidRPr="005A17B3">
        <w:t>.</w:t>
      </w:r>
    </w:p>
    <w:p w14:paraId="61415490" w14:textId="77777777" w:rsidR="00884DBB" w:rsidRDefault="00884DBB" w:rsidP="00884DBB">
      <w:pPr>
        <w:keepNext/>
        <w:jc w:val="center"/>
      </w:pPr>
      <w:r>
        <w:rPr>
          <w:noProof/>
          <w:lang w:eastAsia="en-GB"/>
        </w:rPr>
        <w:lastRenderedPageBreak/>
        <w:drawing>
          <wp:inline distT="0" distB="0" distL="0" distR="0" wp14:anchorId="06EEE08B" wp14:editId="6B811194">
            <wp:extent cx="2880000" cy="230399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651.JPG"/>
                    <pic:cNvPicPr/>
                  </pic:nvPicPr>
                  <pic:blipFill rotWithShape="1">
                    <a:blip r:embed="rId29" cstate="print">
                      <a:extLst>
                        <a:ext uri="{28A0092B-C50C-407E-A947-70E740481C1C}">
                          <a14:useLocalDpi xmlns:a14="http://schemas.microsoft.com/office/drawing/2010/main" val="0"/>
                        </a:ext>
                      </a:extLst>
                    </a:blip>
                    <a:srcRect t="20001" b="20001"/>
                    <a:stretch/>
                  </pic:blipFill>
                  <pic:spPr bwMode="auto">
                    <a:xfrm>
                      <a:off x="0" y="0"/>
                      <a:ext cx="2880000" cy="2303999"/>
                    </a:xfrm>
                    <a:prstGeom prst="rect">
                      <a:avLst/>
                    </a:prstGeom>
                    <a:ln>
                      <a:noFill/>
                    </a:ln>
                    <a:extLst>
                      <a:ext uri="{53640926-AAD7-44D8-BBD7-CCE9431645EC}">
                        <a14:shadowObscured xmlns:a14="http://schemas.microsoft.com/office/drawing/2010/main"/>
                      </a:ext>
                    </a:extLst>
                  </pic:spPr>
                </pic:pic>
              </a:graphicData>
            </a:graphic>
          </wp:inline>
        </w:drawing>
      </w:r>
    </w:p>
    <w:p w14:paraId="2256154C" w14:textId="2BFC99D4" w:rsidR="00884DBB" w:rsidRDefault="00884DBB" w:rsidP="00884DBB">
      <w:pPr>
        <w:pStyle w:val="Caption"/>
        <w:jc w:val="center"/>
      </w:pPr>
      <w:bookmarkStart w:id="112" w:name="_Ref523747522"/>
      <w:bookmarkStart w:id="113" w:name="_Toc37082481"/>
      <w:bookmarkStart w:id="114" w:name="_Toc41595345"/>
      <w:r>
        <w:t xml:space="preserve">Figure </w:t>
      </w:r>
      <w:r>
        <w:rPr>
          <w:noProof/>
        </w:rPr>
        <w:fldChar w:fldCharType="begin"/>
      </w:r>
      <w:r>
        <w:rPr>
          <w:noProof/>
        </w:rPr>
        <w:instrText xml:space="preserve"> SEQ Figure \* ARABIC </w:instrText>
      </w:r>
      <w:r>
        <w:rPr>
          <w:noProof/>
        </w:rPr>
        <w:fldChar w:fldCharType="separate"/>
      </w:r>
      <w:r w:rsidR="0035328A">
        <w:rPr>
          <w:noProof/>
        </w:rPr>
        <w:t>10</w:t>
      </w:r>
      <w:r>
        <w:rPr>
          <w:noProof/>
        </w:rPr>
        <w:fldChar w:fldCharType="end"/>
      </w:r>
      <w:bookmarkEnd w:id="112"/>
      <w:r>
        <w:t xml:space="preserve">: Example of the setup used to determine the lens projection function according the method implemented in CAN-EYE </w:t>
      </w:r>
      <w:r>
        <w:fldChar w:fldCharType="begin" w:fldLock="1"/>
      </w:r>
      <w:r w:rsidR="00132903">
        <w:instrText>ADDIN CSL_CITATION {"citationItems":[{"id":"ITEM-1","itemData":{"author":[{"dropping-particle":"","family":"Weiss","given":"M","non-dropping-particle":"","parse-names":false,"suffix":""},{"dropping-particle":"","family":"Baret","given":"F","non-dropping-particle":"","parse-names":false,"suffix":""}],"id":"ITEM-1","issued":{"date-parts":[["2017"]]},"publisher":"Institut National de la Recherche Agronomique","publisher-place":"Avignon, France","title":"CAN-EYE V6.4.91 User Manual","type":"book"},"uris":["http://www.mendeley.com/documents/?uuid=8a5b1745-c3f3-4339-9154-7d2a6136d02a"]}],"mendeley":{"formattedCitation":"[18]","manualFormatting":"[35]","plainTextFormattedCitation":"[18]","previouslyFormattedCitation":"[18]"},"properties":{"noteIndex":0},"schema":"https://github.com/citation-style-language/schema/raw/master/csl-citation.json"}</w:instrText>
      </w:r>
      <w:r>
        <w:fldChar w:fldCharType="separate"/>
      </w:r>
      <w:r w:rsidRPr="00860816">
        <w:rPr>
          <w:i w:val="0"/>
          <w:noProof/>
        </w:rPr>
        <w:t>[3</w:t>
      </w:r>
      <w:r>
        <w:rPr>
          <w:i w:val="0"/>
          <w:noProof/>
        </w:rPr>
        <w:t>5</w:t>
      </w:r>
      <w:r w:rsidRPr="00860816">
        <w:rPr>
          <w:i w:val="0"/>
          <w:noProof/>
        </w:rPr>
        <w:t>]</w:t>
      </w:r>
      <w:r>
        <w:fldChar w:fldCharType="end"/>
      </w:r>
      <w:r>
        <w:t>.</w:t>
      </w:r>
      <w:bookmarkEnd w:id="113"/>
      <w:bookmarkEnd w:id="114"/>
    </w:p>
    <w:p w14:paraId="4CA2783C" w14:textId="77777777" w:rsidR="00BB3FD5" w:rsidRPr="00BB3FD5" w:rsidRDefault="00BB3FD5" w:rsidP="00FD3124">
      <w:pPr>
        <w:spacing w:after="0"/>
      </w:pPr>
    </w:p>
    <w:p w14:paraId="309F4786" w14:textId="492D4A7E" w:rsidR="007B5E9F" w:rsidRDefault="007B5E9F" w:rsidP="00FD3124">
      <w:pPr>
        <w:pStyle w:val="Heading2"/>
      </w:pPr>
      <w:bookmarkStart w:id="115" w:name="_Toc40901554"/>
      <w:bookmarkStart w:id="116" w:name="_Toc40901555"/>
      <w:bookmarkStart w:id="117" w:name="_Toc38183463"/>
      <w:bookmarkStart w:id="118" w:name="_Toc44515976"/>
      <w:bookmarkEnd w:id="115"/>
      <w:bookmarkEnd w:id="116"/>
      <w:r>
        <w:t>Optical Chlorophyll Meter Calibration</w:t>
      </w:r>
      <w:bookmarkEnd w:id="117"/>
      <w:bookmarkEnd w:id="118"/>
    </w:p>
    <w:p w14:paraId="69879CD2" w14:textId="77777777" w:rsidR="007B5E9F" w:rsidRDefault="007B5E9F" w:rsidP="00FD3124">
      <w:pPr>
        <w:spacing w:after="0" w:line="360" w:lineRule="auto"/>
      </w:pPr>
    </w:p>
    <w:p w14:paraId="12980686" w14:textId="2EE42A62" w:rsidR="007B5E9F" w:rsidRDefault="007B5E9F" w:rsidP="007B5E9F">
      <w:pPr>
        <w:spacing w:line="360" w:lineRule="auto"/>
        <w:jc w:val="both"/>
      </w:pPr>
      <w:r>
        <w:t xml:space="preserve">The values provided by optical chlorophyll meters are relative measures of LCC only, and are influenced by other leaf properties that vary as a function of vegetation type </w:t>
      </w:r>
      <w:r w:rsidR="00132903">
        <w:fldChar w:fldCharType="begin" w:fldLock="1"/>
      </w:r>
      <w:r w:rsidR="00132903">
        <w:instrText>ADDIN CSL_CITATION {"citationItems":[{"id":"ITEM-1","itemData":{"DOI":"10.1111/pce.12324","ISBN":"1365-3040","ISSN":"01407791","PMID":"24635697","author":[{"dropping-particle":"","family":"Parry","given":"Christopher","non-dropping-particle":"","parse-names":false,"suffix":""},{"dropping-particle":"","family":"Blonquist","given":"J Mark","non-dropping-particle":"","parse-names":false,"suffix":""},{"dropping-particle":"","family":"Bugbee","given":"Bruce","non-dropping-particle":"","parse-names":false,"suffix":""}],"container-title":"Plant, Cell &amp; Environment","id":"ITEM-1","issue":"11","issued":{"date-parts":[["2014"]]},"page":"2508-2520","title":"In situ measurement of leaf chlorophyll concentration: analysis of the optical/absolute relationship","type":"article-journal","volume":"37"},"uris":["http://www.mendeley.com/documents/?uuid=66f6df3f-fa76-44ef-90f8-652d495f7261"]}],"mendeley":{"formattedCitation":"[19]","plainTextFormattedCitation":"[19]","previouslyFormattedCitation":"[19]"},"properties":{"noteIndex":0},"schema":"https://github.com/citation-style-language/schema/raw/master/csl-citation.json"}</w:instrText>
      </w:r>
      <w:r w:rsidR="00132903">
        <w:fldChar w:fldCharType="separate"/>
      </w:r>
      <w:r w:rsidR="00132903" w:rsidRPr="00132903">
        <w:rPr>
          <w:noProof/>
        </w:rPr>
        <w:t>[19]</w:t>
      </w:r>
      <w:r w:rsidR="00132903">
        <w:fldChar w:fldCharType="end"/>
      </w:r>
      <w:r>
        <w:t>.</w:t>
      </w:r>
      <w:r w:rsidR="003C4600">
        <w:t xml:space="preserve"> </w:t>
      </w:r>
      <w:r>
        <w:t>To derive LCC in absolute units,</w:t>
      </w:r>
      <w:r w:rsidR="00A8093C">
        <w:t xml:space="preserve"> laboratory-based</w:t>
      </w:r>
      <w:r>
        <w:t xml:space="preserve"> calibration is required.</w:t>
      </w:r>
      <w:r w:rsidR="003C4600">
        <w:t xml:space="preserve"> </w:t>
      </w:r>
      <w:r>
        <w:t>This is achieved by determining LCC spectrophotometrically for a subset of samples that have also been measured using the optical chlorophyll meter, enabling an appropriate calibration function to be derived.</w:t>
      </w:r>
      <w:r w:rsidR="003C4600">
        <w:t xml:space="preserve"> </w:t>
      </w:r>
      <w:r>
        <w:t>The calibration function typically takes an exponential form, in which</w:t>
      </w:r>
    </w:p>
    <w:p w14:paraId="1EB2CA42" w14:textId="77777777" w:rsidR="00BB3FD5" w:rsidRDefault="00BB3FD5" w:rsidP="007B5E9F">
      <w:pPr>
        <w:spacing w:line="360" w:lineRule="auto"/>
        <w:jc w:val="both"/>
        <w:rPr>
          <w:rFonts w:eastAsiaTheme="minorEastAsia"/>
        </w:rPr>
      </w:pPr>
    </w:p>
    <w:p w14:paraId="6D3EFB2C" w14:textId="4079E0D3" w:rsidR="007B5E9F" w:rsidRPr="000C57C9" w:rsidRDefault="00F123E0" w:rsidP="007B5E9F">
      <w:pPr>
        <w:spacing w:line="360" w:lineRule="auto"/>
        <w:jc w:val="both"/>
        <w:rPr>
          <w:rFonts w:eastAsiaTheme="minorEastAsia"/>
        </w:rPr>
      </w:pPr>
      <m:oMathPara>
        <m:oMath>
          <m:sSub>
            <m:sSubPr>
              <m:ctrlPr>
                <w:rPr>
                  <w:rFonts w:ascii="Cambria Math" w:hAnsi="Cambria Math"/>
                  <w:i/>
                </w:rPr>
              </m:ctrlPr>
            </m:sSubPr>
            <m:e>
              <m:r>
                <w:rPr>
                  <w:rFonts w:ascii="Cambria Math" w:hAnsi="Cambria Math"/>
                </w:rPr>
                <m:t>LCC</m:t>
              </m:r>
            </m:e>
            <m:sub>
              <m:r>
                <w:rPr>
                  <w:rFonts w:ascii="Cambria Math" w:hAnsi="Cambria Math"/>
                </w:rPr>
                <m:t>SPAD</m:t>
              </m:r>
            </m:sub>
          </m:sSub>
          <m:r>
            <w:rPr>
              <w:rFonts w:ascii="Cambria Math" w:hAnsi="Cambria Math"/>
            </w:rPr>
            <m:t xml:space="preserve">=a </m:t>
          </m:r>
          <m:sSup>
            <m:sSupPr>
              <m:ctrlPr>
                <w:rPr>
                  <w:rFonts w:ascii="Cambria Math" w:hAnsi="Cambria Math"/>
                  <w:i/>
                </w:rPr>
              </m:ctrlPr>
            </m:sSupPr>
            <m:e>
              <m:r>
                <w:rPr>
                  <w:rFonts w:ascii="Cambria Math" w:hAnsi="Cambria Math"/>
                </w:rPr>
                <m:t>e</m:t>
              </m:r>
            </m:e>
            <m:sup>
              <m:r>
                <w:rPr>
                  <w:rFonts w:ascii="Cambria Math" w:hAnsi="Cambria Math"/>
                </w:rPr>
                <m:t>b M</m:t>
              </m:r>
            </m:sup>
          </m:sSup>
          <m:r>
            <m:rPr>
              <m:sty m:val="p"/>
            </m:rPr>
            <w:rPr>
              <w:rFonts w:eastAsiaTheme="minorEastAsia"/>
            </w:rPr>
            <w:br/>
          </m:r>
        </m:oMath>
      </m:oMathPara>
    </w:p>
    <w:p w14:paraId="2436C58A" w14:textId="77777777" w:rsidR="007B5E9F" w:rsidRDefault="007B5E9F" w:rsidP="007B5E9F">
      <w:pPr>
        <w:spacing w:line="360" w:lineRule="auto"/>
        <w:jc w:val="both"/>
      </w:pPr>
      <w:r>
        <w:t xml:space="preserve">where </w:t>
      </w:r>
      <m:oMath>
        <m:r>
          <w:rPr>
            <w:rFonts w:ascii="Cambria Math" w:hAnsi="Cambria Math"/>
          </w:rPr>
          <m:t>a</m:t>
        </m:r>
      </m:oMath>
      <w:r>
        <w:rPr>
          <w:rFonts w:eastAsiaTheme="minorEastAsia"/>
        </w:rPr>
        <w:t xml:space="preserve"> and </w:t>
      </w:r>
      <m:oMath>
        <m:r>
          <w:rPr>
            <w:rFonts w:ascii="Cambria Math" w:hAnsi="Cambria Math"/>
          </w:rPr>
          <m:t>b</m:t>
        </m:r>
      </m:oMath>
      <w:r>
        <w:rPr>
          <w:rFonts w:eastAsiaTheme="minorEastAsia"/>
        </w:rPr>
        <w:t xml:space="preserve"> are the calibration coefficients.</w:t>
      </w:r>
    </w:p>
    <w:p w14:paraId="64451107" w14:textId="3F647330" w:rsidR="007B5E9F" w:rsidRDefault="007B5E9F" w:rsidP="007B5E9F">
      <w:pPr>
        <w:spacing w:line="360" w:lineRule="auto"/>
        <w:jc w:val="both"/>
      </w:pPr>
      <w:r>
        <w:t>The calibration procedure adopted in the FRM4VEG</w:t>
      </w:r>
      <w:r w:rsidR="00A8093C">
        <w:t xml:space="preserve"> Phase 1</w:t>
      </w:r>
      <w:r>
        <w:t xml:space="preserve"> project involves the collection of at least 60 leaves for each vegetation type, spanning a range of LCC values (assessed visually in terms of leaf colour).</w:t>
      </w:r>
      <w:r w:rsidR="003C4600">
        <w:t xml:space="preserve"> </w:t>
      </w:r>
      <w:r>
        <w:t>A disc is removed from each leaf using a 6 mm</w:t>
      </w:r>
      <w:r w:rsidR="00A8093C">
        <w:t xml:space="preserve"> diameter</w:t>
      </w:r>
      <w:r>
        <w:t xml:space="preserve"> </w:t>
      </w:r>
      <w:proofErr w:type="spellStart"/>
      <w:r>
        <w:t>cork</w:t>
      </w:r>
      <w:proofErr w:type="spellEnd"/>
      <w:r>
        <w:t xml:space="preserve"> </w:t>
      </w:r>
      <w:proofErr w:type="gramStart"/>
      <w:r>
        <w:t>borer, and</w:t>
      </w:r>
      <w:proofErr w:type="gramEnd"/>
      <w:r>
        <w:t xml:space="preserve"> is measured three times using the SPAD-502.</w:t>
      </w:r>
      <w:r w:rsidR="003C4600">
        <w:t xml:space="preserve"> </w:t>
      </w:r>
      <w:r>
        <w:t>The disc is placed in 5 ml of DMSO, which is administered using a calibrated bottle top dispenser with adjustable dosing settings.</w:t>
      </w:r>
      <w:r w:rsidR="003C4600">
        <w:t xml:space="preserve"> </w:t>
      </w:r>
      <w:r w:rsidR="00A8093C">
        <w:t>The sample is then</w:t>
      </w:r>
      <w:r>
        <w:t xml:space="preserve"> placed in a drying oven set at 65</w:t>
      </w:r>
      <w:r>
        <w:rPr>
          <w:rStyle w:val="ilfuvd"/>
        </w:rPr>
        <w:t>°</w:t>
      </w:r>
      <w:r>
        <w:t xml:space="preserve"> C overnight to facilitate extraction, which is complete when the disc turns white in colour</w:t>
      </w:r>
      <w:r w:rsidR="00B10DCA">
        <w:t xml:space="preserve"> (Figure 9)</w:t>
      </w:r>
      <w:r>
        <w:t>.</w:t>
      </w:r>
      <w:r w:rsidR="003C4600">
        <w:t xml:space="preserve"> </w:t>
      </w:r>
      <w:r>
        <w:t>Once extracted, a 3 ml aliquot of the solution is transferred to a 10 mm path length polystyrene cuvette using a transfer pipette.</w:t>
      </w:r>
      <w:r w:rsidR="003C4600">
        <w:t xml:space="preserve"> </w:t>
      </w:r>
      <w:r>
        <w:t xml:space="preserve">The absorbance of the sample is then determined at 665 nm and 649 </w:t>
      </w:r>
      <w:r>
        <w:lastRenderedPageBreak/>
        <w:t>nm using a spectrophotometer</w:t>
      </w:r>
      <w:r w:rsidR="00A8093C">
        <w:t xml:space="preserve"> (</w:t>
      </w:r>
      <w:proofErr w:type="spellStart"/>
      <w:r w:rsidR="00A8093C">
        <w:t>ThermoFisher</w:t>
      </w:r>
      <w:proofErr w:type="spellEnd"/>
      <w:r w:rsidR="00A8093C">
        <w:t xml:space="preserve"> </w:t>
      </w:r>
      <w:proofErr w:type="spellStart"/>
      <w:r w:rsidR="00A8093C">
        <w:t>Genesys</w:t>
      </w:r>
      <w:proofErr w:type="spellEnd"/>
      <w:r w:rsidR="00A8093C">
        <w:t xml:space="preserve"> 50 UV-Vis)</w:t>
      </w:r>
      <w:r>
        <w:t xml:space="preserve">, enabling the concentrations of chlorophyll-a and -b to be derived according to </w:t>
      </w:r>
      <w:r w:rsidR="00132903">
        <w:fldChar w:fldCharType="begin" w:fldLock="1"/>
      </w:r>
      <w:r w:rsidR="00132903">
        <w:instrText>ADDIN CSL_CITATION {"citationItems":[{"id":"ITEM-1","itemData":{"DOI":"10.1016/S0176-1617(11)81192-2","ISBN":"0176-1617","ISSN":"01761617","PMID":"862","author":[{"dropping-particle":"","family":"Wellburn","given":"Alan R","non-dropping-particle":"","parse-names":false,"suffix":""}],"container-title":"Journal of Plant Physiology","id":"ITEM-1","issue":"3","issued":{"date-parts":[["1994"]]},"page":"307-313","title":"The Spectral Determination of Chlorophylls a and b, as well as Total Carotenoids, Using Various Solvents with Spectrophotometers of Different Resolution","type":"article-journal","volume":"144"},"uris":["http://www.mendeley.com/documents/?uuid=4fb4e0c4-8b03-4fc6-9edc-3a66eed93dde"]}],"mendeley":{"formattedCitation":"[20]","plainTextFormattedCitation":"[20]","previouslyFormattedCitation":"[20]"},"properties":{"noteIndex":0},"schema":"https://github.com/citation-style-language/schema/raw/master/csl-citation.json"}</w:instrText>
      </w:r>
      <w:r w:rsidR="00132903">
        <w:fldChar w:fldCharType="separate"/>
      </w:r>
      <w:r w:rsidR="00132903" w:rsidRPr="00132903">
        <w:rPr>
          <w:noProof/>
        </w:rPr>
        <w:t>[20]</w:t>
      </w:r>
      <w:r w:rsidR="00132903">
        <w:fldChar w:fldCharType="end"/>
      </w:r>
      <w:r>
        <w:t xml:space="preserve"> as</w:t>
      </w:r>
    </w:p>
    <w:p w14:paraId="48AB27D6" w14:textId="77777777" w:rsidR="007B5E9F" w:rsidRPr="00237FFD" w:rsidRDefault="007B5E9F" w:rsidP="007B5E9F">
      <w:pPr>
        <w:spacing w:line="360" w:lineRule="auto"/>
        <w:jc w:val="both"/>
        <w:rPr>
          <w:rFonts w:eastAsiaTheme="minorEastAsia"/>
        </w:rPr>
      </w:pPr>
      <w:r>
        <w:rPr>
          <w:rFonts w:eastAsiaTheme="minorEastAsia"/>
        </w:rPr>
        <w:br/>
      </w: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 xml:space="preserve">=12.99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665</m:t>
              </m:r>
            </m:sub>
          </m:sSub>
          <m:r>
            <m:rPr>
              <m:sty m:val="p"/>
            </m:rPr>
            <w:rPr>
              <w:rFonts w:ascii="Cambria Math" w:eastAsiaTheme="minorEastAsia"/>
            </w:rPr>
            <m:t>-</m:t>
          </m:r>
          <m:r>
            <m:rPr>
              <m:sty m:val="p"/>
            </m:rPr>
            <w:rPr>
              <w:rFonts w:ascii="Cambria Math" w:eastAsiaTheme="minorEastAsia"/>
            </w:rPr>
            <m:t xml:space="preserve">3.45 </m:t>
          </m:r>
          <m:sSub>
            <m:sSubPr>
              <m:ctrlPr>
                <w:rPr>
                  <w:rFonts w:ascii="Cambria Math" w:eastAsiaTheme="minorEastAsia" w:hAnsi="Cambria Math"/>
                </w:rPr>
              </m:ctrlPr>
            </m:sSubPr>
            <m:e>
              <m:r>
                <w:rPr>
                  <w:rFonts w:ascii="Cambria Math" w:eastAsiaTheme="minorEastAsia"/>
                </w:rPr>
                <m:t>A</m:t>
              </m:r>
            </m:e>
            <m:sub>
              <m:r>
                <w:rPr>
                  <w:rFonts w:ascii="Cambria Math" w:eastAsiaTheme="minorEastAsia"/>
                </w:rPr>
                <m:t>649</m:t>
              </m:r>
            </m:sub>
          </m:sSub>
        </m:oMath>
      </m:oMathPara>
    </w:p>
    <w:p w14:paraId="692424F7" w14:textId="77777777" w:rsidR="007B5E9F" w:rsidRDefault="00F123E0" w:rsidP="007B5E9F">
      <w:pPr>
        <w:spacing w:line="360" w:lineRule="auto"/>
        <w:jc w:val="both"/>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r>
            <w:rPr>
              <w:rFonts w:ascii="Cambria Math" w:eastAsiaTheme="minorEastAsia" w:hAnsi="Cambria Math"/>
            </w:rPr>
            <m:t xml:space="preserve">=21.99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649</m:t>
              </m:r>
            </m:sub>
          </m:sSub>
          <m:r>
            <m:rPr>
              <m:sty m:val="p"/>
            </m:rPr>
            <w:rPr>
              <w:rFonts w:ascii="Cambria Math" w:eastAsiaTheme="minorEastAsia"/>
            </w:rPr>
            <m:t>-</m:t>
          </m:r>
          <m:r>
            <m:rPr>
              <m:sty m:val="p"/>
            </m:rPr>
            <w:rPr>
              <w:rFonts w:ascii="Cambria Math" w:eastAsiaTheme="minorEastAsia"/>
            </w:rPr>
            <m:t xml:space="preserve">5.32 </m:t>
          </m:r>
          <m:sSub>
            <m:sSubPr>
              <m:ctrlPr>
                <w:rPr>
                  <w:rFonts w:ascii="Cambria Math" w:eastAsiaTheme="minorEastAsia" w:hAnsi="Cambria Math"/>
                </w:rPr>
              </m:ctrlPr>
            </m:sSubPr>
            <m:e>
              <m:r>
                <w:rPr>
                  <w:rFonts w:ascii="Cambria Math" w:eastAsiaTheme="minorEastAsia"/>
                </w:rPr>
                <m:t>A</m:t>
              </m:r>
            </m:e>
            <m:sub>
              <m:r>
                <w:rPr>
                  <w:rFonts w:ascii="Cambria Math" w:eastAsiaTheme="minorEastAsia"/>
                </w:rPr>
                <m:t>665</m:t>
              </m:r>
            </m:sub>
          </m:sSub>
          <m:r>
            <m:rPr>
              <m:sty m:val="p"/>
            </m:rPr>
            <w:rPr>
              <w:rFonts w:eastAsiaTheme="minorEastAsia"/>
            </w:rPr>
            <w:br/>
          </m:r>
        </m:oMath>
      </m:oMathPara>
    </w:p>
    <w:p w14:paraId="2AAB0AF9" w14:textId="3865A74D" w:rsidR="007B5E9F" w:rsidRPr="002658E7" w:rsidRDefault="007B5E9F" w:rsidP="007B5E9F">
      <w:pPr>
        <w:spacing w:line="360" w:lineRule="auto"/>
        <w:jc w:val="both"/>
      </w:pPr>
      <w:r>
        <w:t xml:space="preserve">where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665</m:t>
            </m:r>
          </m:sub>
        </m:sSub>
      </m:oMath>
      <w:r>
        <w:rPr>
          <w:rFonts w:eastAsiaTheme="minorEastAsia"/>
        </w:rPr>
        <w:t xml:space="preserve"> and</w:t>
      </w:r>
      <w:r w:rsidR="003C4600">
        <w:rPr>
          <w:rFonts w:eastAsiaTheme="minorEastAsia"/>
        </w:rPr>
        <w:t xml:space="preserve"> </w:t>
      </w:r>
      <m:oMath>
        <m:sSub>
          <m:sSubPr>
            <m:ctrlPr>
              <w:rPr>
                <w:rFonts w:ascii="Cambria Math" w:eastAsiaTheme="minorEastAsia" w:hAnsi="Cambria Math"/>
              </w:rPr>
            </m:ctrlPr>
          </m:sSubPr>
          <m:e>
            <m:r>
              <w:rPr>
                <w:rFonts w:ascii="Cambria Math" w:eastAsiaTheme="minorEastAsia"/>
              </w:rPr>
              <m:t>A</m:t>
            </m:r>
          </m:e>
          <m:sub>
            <m:r>
              <w:rPr>
                <w:rFonts w:ascii="Cambria Math" w:eastAsiaTheme="minorEastAsia"/>
              </w:rPr>
              <m:t>649</m:t>
            </m:r>
          </m:sub>
        </m:sSub>
      </m:oMath>
      <w:r>
        <w:rPr>
          <w:rFonts w:eastAsiaTheme="minorEastAsia"/>
        </w:rPr>
        <w:t xml:space="preserve"> are the absorbance values at 665 nm and 649 nm, respe</w:t>
      </w:r>
      <w:r w:rsidRPr="005A17B3">
        <w:rPr>
          <w:rFonts w:eastAsiaTheme="minorEastAsia"/>
        </w:rPr>
        <w:t>ctively</w:t>
      </w:r>
      <w:r w:rsidR="00B10DCA" w:rsidRPr="005A17B3">
        <w:rPr>
          <w:rFonts w:eastAsiaTheme="minorEastAsia"/>
        </w:rPr>
        <w:t xml:space="preserve"> (Figure </w:t>
      </w:r>
      <w:r w:rsidR="0035328A" w:rsidRPr="005A17B3">
        <w:rPr>
          <w:rFonts w:eastAsiaTheme="minorEastAsia"/>
        </w:rPr>
        <w:t>11</w:t>
      </w:r>
      <w:r w:rsidR="00B10DCA" w:rsidRPr="005A17B3">
        <w:rPr>
          <w:rFonts w:eastAsiaTheme="minorEastAsia"/>
        </w:rPr>
        <w:t>)</w:t>
      </w:r>
      <w:r w:rsidRPr="005A17B3">
        <w:rPr>
          <w:rFonts w:eastAsiaTheme="minorEastAsia"/>
        </w:rPr>
        <w:t>.</w:t>
      </w:r>
      <w:r w:rsidR="003C4600">
        <w:rPr>
          <w:color w:val="EE3224" w:themeColor="accent2"/>
        </w:rPr>
        <w:t xml:space="preserve"> </w:t>
      </w:r>
      <w:r w:rsidRPr="002658E7">
        <w:t xml:space="preserve">The final step is to calculate LCC on a </w:t>
      </w:r>
      <w:r>
        <w:rPr>
          <w:rFonts w:eastAsiaTheme="minorEastAsia"/>
        </w:rPr>
        <w:t>mass per unit area basis</w:t>
      </w:r>
      <w:r w:rsidRPr="002658E7">
        <w:t xml:space="preserve"> as</w:t>
      </w:r>
    </w:p>
    <w:p w14:paraId="7ED0B3DE" w14:textId="77777777" w:rsidR="007B5E9F" w:rsidRDefault="007B5E9F" w:rsidP="00FD3124">
      <w:pPr>
        <w:spacing w:after="0" w:line="360" w:lineRule="auto"/>
        <w:jc w:val="both"/>
        <w:rPr>
          <w:rFonts w:eastAsiaTheme="minorEastAsia"/>
        </w:rPr>
      </w:pPr>
      <m:oMathPara>
        <m:oMath>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LCC</m:t>
              </m:r>
            </m:e>
            <m:sub>
              <m:r>
                <w:rPr>
                  <w:rFonts w:ascii="Cambria Math" w:eastAsiaTheme="minorEastAsia" w:hAnsi="Cambria Math"/>
                </w:rPr>
                <m:t>spec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 V</m:t>
              </m:r>
            </m:num>
            <m:den>
              <m:r>
                <w:rPr>
                  <w:rFonts w:ascii="Cambria Math" w:hAnsi="Cambria Math"/>
                </w:rPr>
                <m:t>A</m:t>
              </m:r>
            </m:den>
          </m:f>
          <m:r>
            <m:rPr>
              <m:sty m:val="p"/>
            </m:rPr>
            <w:rPr>
              <w:rFonts w:eastAsiaTheme="minorEastAsia"/>
            </w:rPr>
            <w:br/>
          </m:r>
        </m:oMath>
        <m:oMath>
          <m:r>
            <m:rPr>
              <m:sty m:val="p"/>
            </m:rPr>
            <w:rPr>
              <w:rFonts w:eastAsiaTheme="minorEastAsia"/>
            </w:rPr>
            <w:br/>
          </m:r>
        </m:oMath>
      </m:oMathPara>
      <w:r w:rsidRPr="002658E7">
        <w:rPr>
          <w:rFonts w:eastAsiaTheme="minorEastAsia"/>
        </w:rPr>
        <w:t xml:space="preserve">where </w:t>
      </w:r>
      <m:oMath>
        <m:r>
          <w:rPr>
            <w:rFonts w:ascii="Cambria Math" w:hAnsi="Cambria Math"/>
          </w:rPr>
          <m:t>V</m:t>
        </m:r>
      </m:oMath>
      <w:r w:rsidRPr="002658E7">
        <w:rPr>
          <w:rFonts w:eastAsiaTheme="minorEastAsia"/>
        </w:rPr>
        <w:t xml:space="preserve"> is the volume of DMSO in which the leaf disc was extracted, and </w:t>
      </w:r>
      <m:oMath>
        <m:r>
          <w:rPr>
            <w:rFonts w:ascii="Cambria Math" w:hAnsi="Cambria Math"/>
          </w:rPr>
          <m:t>A</m:t>
        </m:r>
      </m:oMath>
      <w:r w:rsidRPr="002658E7">
        <w:rPr>
          <w:rFonts w:eastAsiaTheme="minorEastAsia"/>
        </w:rPr>
        <w:t xml:space="preserve"> is the area of the leaf </w:t>
      </w:r>
      <w:proofErr w:type="gramStart"/>
      <w:r w:rsidRPr="002658E7">
        <w:rPr>
          <w:rFonts w:eastAsiaTheme="minorEastAsia"/>
        </w:rPr>
        <w:t>disc.</w:t>
      </w:r>
      <w:proofErr w:type="gramEnd"/>
    </w:p>
    <w:p w14:paraId="27913B71" w14:textId="75515C7F" w:rsidR="007B5E9F" w:rsidRDefault="007B5E9F" w:rsidP="00BB3FD5">
      <w:pPr>
        <w:spacing w:line="360" w:lineRule="auto"/>
        <w:jc w:val="both"/>
      </w:pPr>
    </w:p>
    <w:p w14:paraId="09A23831" w14:textId="0E93E0A7" w:rsidR="007B5E9F" w:rsidRDefault="007B5E9F" w:rsidP="007B5E9F">
      <w:pPr>
        <w:pStyle w:val="Caption"/>
        <w:keepNext/>
        <w:jc w:val="center"/>
      </w:pPr>
      <w:r>
        <w:rPr>
          <w:noProof/>
          <w:lang w:eastAsia="en-GB"/>
        </w:rPr>
        <w:drawing>
          <wp:inline distT="0" distB="0" distL="0" distR="0" wp14:anchorId="101FB3DE" wp14:editId="588F0BB6">
            <wp:extent cx="2127812" cy="2826000"/>
            <wp:effectExtent l="0" t="0" r="6350" b="0"/>
            <wp:docPr id="2" name="Picture 2" descr="C:\Users\lab1c17\AppData\Local\Microsoft\Windows\INetCache\Content.Word\48385014_2317844968446575_660623374939691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b1c17\AppData\Local\Microsoft\Windows\INetCache\Content.Word\48385014_2317844968446575_660623374939691417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7812" cy="2826000"/>
                    </a:xfrm>
                    <a:prstGeom prst="rect">
                      <a:avLst/>
                    </a:prstGeom>
                    <a:noFill/>
                    <a:ln>
                      <a:noFill/>
                    </a:ln>
                  </pic:spPr>
                </pic:pic>
              </a:graphicData>
            </a:graphic>
          </wp:inline>
        </w:drawing>
      </w:r>
      <w:r w:rsidR="001575D2">
        <w:tab/>
      </w:r>
      <w:r w:rsidR="001575D2">
        <w:tab/>
      </w:r>
      <w:r>
        <w:rPr>
          <w:noProof/>
          <w:lang w:eastAsia="en-GB"/>
        </w:rPr>
        <w:drawing>
          <wp:inline distT="0" distB="0" distL="0" distR="0" wp14:anchorId="6C262EB5" wp14:editId="6587C4CE">
            <wp:extent cx="2180492" cy="2826563"/>
            <wp:effectExtent l="0" t="0" r="0" b="0"/>
            <wp:docPr id="8" name="Picture 8" descr="C:\Users\lab1c17\AppData\Local\Microsoft\Windows\INetCache\Content.Word\47578727_310184726254001_666010545547116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b1c17\AppData\Local\Microsoft\Windows\INetCache\Content.Word\47578727_310184726254001_666010545547116544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0492" cy="2826563"/>
                    </a:xfrm>
                    <a:prstGeom prst="rect">
                      <a:avLst/>
                    </a:prstGeom>
                    <a:noFill/>
                    <a:ln>
                      <a:noFill/>
                    </a:ln>
                  </pic:spPr>
                </pic:pic>
              </a:graphicData>
            </a:graphic>
          </wp:inline>
        </w:drawing>
      </w:r>
    </w:p>
    <w:p w14:paraId="2F5276FC" w14:textId="7E147BE5" w:rsidR="007B5E9F" w:rsidRDefault="007B5E9F" w:rsidP="007B5E9F">
      <w:pPr>
        <w:pStyle w:val="Caption"/>
        <w:jc w:val="center"/>
      </w:pPr>
      <w:bookmarkStart w:id="119" w:name="_Ref1757506"/>
      <w:bookmarkStart w:id="120" w:name="_Toc37082482"/>
      <w:bookmarkStart w:id="121" w:name="_Toc41595346"/>
      <w:r>
        <w:t xml:space="preserve">Figure </w:t>
      </w:r>
      <w:r>
        <w:rPr>
          <w:noProof/>
        </w:rPr>
        <w:fldChar w:fldCharType="begin"/>
      </w:r>
      <w:r>
        <w:rPr>
          <w:noProof/>
        </w:rPr>
        <w:instrText xml:space="preserve"> SEQ Figure \* ARABIC </w:instrText>
      </w:r>
      <w:r>
        <w:rPr>
          <w:noProof/>
        </w:rPr>
        <w:fldChar w:fldCharType="separate"/>
      </w:r>
      <w:r w:rsidR="0035328A">
        <w:rPr>
          <w:noProof/>
        </w:rPr>
        <w:t>11</w:t>
      </w:r>
      <w:r>
        <w:rPr>
          <w:noProof/>
        </w:rPr>
        <w:fldChar w:fldCharType="end"/>
      </w:r>
      <w:bookmarkEnd w:id="119"/>
      <w:r>
        <w:t>: Pigment extraction from a leaf disc in DMSO (left).</w:t>
      </w:r>
      <w:r w:rsidR="003C4600">
        <w:t xml:space="preserve"> </w:t>
      </w:r>
      <w:r>
        <w:t>The solution is transferred to a cuvette to facilitate spectrophotometric determination of LCC (right).</w:t>
      </w:r>
      <w:bookmarkEnd w:id="120"/>
      <w:bookmarkEnd w:id="121"/>
    </w:p>
    <w:p w14:paraId="31523BA7" w14:textId="4A069C7D" w:rsidR="001575D2" w:rsidRDefault="007B5E9F" w:rsidP="00FD3124">
      <w:pPr>
        <w:spacing w:line="360" w:lineRule="auto"/>
        <w:jc w:val="both"/>
      </w:pPr>
      <w:r>
        <w:br/>
        <w:t>If chlorophyll extraction cannot be conducted within a few hours of collecting the leaves, samples should be stored under freezing conditions until analysis to prevent degradation</w:t>
      </w:r>
      <w:r w:rsidR="00A8093C">
        <w:t xml:space="preserve"> of the leaf pigments</w:t>
      </w:r>
      <w:r>
        <w:t>.</w:t>
      </w:r>
      <w:r w:rsidR="003C4600">
        <w:t xml:space="preserve"> </w:t>
      </w:r>
      <w:r>
        <w:t xml:space="preserve">Where appropriate laboratory facilities are not available near a campaign site, third-party data collected over the same or similar vegetation types may be adopted (as was done in the FRM4VEG project for the </w:t>
      </w:r>
      <w:proofErr w:type="spellStart"/>
      <w:r>
        <w:t>Barrax</w:t>
      </w:r>
      <w:proofErr w:type="spellEnd"/>
      <w:r>
        <w:t xml:space="preserve"> – Las </w:t>
      </w:r>
      <w:proofErr w:type="spellStart"/>
      <w:r>
        <w:t>Tiesas</w:t>
      </w:r>
      <w:proofErr w:type="spellEnd"/>
      <w:r>
        <w:t xml:space="preserve"> campaign).</w:t>
      </w:r>
      <w:r w:rsidR="003C4600">
        <w:t xml:space="preserve"> </w:t>
      </w:r>
      <w:r>
        <w:t xml:space="preserve">It should follow a similar protocol and incorporate raw </w:t>
      </w:r>
      <w:r>
        <w:lastRenderedPageBreak/>
        <w:t>measurement values</w:t>
      </w:r>
      <w:r w:rsidR="00A8093C">
        <w:t xml:space="preserve"> (i.e. absorbance measured by the spectrophotometer as opposed to derived LCC)</w:t>
      </w:r>
      <w:r>
        <w:t xml:space="preserve">, to enable the same </w:t>
      </w:r>
      <w:r w:rsidR="00A8093C">
        <w:t xml:space="preserve">uncertainty evaluation </w:t>
      </w:r>
      <w:r>
        <w:t>treatment to be applied</w:t>
      </w:r>
      <w:r w:rsidR="00A8093C">
        <w:t xml:space="preserve"> (</w:t>
      </w:r>
      <w:r w:rsidR="00A8093C" w:rsidRPr="005A17B3">
        <w:t>see Section 6.2)</w:t>
      </w:r>
      <w:r w:rsidRPr="005A17B3">
        <w:t>.</w:t>
      </w:r>
    </w:p>
    <w:p w14:paraId="09752758" w14:textId="77777777" w:rsidR="00465F8E" w:rsidRDefault="00465F8E" w:rsidP="00465F8E">
      <w:pPr>
        <w:spacing w:after="0" w:line="360" w:lineRule="auto"/>
        <w:jc w:val="both"/>
      </w:pPr>
    </w:p>
    <w:p w14:paraId="1785093B" w14:textId="325D7827" w:rsidR="00465F8E" w:rsidRDefault="00465F8E" w:rsidP="00465F8E">
      <w:pPr>
        <w:pStyle w:val="Heading2"/>
      </w:pPr>
      <w:bookmarkStart w:id="122" w:name="_Toc44515977"/>
      <w:proofErr w:type="spellStart"/>
      <w:r>
        <w:t>AccuPAR</w:t>
      </w:r>
      <w:proofErr w:type="spellEnd"/>
      <w:r>
        <w:t xml:space="preserve"> LP-80 Calibration</w:t>
      </w:r>
      <w:bookmarkEnd w:id="122"/>
    </w:p>
    <w:p w14:paraId="46D73B52" w14:textId="77777777" w:rsidR="00465F8E" w:rsidRPr="00465F8E" w:rsidRDefault="00465F8E" w:rsidP="00465F8E">
      <w:pPr>
        <w:spacing w:after="0"/>
      </w:pPr>
    </w:p>
    <w:p w14:paraId="457FD22B" w14:textId="3EAFABEF" w:rsidR="00465F8E" w:rsidRPr="00465F8E" w:rsidRDefault="00465F8E" w:rsidP="00465F8E">
      <w:pPr>
        <w:sectPr w:rsidR="00465F8E" w:rsidRPr="00465F8E" w:rsidSect="00C036F8">
          <w:pgSz w:w="11906" w:h="16838"/>
          <w:pgMar w:top="1440" w:right="1440" w:bottom="1440" w:left="1440" w:header="708" w:footer="708" w:gutter="0"/>
          <w:cols w:space="708"/>
          <w:docGrid w:linePitch="360"/>
        </w:sectPr>
      </w:pPr>
      <w:bookmarkStart w:id="123" w:name="_Hlk41588015"/>
      <w:r>
        <w:rPr>
          <w:i/>
          <w:iCs/>
          <w:sz w:val="32"/>
          <w:szCs w:val="32"/>
        </w:rPr>
        <w:t xml:space="preserve">This section is pending further development </w:t>
      </w:r>
      <w:proofErr w:type="gramStart"/>
      <w:r>
        <w:rPr>
          <w:i/>
          <w:iCs/>
          <w:sz w:val="32"/>
          <w:szCs w:val="32"/>
        </w:rPr>
        <w:t>during the course of</w:t>
      </w:r>
      <w:proofErr w:type="gramEnd"/>
      <w:r>
        <w:rPr>
          <w:i/>
          <w:iCs/>
          <w:sz w:val="32"/>
          <w:szCs w:val="32"/>
        </w:rPr>
        <w:t xml:space="preserve"> FRM4VEG Phase 2</w:t>
      </w:r>
      <w:bookmarkEnd w:id="123"/>
    </w:p>
    <w:p w14:paraId="7F5AE49E" w14:textId="173E814F" w:rsidR="006154BB" w:rsidRDefault="00B626F2" w:rsidP="00C51520">
      <w:pPr>
        <w:pStyle w:val="Heading1"/>
      </w:pPr>
      <w:bookmarkStart w:id="124" w:name="_Toc44515978"/>
      <w:r>
        <w:lastRenderedPageBreak/>
        <w:t>Criteria for FRMs</w:t>
      </w:r>
      <w:bookmarkEnd w:id="124"/>
    </w:p>
    <w:p w14:paraId="26090EB9" w14:textId="20CAC248" w:rsidR="001E4E80" w:rsidRDefault="001E4E80" w:rsidP="0069303D">
      <w:pPr>
        <w:spacing w:after="0"/>
      </w:pPr>
    </w:p>
    <w:p w14:paraId="1D8C1648" w14:textId="65DC1F3F" w:rsidR="001E4E80" w:rsidRDefault="001E4E80" w:rsidP="00C51520">
      <w:pPr>
        <w:pStyle w:val="Heading2"/>
      </w:pPr>
      <w:bookmarkStart w:id="125" w:name="_Toc44515979"/>
      <w:r w:rsidRPr="00C51520">
        <w:t>Criteria</w:t>
      </w:r>
      <w:r>
        <w:t xml:space="preserve"> for </w:t>
      </w:r>
      <w:r w:rsidR="00B8290A">
        <w:t>F</w:t>
      </w:r>
      <w:r>
        <w:t xml:space="preserve">ield </w:t>
      </w:r>
      <w:r w:rsidR="00B8290A">
        <w:t>C</w:t>
      </w:r>
      <w:r>
        <w:t>ampaigns</w:t>
      </w:r>
      <w:bookmarkEnd w:id="125"/>
    </w:p>
    <w:p w14:paraId="38CA1A2B" w14:textId="77777777" w:rsidR="00EC5FC3" w:rsidRPr="00EC5FC3" w:rsidRDefault="00EC5FC3" w:rsidP="0069303D">
      <w:pPr>
        <w:spacing w:after="0"/>
      </w:pPr>
    </w:p>
    <w:p w14:paraId="1A002F9B" w14:textId="4AC49452" w:rsidR="00197A38" w:rsidRPr="0068439A" w:rsidRDefault="00197A38" w:rsidP="00C51520">
      <w:pPr>
        <w:pStyle w:val="Heading3"/>
        <w:rPr>
          <w:lang w:eastAsia="en-GB"/>
        </w:rPr>
      </w:pPr>
      <w:bookmarkStart w:id="126" w:name="_Toc40901559"/>
      <w:bookmarkStart w:id="127" w:name="_Toc40901560"/>
      <w:bookmarkStart w:id="128" w:name="_Toc40901561"/>
      <w:bookmarkStart w:id="129" w:name="_Toc39669138"/>
      <w:bookmarkStart w:id="130" w:name="_Toc44515980"/>
      <w:bookmarkEnd w:id="126"/>
      <w:bookmarkEnd w:id="127"/>
      <w:bookmarkEnd w:id="128"/>
      <w:r w:rsidRPr="0068439A">
        <w:rPr>
          <w:lang w:eastAsia="en-GB"/>
        </w:rPr>
        <w:t xml:space="preserve">Selection of </w:t>
      </w:r>
      <w:r w:rsidR="00B8290A" w:rsidRPr="00C51520">
        <w:t>F</w:t>
      </w:r>
      <w:r w:rsidRPr="00C51520">
        <w:t>ield</w:t>
      </w:r>
      <w:r w:rsidRPr="0068439A">
        <w:rPr>
          <w:lang w:eastAsia="en-GB"/>
        </w:rPr>
        <w:t xml:space="preserve"> </w:t>
      </w:r>
      <w:r w:rsidR="00B8290A">
        <w:rPr>
          <w:lang w:eastAsia="en-GB"/>
        </w:rPr>
        <w:t>S</w:t>
      </w:r>
      <w:r w:rsidRPr="0068439A">
        <w:rPr>
          <w:lang w:eastAsia="en-GB"/>
        </w:rPr>
        <w:t>ites</w:t>
      </w:r>
      <w:bookmarkEnd w:id="129"/>
      <w:bookmarkEnd w:id="130"/>
    </w:p>
    <w:p w14:paraId="142F1445" w14:textId="77777777" w:rsidR="00197A38" w:rsidRPr="0068439A" w:rsidRDefault="00197A38" w:rsidP="0069303D">
      <w:pPr>
        <w:spacing w:after="0"/>
        <w:rPr>
          <w:lang w:eastAsia="en-GB"/>
        </w:rPr>
      </w:pPr>
    </w:p>
    <w:p w14:paraId="6D294F10" w14:textId="77777777" w:rsidR="00197A38" w:rsidRPr="0068439A" w:rsidRDefault="00197A38" w:rsidP="00197A38">
      <w:pPr>
        <w:spacing w:line="360" w:lineRule="auto"/>
        <w:jc w:val="both"/>
        <w:rPr>
          <w:lang w:eastAsia="en-GB"/>
        </w:rPr>
      </w:pPr>
      <w:r w:rsidRPr="0068439A">
        <w:rPr>
          <w:lang w:eastAsia="en-GB"/>
        </w:rPr>
        <w:t>The following criteria can be considered in the selection of sites for field campaigns:</w:t>
      </w:r>
    </w:p>
    <w:p w14:paraId="64CB1B43"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Vegetation type</w:t>
      </w:r>
    </w:p>
    <w:p w14:paraId="5EE1BC52" w14:textId="77777777" w:rsidR="00197A38" w:rsidRPr="0068439A" w:rsidRDefault="00197A38" w:rsidP="00197A38">
      <w:pPr>
        <w:pStyle w:val="ListParagraph"/>
        <w:numPr>
          <w:ilvl w:val="1"/>
          <w:numId w:val="35"/>
        </w:numPr>
        <w:spacing w:line="360" w:lineRule="auto"/>
        <w:jc w:val="both"/>
        <w:rPr>
          <w:lang w:eastAsia="en-GB"/>
        </w:rPr>
      </w:pPr>
      <w:r w:rsidRPr="0068439A">
        <w:rPr>
          <w:lang w:eastAsia="en-GB"/>
        </w:rPr>
        <w:t>Between them, the selected sites should cover a wide range of structural, biophysical, and biochemical characteristics, as the considered satellite-derived products must be able to perform well over a range of environments and conditions.</w:t>
      </w:r>
    </w:p>
    <w:p w14:paraId="15026D9C"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 xml:space="preserve">Representativeness </w:t>
      </w:r>
    </w:p>
    <w:p w14:paraId="1933A8A8" w14:textId="77777777" w:rsidR="00197A38" w:rsidRPr="0068439A" w:rsidRDefault="00197A38" w:rsidP="00197A38">
      <w:pPr>
        <w:pStyle w:val="ListParagraph"/>
        <w:numPr>
          <w:ilvl w:val="1"/>
          <w:numId w:val="35"/>
        </w:numPr>
        <w:spacing w:line="360" w:lineRule="auto"/>
        <w:jc w:val="both"/>
        <w:rPr>
          <w:lang w:eastAsia="en-GB"/>
        </w:rPr>
      </w:pPr>
      <w:r w:rsidRPr="0068439A">
        <w:rPr>
          <w:lang w:eastAsia="en-GB"/>
        </w:rPr>
        <w:t>The sites should be representative of their respective biomes.</w:t>
      </w:r>
    </w:p>
    <w:p w14:paraId="6DD9E43C"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Homogeneity</w:t>
      </w:r>
    </w:p>
    <w:p w14:paraId="5B15BC45" w14:textId="6DD9CEE4" w:rsidR="00197A38" w:rsidRPr="0068439A" w:rsidRDefault="00197A38" w:rsidP="00197A38">
      <w:pPr>
        <w:pStyle w:val="ListParagraph"/>
        <w:numPr>
          <w:ilvl w:val="1"/>
          <w:numId w:val="35"/>
        </w:numPr>
        <w:spacing w:line="360" w:lineRule="auto"/>
        <w:jc w:val="both"/>
        <w:rPr>
          <w:lang w:eastAsia="en-GB"/>
        </w:rPr>
      </w:pPr>
      <w:r w:rsidRPr="0068439A">
        <w:rPr>
          <w:lang w:eastAsia="en-GB"/>
        </w:rPr>
        <w:t xml:space="preserve">To enable validation of products derived from moderate spatial resolution instruments (i.e. 300 m in the case of Sentinel-3 OLCI), the sites should provide areas of vegetation large enough to encompass multiple moderate spatial resolution product pixels, particularly given positional errors and uncertainties related to the instrument’s point spread function (PSF) </w:t>
      </w:r>
      <w:r w:rsidRPr="0068439A">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sidRPr="0068439A">
        <w:rPr>
          <w:lang w:eastAsia="en-GB"/>
        </w:rPr>
        <w:fldChar w:fldCharType="separate"/>
      </w:r>
      <w:r w:rsidR="00C51520" w:rsidRPr="00C51520">
        <w:rPr>
          <w:noProof/>
          <w:lang w:eastAsia="en-GB"/>
        </w:rPr>
        <w:t>[13]</w:t>
      </w:r>
      <w:r w:rsidRPr="0068439A">
        <w:rPr>
          <w:lang w:eastAsia="en-GB"/>
        </w:rPr>
        <w:fldChar w:fldCharType="end"/>
      </w:r>
      <w:r w:rsidRPr="0068439A">
        <w:rPr>
          <w:lang w:eastAsia="en-GB"/>
        </w:rPr>
        <w:t xml:space="preserve">, </w:t>
      </w:r>
      <w:r w:rsidRPr="0068439A">
        <w:rPr>
          <w:lang w:eastAsia="en-GB"/>
        </w:rPr>
        <w:fldChar w:fldCharType="begin" w:fldLock="1"/>
      </w:r>
      <w:r w:rsidR="002A5CA0">
        <w:rPr>
          <w:lang w:eastAsia="en-GB"/>
        </w:rPr>
        <w:instrText>ADDIN CSL_CITATION {"citationItems":[{"id":"ITEM-1","itemData":{"DOI":"10.1109/TGRS.2006.872529","ISBN":"0196-2892","ISSN":"0196-2892","PMID":"10","author":[{"dropping-particle":"","family":"Morisette","given":"J T","non-dropping-particle":"","parse-names":false,"suffix":""},{"dropping-particle":"","family":"Baret","given":"Frédéric","non-dropping-particle":"","parse-names":false,"suffix":""},{"dropping-particle":"","family":"Privette","given":"J L","non-dropping-particle":"","parse-names":false,"suffix":""},{"dropping-particle":"","family":"Myneni","given":"R B","non-dropping-particle":"","parse-names":false,"suffix":""},{"dropping-particle":"","family":"Nickeson","given":"J E","non-dropping-particle":"","parse-names":false,"suffix":""},{"dropping-particle":"","family":"Garrigues","given":"Sébastien","non-dropping-particle":"","parse-names":false,"suffix":""},{"dropping-particle":"V","family":"Shabanov","given":"N","non-dropping-particle":"","parse-names":false,"suffix":""},{"dropping-particle":"","family":"Weiss","given":"Marie","non-dropping-particle":"","parse-names":false,"suffix":""},{"dropping-particle":"","family":"Fernandes","given":"R A","non-dropping-particle":"","parse-names":false,"suffix":""},{"dropping-particle":"","family":"Leblanc","given":"S G","non-dropping-particle":"","parse-names":false,"suffix":""},{"dropping-particle":"","family":"Kalacska","given":"Margaret","non-dropping-particle":"","parse-names":false,"suffix":""},{"dropping-particle":"","family":"Sanchez-Azofeifa","given":"G A","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 N","non-dropping-particle":"","parse-names":false,"suffix":""},{"dropping-particle":"","family":"Lewis","given":"T E","non-dropping-particle":"","parse-names":false,"suffix":""},{"dropping-particle":"","family":"Iiames","given":"J 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 B","non-dropping-particle":"","parse-names":false,"suffix":""},{"dropping-particle":"","family":"Turner","given":"D P","non-dropping-particle":"","parse-names":false,"suffix":""},{"dropping-particle":"","family":"Warner","given":"E D","non-dropping-particle":"","parse-names":false,"suffix":""},{"dropping-particle":"","family":"Petersen","given":"G W","non-dropping-particle":"","parse-names":false,"suffix":""},{"dropping-particle":"","family":"Seufert","given":"Guenter","non-dropping-particle":"","parse-names":false,"suffix":""},{"dropping-particle":"","family":"Cook","given":"Robert","non-dropping-particle":"","parse-names":false,"suffix":""}],"container-title":"IEEE Transactions on Geoscience and Remote Sensing","id":"ITEM-1","issue":"7","issued":{"date-parts":[["2006"]]},"page":"1804-1817","title":"Validation of global moderate-resolution LAI products: a framework proposed within the CEOS land product validation subgroup","type":"article-journal","volume":"44"},"uris":["http://www.mendeley.com/documents/?uuid=cbbb4c92-4884-4d45-9d95-b445359e6fbb"]}],"mendeley":{"formattedCitation":"[28]","plainTextFormattedCitation":"[28]","previouslyFormattedCitation":"[28]"},"properties":{"noteIndex":0},"schema":"https://github.com/citation-style-language/schema/raw/master/csl-citation.json"}</w:instrText>
      </w:r>
      <w:r w:rsidRPr="0068439A">
        <w:rPr>
          <w:lang w:eastAsia="en-GB"/>
        </w:rPr>
        <w:fldChar w:fldCharType="separate"/>
      </w:r>
      <w:r w:rsidR="002A5CA0" w:rsidRPr="002A5CA0">
        <w:rPr>
          <w:noProof/>
          <w:lang w:eastAsia="en-GB"/>
        </w:rPr>
        <w:t>[28]</w:t>
      </w:r>
      <w:r w:rsidRPr="0068439A">
        <w:rPr>
          <w:lang w:eastAsia="en-GB"/>
        </w:rPr>
        <w:fldChar w:fldCharType="end"/>
      </w:r>
      <w:r w:rsidRPr="0068439A">
        <w:rPr>
          <w:lang w:eastAsia="en-GB"/>
        </w:rPr>
        <w:t>. An area of at least 3 x 3 pixels will enable misregistration errors between the moderate spatial resolution product and high spatial resolution imagery used in upscaling to be accounted for.</w:t>
      </w:r>
    </w:p>
    <w:p w14:paraId="6BE48140"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Extent</w:t>
      </w:r>
    </w:p>
    <w:p w14:paraId="383F5A74" w14:textId="310EAD1C" w:rsidR="00197A38" w:rsidRPr="0068439A" w:rsidRDefault="00197A38" w:rsidP="00197A38">
      <w:pPr>
        <w:pStyle w:val="ListParagraph"/>
        <w:numPr>
          <w:ilvl w:val="1"/>
          <w:numId w:val="35"/>
        </w:numPr>
        <w:spacing w:line="360" w:lineRule="auto"/>
        <w:jc w:val="both"/>
        <w:rPr>
          <w:lang w:eastAsia="en-GB"/>
        </w:rPr>
      </w:pPr>
      <w:r w:rsidRPr="0068439A">
        <w:rPr>
          <w:lang w:eastAsia="en-GB"/>
        </w:rPr>
        <w:t xml:space="preserve">The extent of the site should be on the order of several square kilometres to balance the need to validate multiple moderate spatial resolution product pixels with efficient in situ sampling </w:t>
      </w:r>
      <w:r w:rsidRPr="0068439A">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sidRPr="0068439A">
        <w:rPr>
          <w:lang w:eastAsia="en-GB"/>
        </w:rPr>
        <w:fldChar w:fldCharType="separate"/>
      </w:r>
      <w:r w:rsidR="00C51520" w:rsidRPr="00C51520">
        <w:rPr>
          <w:noProof/>
          <w:lang w:eastAsia="en-GB"/>
        </w:rPr>
        <w:t>[13]</w:t>
      </w:r>
      <w:r w:rsidRPr="0068439A">
        <w:rPr>
          <w:lang w:eastAsia="en-GB"/>
        </w:rPr>
        <w:fldChar w:fldCharType="end"/>
      </w:r>
      <w:r w:rsidRPr="0068439A">
        <w:rPr>
          <w:lang w:eastAsia="en-GB"/>
        </w:rPr>
        <w:t>.</w:t>
      </w:r>
    </w:p>
    <w:p w14:paraId="717DE4B0"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Topography</w:t>
      </w:r>
    </w:p>
    <w:p w14:paraId="05BB17E5" w14:textId="756A6BD0" w:rsidR="00197A38" w:rsidRPr="0068439A" w:rsidRDefault="00197A38" w:rsidP="00197A38">
      <w:pPr>
        <w:pStyle w:val="ListParagraph"/>
        <w:numPr>
          <w:ilvl w:val="1"/>
          <w:numId w:val="35"/>
        </w:numPr>
        <w:spacing w:line="360" w:lineRule="auto"/>
        <w:jc w:val="both"/>
        <w:rPr>
          <w:lang w:eastAsia="en-GB"/>
        </w:rPr>
      </w:pPr>
      <w:r w:rsidRPr="0068439A">
        <w:rPr>
          <w:lang w:eastAsia="en-GB"/>
        </w:rPr>
        <w:t xml:space="preserve">The sites should be located in areas of flat relief to minimise terrain effects </w:t>
      </w:r>
      <w:r w:rsidRPr="0068439A">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sidRPr="0068439A">
        <w:rPr>
          <w:lang w:eastAsia="en-GB"/>
        </w:rPr>
        <w:fldChar w:fldCharType="separate"/>
      </w:r>
      <w:r w:rsidR="00C51520" w:rsidRPr="00C51520">
        <w:rPr>
          <w:noProof/>
          <w:lang w:eastAsia="en-GB"/>
        </w:rPr>
        <w:t>[13]</w:t>
      </w:r>
      <w:r w:rsidRPr="0068439A">
        <w:rPr>
          <w:lang w:eastAsia="en-GB"/>
        </w:rPr>
        <w:fldChar w:fldCharType="end"/>
      </w:r>
      <w:r w:rsidRPr="0068439A">
        <w:rPr>
          <w:lang w:eastAsia="en-GB"/>
        </w:rPr>
        <w:t>.</w:t>
      </w:r>
    </w:p>
    <w:p w14:paraId="75906BA7"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Accessibility</w:t>
      </w:r>
    </w:p>
    <w:p w14:paraId="407EE01A" w14:textId="77777777" w:rsidR="00197A38" w:rsidRDefault="00197A38" w:rsidP="00197A38">
      <w:pPr>
        <w:pStyle w:val="ListParagraph"/>
        <w:numPr>
          <w:ilvl w:val="1"/>
          <w:numId w:val="35"/>
        </w:numPr>
        <w:spacing w:line="360" w:lineRule="auto"/>
        <w:jc w:val="both"/>
        <w:rPr>
          <w:lang w:eastAsia="en-GB"/>
        </w:rPr>
      </w:pPr>
      <w:r w:rsidRPr="0068439A">
        <w:rPr>
          <w:lang w:eastAsia="en-GB"/>
        </w:rPr>
        <w:t xml:space="preserve">The sites should be easily accessible by road </w:t>
      </w:r>
      <w:r>
        <w:rPr>
          <w:lang w:eastAsia="en-GB"/>
        </w:rPr>
        <w:t>to enable access with relevant field equipment.</w:t>
      </w:r>
      <w:r w:rsidRPr="0068439A">
        <w:rPr>
          <w:lang w:eastAsia="en-GB"/>
        </w:rPr>
        <w:t xml:space="preserve"> </w:t>
      </w:r>
    </w:p>
    <w:p w14:paraId="5E6817CA" w14:textId="77777777" w:rsidR="00197A38" w:rsidRPr="0068439A" w:rsidRDefault="00197A38" w:rsidP="00197A38">
      <w:pPr>
        <w:pStyle w:val="ListParagraph"/>
        <w:numPr>
          <w:ilvl w:val="1"/>
          <w:numId w:val="35"/>
        </w:numPr>
        <w:spacing w:line="360" w:lineRule="auto"/>
        <w:jc w:val="both"/>
        <w:rPr>
          <w:lang w:eastAsia="en-GB"/>
        </w:rPr>
      </w:pPr>
      <w:r>
        <w:rPr>
          <w:lang w:eastAsia="en-GB"/>
        </w:rPr>
        <w:t>P</w:t>
      </w:r>
      <w:r w:rsidRPr="0068439A">
        <w:rPr>
          <w:lang w:eastAsia="en-GB"/>
        </w:rPr>
        <w:t xml:space="preserve">ermission for working </w:t>
      </w:r>
      <w:r>
        <w:rPr>
          <w:lang w:eastAsia="en-GB"/>
        </w:rPr>
        <w:t>at the site should be sought.</w:t>
      </w:r>
    </w:p>
    <w:p w14:paraId="5A65921F" w14:textId="77777777" w:rsidR="00197A38" w:rsidRPr="001574D6" w:rsidRDefault="00197A38" w:rsidP="00197A38">
      <w:pPr>
        <w:pStyle w:val="ListParagraph"/>
        <w:numPr>
          <w:ilvl w:val="0"/>
          <w:numId w:val="35"/>
        </w:numPr>
        <w:spacing w:line="360" w:lineRule="auto"/>
        <w:jc w:val="both"/>
        <w:rPr>
          <w:b/>
          <w:bCs/>
          <w:lang w:eastAsia="en-GB"/>
        </w:rPr>
      </w:pPr>
      <w:r w:rsidRPr="001574D6">
        <w:rPr>
          <w:b/>
          <w:bCs/>
          <w:lang w:eastAsia="en-GB"/>
        </w:rPr>
        <w:t>Maturity</w:t>
      </w:r>
    </w:p>
    <w:p w14:paraId="05A3A521" w14:textId="77777777" w:rsidR="00197A38" w:rsidRPr="0068439A" w:rsidRDefault="00197A38" w:rsidP="00197A38">
      <w:pPr>
        <w:pStyle w:val="ListParagraph"/>
        <w:numPr>
          <w:ilvl w:val="1"/>
          <w:numId w:val="35"/>
        </w:numPr>
        <w:spacing w:line="360" w:lineRule="auto"/>
        <w:jc w:val="both"/>
        <w:rPr>
          <w:lang w:eastAsia="en-GB"/>
        </w:rPr>
      </w:pPr>
      <w:r w:rsidRPr="0068439A">
        <w:rPr>
          <w:lang w:eastAsia="en-GB"/>
        </w:rPr>
        <w:t xml:space="preserve">Established and well-characterised sites with a legacy of scientific activity </w:t>
      </w:r>
      <w:r>
        <w:rPr>
          <w:lang w:eastAsia="en-GB"/>
        </w:rPr>
        <w:t xml:space="preserve">are </w:t>
      </w:r>
      <w:r w:rsidRPr="0068439A">
        <w:rPr>
          <w:lang w:eastAsia="en-GB"/>
        </w:rPr>
        <w:t xml:space="preserve">preferred, particularly where research facilities are available and/or permanent instrumentation is </w:t>
      </w:r>
      <w:r w:rsidRPr="0068439A">
        <w:rPr>
          <w:lang w:eastAsia="en-GB"/>
        </w:rPr>
        <w:lastRenderedPageBreak/>
        <w:t xml:space="preserve">installed, </w:t>
      </w:r>
      <w:r w:rsidRPr="0068439A">
        <w:t>such as flux towers which collect measurements of biophysical variables over extended periods of time.</w:t>
      </w:r>
    </w:p>
    <w:p w14:paraId="72028BBF" w14:textId="77777777" w:rsidR="00197A38" w:rsidRPr="001574D6" w:rsidRDefault="00197A38" w:rsidP="00197A38">
      <w:pPr>
        <w:pStyle w:val="ListParagraph"/>
        <w:numPr>
          <w:ilvl w:val="0"/>
          <w:numId w:val="35"/>
        </w:numPr>
        <w:spacing w:line="360" w:lineRule="auto"/>
        <w:jc w:val="both"/>
        <w:rPr>
          <w:b/>
          <w:bCs/>
          <w:lang w:eastAsia="en-GB"/>
        </w:rPr>
      </w:pPr>
      <w:r>
        <w:rPr>
          <w:b/>
          <w:bCs/>
          <w:lang w:eastAsia="en-GB"/>
        </w:rPr>
        <w:t>Weather</w:t>
      </w:r>
    </w:p>
    <w:p w14:paraId="66B81765" w14:textId="77777777" w:rsidR="00197A38" w:rsidRPr="0068439A" w:rsidRDefault="00197A38" w:rsidP="00197A38">
      <w:pPr>
        <w:pStyle w:val="ListParagraph"/>
        <w:numPr>
          <w:ilvl w:val="1"/>
          <w:numId w:val="35"/>
        </w:numPr>
        <w:spacing w:line="360" w:lineRule="auto"/>
        <w:jc w:val="both"/>
        <w:rPr>
          <w:lang w:eastAsia="en-GB"/>
        </w:rPr>
      </w:pPr>
      <w:r>
        <w:rPr>
          <w:lang w:eastAsia="en-GB"/>
        </w:rPr>
        <w:t>To maximise data collection and validation opportunities, t</w:t>
      </w:r>
      <w:r w:rsidRPr="0068439A">
        <w:rPr>
          <w:lang w:eastAsia="en-GB"/>
        </w:rPr>
        <w:t>he sites should have a good probability of clear skies during the timing of the proposed campaigns.</w:t>
      </w:r>
    </w:p>
    <w:p w14:paraId="26521703" w14:textId="77777777" w:rsidR="006E1BCD" w:rsidRPr="006E1BCD" w:rsidRDefault="006E1BCD" w:rsidP="006E1BCD">
      <w:pPr>
        <w:rPr>
          <w:lang w:eastAsia="en-GB"/>
        </w:rPr>
      </w:pPr>
    </w:p>
    <w:p w14:paraId="5B5BAA5A" w14:textId="4A6FF36F" w:rsidR="00CE24CA" w:rsidRPr="00666EDE" w:rsidRDefault="00B53D3C" w:rsidP="00C51520">
      <w:pPr>
        <w:pStyle w:val="Heading3"/>
        <w:rPr>
          <w:lang w:eastAsia="en-GB"/>
        </w:rPr>
      </w:pPr>
      <w:bookmarkStart w:id="131" w:name="_Toc44515981"/>
      <w:r>
        <w:rPr>
          <w:lang w:eastAsia="en-GB"/>
        </w:rPr>
        <w:t xml:space="preserve">Sampling </w:t>
      </w:r>
      <w:r w:rsidR="00B8290A">
        <w:rPr>
          <w:lang w:eastAsia="en-GB"/>
        </w:rPr>
        <w:t>S</w:t>
      </w:r>
      <w:r>
        <w:rPr>
          <w:lang w:eastAsia="en-GB"/>
        </w:rPr>
        <w:t>trategy</w:t>
      </w:r>
      <w:bookmarkEnd w:id="131"/>
    </w:p>
    <w:p w14:paraId="66A32A4A" w14:textId="77777777" w:rsidR="00CE24CA" w:rsidRDefault="00CE24CA" w:rsidP="0069303D">
      <w:pPr>
        <w:spacing w:after="0"/>
        <w:rPr>
          <w:lang w:eastAsia="en-GB"/>
        </w:rPr>
      </w:pPr>
    </w:p>
    <w:p w14:paraId="58217D8C" w14:textId="4C1B06F6" w:rsidR="00801450" w:rsidRDefault="00CE24CA" w:rsidP="00CE24CA">
      <w:pPr>
        <w:spacing w:line="360" w:lineRule="auto"/>
        <w:jc w:val="both"/>
        <w:rPr>
          <w:lang w:eastAsia="en-GB"/>
        </w:rPr>
      </w:pPr>
      <w:r>
        <w:rPr>
          <w:lang w:eastAsia="en-GB"/>
        </w:rPr>
        <w:t xml:space="preserve">The sampling strategy for FAPAR and CCC is based on the ‘two-stage’ or ‘bottom-up’ approach proposed by the CEOS WGCV LPV sub-group, which was originally developed for the validation of moderate spatial resolution LAI products </w:t>
      </w:r>
      <w:r>
        <w:rPr>
          <w:lang w:eastAsia="en-GB"/>
        </w:rPr>
        <w:fldChar w:fldCharType="begin" w:fldLock="1"/>
      </w:r>
      <w:r w:rsidR="002A5CA0">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id":"ITEM-2","itemData":{"DOI":"10.1109/TGRS.2006.872529","ISBN":"0196-2892","ISSN":"0196-2892","PMID":"10","author":[{"dropping-particle":"","family":"Morisette","given":"J T","non-dropping-particle":"","parse-names":false,"suffix":""},{"dropping-particle":"","family":"Baret","given":"Frédéric","non-dropping-particle":"","parse-names":false,"suffix":""},{"dropping-particle":"","family":"Privette","given":"J L","non-dropping-particle":"","parse-names":false,"suffix":""},{"dropping-particle":"","family":"Myneni","given":"R B","non-dropping-particle":"","parse-names":false,"suffix":""},{"dropping-particle":"","family":"Nickeson","given":"J E","non-dropping-particle":"","parse-names":false,"suffix":""},{"dropping-particle":"","family":"Garrigues","given":"Sébastien","non-dropping-particle":"","parse-names":false,"suffix":""},{"dropping-particle":"V","family":"Shabanov","given":"N","non-dropping-particle":"","parse-names":false,"suffix":""},{"dropping-particle":"","family":"Weiss","given":"Marie","non-dropping-particle":"","parse-names":false,"suffix":""},{"dropping-particle":"","family":"Fernandes","given":"R A","non-dropping-particle":"","parse-names":false,"suffix":""},{"dropping-particle":"","family":"Leblanc","given":"S G","non-dropping-particle":"","parse-names":false,"suffix":""},{"dropping-particle":"","family":"Kalacska","given":"Margaret","non-dropping-particle":"","parse-names":false,"suffix":""},{"dropping-particle":"","family":"Sanchez-Azofeifa","given":"G A","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 N","non-dropping-particle":"","parse-names":false,"suffix":""},{"dropping-particle":"","family":"Lewis","given":"T E","non-dropping-particle":"","parse-names":false,"suffix":""},{"dropping-particle":"","family":"Iiames","given":"J 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 B","non-dropping-particle":"","parse-names":false,"suffix":""},{"dropping-particle":"","family":"Turner","given":"D P","non-dropping-particle":"","parse-names":false,"suffix":""},{"dropping-particle":"","family":"Warner","given":"E D","non-dropping-particle":"","parse-names":false,"suffix":""},{"dropping-particle":"","family":"Petersen","given":"G W","non-dropping-particle":"","parse-names":false,"suffix":""},{"dropping-particle":"","family":"Seufert","given":"Guenter","non-dropping-particle":"","parse-names":false,"suffix":""},{"dropping-particle":"","family":"Cook","given":"Robert","non-dropping-particle":"","parse-names":false,"suffix":""}],"container-title":"IEEE Transactions on Geoscience and Remote Sensing","id":"ITEM-2","issue":"7","issued":{"date-parts":[["2006"]]},"page":"1804-1817","title":"Validation of global moderate-resolution LAI products: a framework proposed within the CEOS land product validation subgroup","type":"article-journal","volume":"44"},"uris":["http://www.mendeley.com/documents/?uuid=cbbb4c92-4884-4d45-9d95-b445359e6fbb"]}],"mendeley":{"formattedCitation":"[13], [28]","plainTextFormattedCitation":"[13], [28]","previouslyFormattedCitation":"[13], [28]"},"properties":{"noteIndex":0},"schema":"https://github.com/citation-style-language/schema/raw/master/csl-citation.json"}</w:instrText>
      </w:r>
      <w:r>
        <w:rPr>
          <w:lang w:eastAsia="en-GB"/>
        </w:rPr>
        <w:fldChar w:fldCharType="separate"/>
      </w:r>
      <w:r w:rsidR="002A5CA0" w:rsidRPr="002A5CA0">
        <w:rPr>
          <w:noProof/>
          <w:lang w:eastAsia="en-GB"/>
        </w:rPr>
        <w:t>[13], [28]</w:t>
      </w:r>
      <w:r>
        <w:rPr>
          <w:lang w:eastAsia="en-GB"/>
        </w:rPr>
        <w:fldChar w:fldCharType="end"/>
      </w:r>
      <w:r>
        <w:rPr>
          <w:lang w:eastAsia="en-GB"/>
        </w:rPr>
        <w:t>.</w:t>
      </w:r>
      <w:r w:rsidR="003C4600">
        <w:rPr>
          <w:lang w:eastAsia="en-GB"/>
        </w:rPr>
        <w:t xml:space="preserve"> </w:t>
      </w:r>
      <w:r>
        <w:rPr>
          <w:lang w:eastAsia="en-GB"/>
        </w:rPr>
        <w:t>In</w:t>
      </w:r>
      <w:r w:rsidR="00C70376">
        <w:rPr>
          <w:lang w:eastAsia="en-GB"/>
        </w:rPr>
        <w:t xml:space="preserve"> </w:t>
      </w:r>
      <w:r>
        <w:rPr>
          <w:lang w:eastAsia="en-GB"/>
        </w:rPr>
        <w:t xml:space="preserve">situ measurements will be conducted within elementary sampling units (ESUs), whose extent corresponds to that of a pixel of the high spatial resolution imagery that will be used for upscaling (i.e. 20 m for Sentinel-2 </w:t>
      </w:r>
      <w:r w:rsidR="00B10DCA">
        <w:rPr>
          <w:lang w:eastAsia="en-GB"/>
        </w:rPr>
        <w:t>Multispectral Instrument (</w:t>
      </w:r>
      <w:r>
        <w:rPr>
          <w:lang w:eastAsia="en-GB"/>
        </w:rPr>
        <w:t>MSI</w:t>
      </w:r>
      <w:r w:rsidR="00B10DCA">
        <w:rPr>
          <w:lang w:eastAsia="en-GB"/>
        </w:rPr>
        <w:t>)</w:t>
      </w:r>
      <w:r>
        <w:rPr>
          <w:lang w:eastAsia="en-GB"/>
        </w:rPr>
        <w:t xml:space="preserve"> data). </w:t>
      </w:r>
    </w:p>
    <w:p w14:paraId="1C9A52CB" w14:textId="05D9AB53" w:rsidR="00CE24CA" w:rsidRDefault="00CE24CA" w:rsidP="00CE24CA">
      <w:pPr>
        <w:spacing w:line="360" w:lineRule="auto"/>
        <w:jc w:val="both"/>
        <w:rPr>
          <w:lang w:eastAsia="en-GB"/>
        </w:rPr>
      </w:pPr>
      <w:r>
        <w:rPr>
          <w:lang w:eastAsia="en-GB"/>
        </w:rPr>
        <w:t>Within each ESU, multiple in</w:t>
      </w:r>
      <w:r w:rsidR="00C70376">
        <w:rPr>
          <w:lang w:eastAsia="en-GB"/>
        </w:rPr>
        <w:t xml:space="preserve"> </w:t>
      </w:r>
      <w:r>
        <w:rPr>
          <w:lang w:eastAsia="en-GB"/>
        </w:rPr>
        <w:t xml:space="preserve">situ measurements will be performed following the Validation of Land European Remote Sensing Instruments (VALERI) protocol </w:t>
      </w:r>
      <w:r>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Pr>
          <w:lang w:eastAsia="en-GB"/>
        </w:rPr>
        <w:fldChar w:fldCharType="separate"/>
      </w:r>
      <w:r w:rsidR="00C51520" w:rsidRPr="00C51520">
        <w:rPr>
          <w:noProof/>
          <w:lang w:eastAsia="en-GB"/>
        </w:rPr>
        <w:t>[13]</w:t>
      </w:r>
      <w:r>
        <w:rPr>
          <w:lang w:eastAsia="en-GB"/>
        </w:rPr>
        <w:fldChar w:fldCharType="end"/>
      </w:r>
      <w:r>
        <w:rPr>
          <w:lang w:eastAsia="en-GB"/>
        </w:rPr>
        <w:t>.</w:t>
      </w:r>
      <w:r w:rsidR="003C4600">
        <w:rPr>
          <w:lang w:eastAsia="en-GB"/>
        </w:rPr>
        <w:t xml:space="preserve"> </w:t>
      </w:r>
      <w:r>
        <w:rPr>
          <w:lang w:eastAsia="en-GB"/>
        </w:rPr>
        <w:t>The optimal number of in</w:t>
      </w:r>
      <w:r w:rsidR="00C70376">
        <w:rPr>
          <w:lang w:eastAsia="en-GB"/>
        </w:rPr>
        <w:t xml:space="preserve"> </w:t>
      </w:r>
      <w:r>
        <w:rPr>
          <w:lang w:eastAsia="en-GB"/>
        </w:rPr>
        <w:t>situ measurements is driven by the heterogeneity of the canopy and the measurement footprint.</w:t>
      </w:r>
      <w:r w:rsidR="003C4600">
        <w:rPr>
          <w:lang w:eastAsia="en-GB"/>
        </w:rPr>
        <w:t xml:space="preserve"> </w:t>
      </w:r>
      <w:r>
        <w:rPr>
          <w:lang w:eastAsia="en-GB"/>
        </w:rPr>
        <w:t xml:space="preserve">Each ESU will contain thirteen sampling points according to a systematic sampling scheme </w:t>
      </w:r>
      <w:r w:rsidRPr="00CE4A0E">
        <w:rPr>
          <w:lang w:eastAsia="en-GB"/>
        </w:rPr>
        <w:t>(</w:t>
      </w:r>
      <w:r>
        <w:rPr>
          <w:lang w:eastAsia="en-GB"/>
        </w:rPr>
        <w:t xml:space="preserve">Figure </w:t>
      </w:r>
      <w:r w:rsidR="00305B17">
        <w:rPr>
          <w:lang w:eastAsia="en-GB"/>
        </w:rPr>
        <w:t>1</w:t>
      </w:r>
      <w:r w:rsidR="0035328A">
        <w:rPr>
          <w:lang w:eastAsia="en-GB"/>
        </w:rPr>
        <w:t>2</w:t>
      </w:r>
      <w:r w:rsidRPr="00CE4A0E">
        <w:rPr>
          <w:lang w:eastAsia="en-GB"/>
        </w:rPr>
        <w:t xml:space="preserve">), </w:t>
      </w:r>
      <w:r>
        <w:rPr>
          <w:lang w:eastAsia="en-GB"/>
        </w:rPr>
        <w:t>enabling within-ESU variability to be characterised.</w:t>
      </w:r>
      <w:r w:rsidR="003C4600">
        <w:rPr>
          <w:lang w:eastAsia="en-GB"/>
        </w:rPr>
        <w:t xml:space="preserve"> </w:t>
      </w:r>
      <w:r>
        <w:rPr>
          <w:lang w:eastAsia="en-GB"/>
        </w:rPr>
        <w:t>Additionally, measurements will be performed at two randomly distributed sampling points, providing redundancy if there are any non-representative measurements.</w:t>
      </w:r>
      <w:r w:rsidR="003C4600">
        <w:rPr>
          <w:lang w:eastAsia="en-GB"/>
        </w:rPr>
        <w:t xml:space="preserve"> </w:t>
      </w:r>
      <w:r>
        <w:rPr>
          <w:lang w:eastAsia="en-GB"/>
        </w:rPr>
        <w:t>The centre of each ESU will be located using a handheld global positioning system (GPS) receiver, with an accuracy of a few metres, enabling the ESU to be identified in the high spatial resolution imagery.</w:t>
      </w:r>
    </w:p>
    <w:p w14:paraId="6766FD86" w14:textId="77777777" w:rsidR="00CE24CA" w:rsidRDefault="00CE24CA" w:rsidP="00CE24CA">
      <w:pPr>
        <w:keepNext/>
        <w:jc w:val="center"/>
      </w:pPr>
      <w:r>
        <w:rPr>
          <w:noProof/>
          <w:lang w:eastAsia="en-GB"/>
        </w:rPr>
        <w:drawing>
          <wp:inline distT="0" distB="0" distL="0" distR="0" wp14:anchorId="1312A23C" wp14:editId="34392C49">
            <wp:extent cx="2880000" cy="2041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041024"/>
                    </a:xfrm>
                    <a:prstGeom prst="rect">
                      <a:avLst/>
                    </a:prstGeom>
                    <a:noFill/>
                  </pic:spPr>
                </pic:pic>
              </a:graphicData>
            </a:graphic>
          </wp:inline>
        </w:drawing>
      </w:r>
    </w:p>
    <w:p w14:paraId="7518FE54" w14:textId="0988A86D" w:rsidR="00CE24CA" w:rsidRDefault="00CE24CA" w:rsidP="00CE24CA">
      <w:pPr>
        <w:pStyle w:val="Caption"/>
        <w:jc w:val="center"/>
      </w:pPr>
      <w:bookmarkStart w:id="132" w:name="_Toc37836776"/>
      <w:bookmarkStart w:id="133" w:name="_Toc41595347"/>
      <w:r>
        <w:t xml:space="preserve">Figure </w:t>
      </w:r>
      <w:fldSimple w:instr=" SEQ Figure \* ARABIC ">
        <w:r w:rsidR="0035328A">
          <w:rPr>
            <w:noProof/>
          </w:rPr>
          <w:t>12</w:t>
        </w:r>
      </w:fldSimple>
      <w:r>
        <w:t xml:space="preserve">: </w:t>
      </w:r>
      <w:r w:rsidRPr="0046189B">
        <w:t>Systematic within-ESU sampling strategy.</w:t>
      </w:r>
      <w:bookmarkEnd w:id="132"/>
      <w:bookmarkEnd w:id="133"/>
    </w:p>
    <w:p w14:paraId="5AE1D7FF" w14:textId="77777777" w:rsidR="00CE24CA" w:rsidRPr="007F67FE" w:rsidRDefault="00CE24CA" w:rsidP="00CE24CA"/>
    <w:p w14:paraId="252838AA" w14:textId="47ADD2CE" w:rsidR="00CE24CA" w:rsidRDefault="00CE24CA" w:rsidP="00FD3124">
      <w:pPr>
        <w:spacing w:after="0" w:line="360" w:lineRule="auto"/>
        <w:jc w:val="both"/>
        <w:rPr>
          <w:lang w:eastAsia="en-GB"/>
        </w:rPr>
      </w:pPr>
      <w:r>
        <w:rPr>
          <w:lang w:eastAsia="en-GB"/>
        </w:rPr>
        <w:lastRenderedPageBreak/>
        <w:t xml:space="preserve">The heterogeneity of the site will determine the required number of ESUs, although a minimum number of twenty to thirty ESUs per site is typically recommended to characterize the site heterogeneity </w:t>
      </w:r>
      <w:r>
        <w:rPr>
          <w:lang w:eastAsia="en-GB"/>
        </w:rPr>
        <w:fldChar w:fldCharType="begin" w:fldLock="1"/>
      </w:r>
      <w:r w:rsidR="002A5CA0">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id":"ITEM-2","itemData":{"DOI":"10.1109/TGRS.2006.872529","ISBN":"0196-2892","ISSN":"0196-2892","PMID":"10","author":[{"dropping-particle":"","family":"Morisette","given":"J T","non-dropping-particle":"","parse-names":false,"suffix":""},{"dropping-particle":"","family":"Baret","given":"Frédéric","non-dropping-particle":"","parse-names":false,"suffix":""},{"dropping-particle":"","family":"Privette","given":"J L","non-dropping-particle":"","parse-names":false,"suffix":""},{"dropping-particle":"","family":"Myneni","given":"R B","non-dropping-particle":"","parse-names":false,"suffix":""},{"dropping-particle":"","family":"Nickeson","given":"J E","non-dropping-particle":"","parse-names":false,"suffix":""},{"dropping-particle":"","family":"Garrigues","given":"Sébastien","non-dropping-particle":"","parse-names":false,"suffix":""},{"dropping-particle":"V","family":"Shabanov","given":"N","non-dropping-particle":"","parse-names":false,"suffix":""},{"dropping-particle":"","family":"Weiss","given":"Marie","non-dropping-particle":"","parse-names":false,"suffix":""},{"dropping-particle":"","family":"Fernandes","given":"R A","non-dropping-particle":"","parse-names":false,"suffix":""},{"dropping-particle":"","family":"Leblanc","given":"S G","non-dropping-particle":"","parse-names":false,"suffix":""},{"dropping-particle":"","family":"Kalacska","given":"Margaret","non-dropping-particle":"","parse-names":false,"suffix":""},{"dropping-particle":"","family":"Sanchez-Azofeifa","given":"G A","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 N","non-dropping-particle":"","parse-names":false,"suffix":""},{"dropping-particle":"","family":"Lewis","given":"T E","non-dropping-particle":"","parse-names":false,"suffix":""},{"dropping-particle":"","family":"Iiames","given":"J 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 B","non-dropping-particle":"","parse-names":false,"suffix":""},{"dropping-particle":"","family":"Turner","given":"D P","non-dropping-particle":"","parse-names":false,"suffix":""},{"dropping-particle":"","family":"Warner","given":"E D","non-dropping-particle":"","parse-names":false,"suffix":""},{"dropping-particle":"","family":"Petersen","given":"G W","non-dropping-particle":"","parse-names":false,"suffix":""},{"dropping-particle":"","family":"Seufert","given":"Guenter","non-dropping-particle":"","parse-names":false,"suffix":""},{"dropping-particle":"","family":"Cook","given":"Robert","non-dropping-particle":"","parse-names":false,"suffix":""}],"container-title":"IEEE Transactions on Geoscience and Remote Sensing","id":"ITEM-2","issue":"7","issued":{"date-parts":[["2006"]]},"page":"1804-1817","title":"Validation of global moderate-resolution LAI products: a framework proposed within the CEOS land product validation subgroup","type":"article-journal","volume":"44"},"uris":["http://www.mendeley.com/documents/?uuid=cbbb4c92-4884-4d45-9d95-b445359e6fbb"]}],"mendeley":{"formattedCitation":"[13], [28]","plainTextFormattedCitation":"[13], [28]","previouslyFormattedCitation":"[13], [28]"},"properties":{"noteIndex":0},"schema":"https://github.com/citation-style-language/schema/raw/master/csl-citation.json"}</w:instrText>
      </w:r>
      <w:r>
        <w:rPr>
          <w:lang w:eastAsia="en-GB"/>
        </w:rPr>
        <w:fldChar w:fldCharType="separate"/>
      </w:r>
      <w:r w:rsidR="002A5CA0" w:rsidRPr="002A5CA0">
        <w:rPr>
          <w:noProof/>
          <w:lang w:eastAsia="en-GB"/>
        </w:rPr>
        <w:t>[13], [28]</w:t>
      </w:r>
      <w:r>
        <w:rPr>
          <w:lang w:eastAsia="en-GB"/>
        </w:rPr>
        <w:fldChar w:fldCharType="end"/>
      </w:r>
      <w:r>
        <w:rPr>
          <w:lang w:eastAsia="en-GB"/>
        </w:rPr>
        <w:t>.</w:t>
      </w:r>
      <w:r w:rsidR="003C4600">
        <w:rPr>
          <w:lang w:eastAsia="en-GB"/>
        </w:rPr>
        <w:t xml:space="preserve"> </w:t>
      </w:r>
      <w:r>
        <w:rPr>
          <w:lang w:eastAsia="en-GB"/>
        </w:rPr>
        <w:t>ESUs will be distributed across the site, stratified by land cover to ensure all dominant vegetation types are represented.</w:t>
      </w:r>
      <w:r w:rsidR="003C4600">
        <w:rPr>
          <w:lang w:eastAsia="en-GB"/>
        </w:rPr>
        <w:t xml:space="preserve"> </w:t>
      </w:r>
      <w:r>
        <w:rPr>
          <w:lang w:eastAsia="en-GB"/>
        </w:rPr>
        <w:t>In agricultural environments, at least five ESUs per field will be sampled to characterise the intra-field variability.</w:t>
      </w:r>
      <w:r w:rsidR="003C4600">
        <w:rPr>
          <w:lang w:eastAsia="en-GB"/>
        </w:rPr>
        <w:t xml:space="preserve"> </w:t>
      </w:r>
      <w:r>
        <w:rPr>
          <w:lang w:eastAsia="en-GB"/>
        </w:rPr>
        <w:t>Their placement will be a compromise between being close enough together to maintain efficient in</w:t>
      </w:r>
      <w:r w:rsidR="00C70376">
        <w:rPr>
          <w:lang w:eastAsia="en-GB"/>
        </w:rPr>
        <w:t xml:space="preserve"> </w:t>
      </w:r>
      <w:r>
        <w:rPr>
          <w:lang w:eastAsia="en-GB"/>
        </w:rPr>
        <w:t xml:space="preserve">situ sampling, but far enough apart to minimise spatial autocorrelation </w:t>
      </w:r>
      <w:r>
        <w:rPr>
          <w:lang w:eastAsia="en-GB"/>
        </w:rPr>
        <w:fldChar w:fldCharType="begin" w:fldLock="1"/>
      </w:r>
      <w:r w:rsidR="002A5CA0">
        <w:rPr>
          <w:lang w:eastAsia="en-GB"/>
        </w:rPr>
        <w:instrText>ADDIN CSL_CITATION {"citationItems":[{"id":"ITEM-1","itemData":{"DOI":"10.1109/TGRS.2006.872529","ISBN":"0196-2892","ISSN":"0196-2892","PMID":"10","author":[{"dropping-particle":"","family":"Morisette","given":"J T","non-dropping-particle":"","parse-names":false,"suffix":""},{"dropping-particle":"","family":"Baret","given":"Frédéric","non-dropping-particle":"","parse-names":false,"suffix":""},{"dropping-particle":"","family":"Privette","given":"J L","non-dropping-particle":"","parse-names":false,"suffix":""},{"dropping-particle":"","family":"Myneni","given":"R B","non-dropping-particle":"","parse-names":false,"suffix":""},{"dropping-particle":"","family":"Nickeson","given":"J E","non-dropping-particle":"","parse-names":false,"suffix":""},{"dropping-particle":"","family":"Garrigues","given":"Sébastien","non-dropping-particle":"","parse-names":false,"suffix":""},{"dropping-particle":"V","family":"Shabanov","given":"N","non-dropping-particle":"","parse-names":false,"suffix":""},{"dropping-particle":"","family":"Weiss","given":"Marie","non-dropping-particle":"","parse-names":false,"suffix":""},{"dropping-particle":"","family":"Fernandes","given":"R A","non-dropping-particle":"","parse-names":false,"suffix":""},{"dropping-particle":"","family":"Leblanc","given":"S G","non-dropping-particle":"","parse-names":false,"suffix":""},{"dropping-particle":"","family":"Kalacska","given":"Margaret","non-dropping-particle":"","parse-names":false,"suffix":""},{"dropping-particle":"","family":"Sanchez-Azofeifa","given":"G A","non-dropping-particle":"","parse-names":false,"suffix":""},{"dropping-particle":"","family":"Chubey","given":"Michael","non-dropping-particle":"","parse-names":false,"suffix":""},{"dropping-particle":"","family":"Rivard","given":"Benoit","non-dropping-particle":"","parse-names":false,"suffix":""},{"dropping-particle":"","family":"Stenberg","given":"Pauline","non-dropping-particle":"","parse-names":false,"suffix":""},{"dropping-particle":"","family":"Rautiainen","given":"Miina","non-dropping-particle":"","parse-names":false,"suffix":""},{"dropping-particle":"","family":"Voipio","given":"Pekka","non-dropping-particle":"","parse-names":false,"suffix":""},{"dropping-particle":"","family":"Manninen","given":"Terhikki","non-dropping-particle":"","parse-names":false,"suffix":""},{"dropping-particle":"","family":"Pilant","given":"A N","non-dropping-particle":"","parse-names":false,"suffix":""},{"dropping-particle":"","family":"Lewis","given":"T E","non-dropping-particle":"","parse-names":false,"suffix":""},{"dropping-particle":"","family":"Iiames","given":"J S","non-dropping-particle":"","parse-names":false,"suffix":""},{"dropping-particle":"","family":"Colombo","given":"Roberto","non-dropping-particle":"","parse-names":false,"suffix":""},{"dropping-particle":"","family":"Meroni","given":"Michele","non-dropping-particle":"","parse-names":false,"suffix":""},{"dropping-particle":"","family":"Busetto","given":"Lorenzo","non-dropping-particle":"","parse-names":false,"suffix":""},{"dropping-particle":"","family":"Cohen","given":"W B","non-dropping-particle":"","parse-names":false,"suffix":""},{"dropping-particle":"","family":"Turner","given":"D P","non-dropping-particle":"","parse-names":false,"suffix":""},{"dropping-particle":"","family":"Warner","given":"E D","non-dropping-particle":"","parse-names":false,"suffix":""},{"dropping-particle":"","family":"Petersen","given":"G W","non-dropping-particle":"","parse-names":false,"suffix":""},{"dropping-particle":"","family":"Seufert","given":"Guenter","non-dropping-particle":"","parse-names":false,"suffix":""},{"dropping-particle":"","family":"Cook","given":"Robert","non-dropping-particle":"","parse-names":false,"suffix":""}],"container-title":"IEEE Transactions on Geoscience and Remote Sensing","id":"ITEM-1","issue":"7","issued":{"date-parts":[["2006"]]},"page":"1804-1817","title":"Validation of global moderate-resolution LAI products: a framework proposed within the CEOS land product validation subgroup","type":"article-journal","volume":"44"},"uris":["http://www.mendeley.com/documents/?uuid=cbbb4c92-4884-4d45-9d95-b445359e6fbb"]}],"mendeley":{"formattedCitation":"[28]","plainTextFormattedCitation":"[28]","previouslyFormattedCitation":"[28]"},"properties":{"noteIndex":0},"schema":"https://github.com/citation-style-language/schema/raw/master/csl-citation.json"}</w:instrText>
      </w:r>
      <w:r>
        <w:rPr>
          <w:lang w:eastAsia="en-GB"/>
        </w:rPr>
        <w:fldChar w:fldCharType="separate"/>
      </w:r>
      <w:r w:rsidR="002A5CA0" w:rsidRPr="002A5CA0">
        <w:rPr>
          <w:noProof/>
          <w:lang w:eastAsia="en-GB"/>
        </w:rPr>
        <w:t>[28]</w:t>
      </w:r>
      <w:r>
        <w:rPr>
          <w:lang w:eastAsia="en-GB"/>
        </w:rPr>
        <w:fldChar w:fldCharType="end"/>
      </w:r>
      <w:r>
        <w:rPr>
          <w:lang w:eastAsia="en-GB"/>
        </w:rPr>
        <w:t>.</w:t>
      </w:r>
      <w:r w:rsidR="003C4600">
        <w:rPr>
          <w:lang w:eastAsia="en-GB"/>
        </w:rPr>
        <w:t xml:space="preserve"> </w:t>
      </w:r>
      <w:r>
        <w:rPr>
          <w:lang w:eastAsia="en-GB"/>
        </w:rPr>
        <w:t xml:space="preserve">To avoid adjacency effects, ESUs will be located at a reasonable distance </w:t>
      </w:r>
      <w:r w:rsidRPr="00100786">
        <w:rPr>
          <w:lang w:eastAsia="en-GB"/>
        </w:rPr>
        <w:t xml:space="preserve">(at least 50 m) </w:t>
      </w:r>
      <w:r>
        <w:rPr>
          <w:lang w:eastAsia="en-GB"/>
        </w:rPr>
        <w:t xml:space="preserve">from borders, and will be surrounded by pixels with the same type of vegetation type </w:t>
      </w:r>
      <w:r>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Pr>
          <w:lang w:eastAsia="en-GB"/>
        </w:rPr>
        <w:fldChar w:fldCharType="separate"/>
      </w:r>
      <w:r w:rsidR="00C51520" w:rsidRPr="00C51520">
        <w:rPr>
          <w:noProof/>
          <w:lang w:eastAsia="en-GB"/>
        </w:rPr>
        <w:t>[13]</w:t>
      </w:r>
      <w:r>
        <w:rPr>
          <w:lang w:eastAsia="en-GB"/>
        </w:rPr>
        <w:fldChar w:fldCharType="end"/>
      </w:r>
      <w:r>
        <w:rPr>
          <w:lang w:eastAsia="en-GB"/>
        </w:rPr>
        <w:t>.</w:t>
      </w:r>
      <w:r w:rsidR="003C4600">
        <w:rPr>
          <w:lang w:eastAsia="en-GB"/>
        </w:rPr>
        <w:t xml:space="preserve"> </w:t>
      </w:r>
      <w:r w:rsidRPr="00FE3E12">
        <w:rPr>
          <w:lang w:eastAsia="en-GB"/>
        </w:rPr>
        <w:t>A</w:t>
      </w:r>
      <w:r>
        <w:rPr>
          <w:lang w:eastAsia="en-GB"/>
        </w:rPr>
        <w:t>t least five a</w:t>
      </w:r>
      <w:r w:rsidRPr="00FE3E12">
        <w:rPr>
          <w:lang w:eastAsia="en-GB"/>
        </w:rPr>
        <w:t>dditional ESUs</w:t>
      </w:r>
      <w:r>
        <w:rPr>
          <w:lang w:eastAsia="en-GB"/>
        </w:rPr>
        <w:t xml:space="preserve"> will</w:t>
      </w:r>
      <w:r w:rsidRPr="00FE3E12">
        <w:rPr>
          <w:lang w:eastAsia="en-GB"/>
        </w:rPr>
        <w:t xml:space="preserve"> be established over areas with little to no vegetation cover to </w:t>
      </w:r>
      <w:r>
        <w:rPr>
          <w:lang w:eastAsia="en-GB"/>
        </w:rPr>
        <w:t>constrain</w:t>
      </w:r>
      <w:r w:rsidRPr="00FE3E12">
        <w:rPr>
          <w:lang w:eastAsia="en-GB"/>
        </w:rPr>
        <w:t xml:space="preserve"> the lower boundary of the transfer function used for upscaling </w:t>
      </w:r>
      <w:r w:rsidRPr="00FE3E12">
        <w:rPr>
          <w:lang w:eastAsia="en-GB"/>
        </w:rPr>
        <w:fldChar w:fldCharType="begin" w:fldLock="1"/>
      </w:r>
      <w:r w:rsidR="00B60D54">
        <w:rPr>
          <w:lang w:eastAsia="en-GB"/>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mendeley":{"formattedCitation":"[13]","plainTextFormattedCitation":"[13]","previouslyFormattedCitation":"[13]"},"properties":{"noteIndex":0},"schema":"https://github.com/citation-style-language/schema/raw/master/csl-citation.json"}</w:instrText>
      </w:r>
      <w:r w:rsidRPr="00FE3E12">
        <w:rPr>
          <w:lang w:eastAsia="en-GB"/>
        </w:rPr>
        <w:fldChar w:fldCharType="separate"/>
      </w:r>
      <w:r w:rsidR="00C51520" w:rsidRPr="00C51520">
        <w:rPr>
          <w:noProof/>
          <w:lang w:eastAsia="en-GB"/>
        </w:rPr>
        <w:t>[13]</w:t>
      </w:r>
      <w:r w:rsidRPr="00FE3E12">
        <w:rPr>
          <w:lang w:eastAsia="en-GB"/>
        </w:rPr>
        <w:fldChar w:fldCharType="end"/>
      </w:r>
      <w:r w:rsidRPr="00FE3E12">
        <w:rPr>
          <w:lang w:eastAsia="en-GB"/>
        </w:rPr>
        <w:t>.</w:t>
      </w:r>
      <w:r w:rsidR="003C4600">
        <w:rPr>
          <w:lang w:eastAsia="en-GB"/>
        </w:rPr>
        <w:t xml:space="preserve"> </w:t>
      </w:r>
      <w:r>
        <w:rPr>
          <w:lang w:eastAsia="en-GB"/>
        </w:rPr>
        <w:t>Knowledge of land cover characteristics will enable identification of these areas.</w:t>
      </w:r>
      <w:r w:rsidR="003C4600">
        <w:rPr>
          <w:lang w:eastAsia="en-GB"/>
        </w:rPr>
        <w:t xml:space="preserve"> </w:t>
      </w:r>
      <w:r>
        <w:rPr>
          <w:lang w:eastAsia="en-GB"/>
        </w:rPr>
        <w:t>In agricultural environments, a field survey will be carried out so that up-to-date information on land cover characteristics at the time of the campaign itself is available.</w:t>
      </w:r>
    </w:p>
    <w:p w14:paraId="18F54404" w14:textId="1384C78B" w:rsidR="001E4E80" w:rsidRPr="00FD3124" w:rsidRDefault="001E4E80" w:rsidP="001E4E80">
      <w:pPr>
        <w:rPr>
          <w:color w:val="FF0000"/>
        </w:rPr>
      </w:pPr>
    </w:p>
    <w:p w14:paraId="0CFC8078" w14:textId="39FD584E" w:rsidR="004E6120" w:rsidRPr="00666EDE" w:rsidRDefault="004E6120" w:rsidP="00C51520">
      <w:pPr>
        <w:pStyle w:val="Heading3"/>
        <w:rPr>
          <w:lang w:eastAsia="en-GB"/>
        </w:rPr>
      </w:pPr>
      <w:bookmarkStart w:id="134" w:name="_Toc44515982"/>
      <w:r>
        <w:rPr>
          <w:lang w:eastAsia="en-GB"/>
        </w:rPr>
        <w:t>Timing of Field Data Collection</w:t>
      </w:r>
      <w:bookmarkEnd w:id="134"/>
    </w:p>
    <w:p w14:paraId="282214B8" w14:textId="3DFEBD65" w:rsidR="000043E3" w:rsidRDefault="000043E3" w:rsidP="0069303D">
      <w:pPr>
        <w:spacing w:after="0" w:line="360" w:lineRule="auto"/>
        <w:rPr>
          <w:color w:val="FF0000"/>
        </w:rPr>
      </w:pPr>
    </w:p>
    <w:p w14:paraId="40943938" w14:textId="43C14642" w:rsidR="00C51520" w:rsidRDefault="00C51520" w:rsidP="00C51520">
      <w:pPr>
        <w:spacing w:after="0" w:line="360" w:lineRule="auto"/>
        <w:jc w:val="both"/>
      </w:pPr>
      <w:r>
        <w:t>To minimise the influence of any changes in vegetation condition, field data collection should be conducted within one week of the acquisition of the high spatial resolution imagery used for upscaling.</w:t>
      </w:r>
      <w:r w:rsidR="003C4600">
        <w:t xml:space="preserve"> </w:t>
      </w:r>
      <w:r>
        <w:t>Unlike surface reflectance, simultaneous field data collection is not required, as within</w:t>
      </w:r>
      <w:r w:rsidRPr="00C51520">
        <w:t xml:space="preserve"> </w:t>
      </w:r>
      <w:r w:rsidR="00042E0C">
        <w:t xml:space="preserve">this </w:t>
      </w:r>
      <w:r w:rsidRPr="00C51520">
        <w:t xml:space="preserve">period, </w:t>
      </w:r>
      <w:r w:rsidR="00042E0C">
        <w:t xml:space="preserve">mature </w:t>
      </w:r>
      <w:r w:rsidRPr="00C51520">
        <w:t>vegetation is typically considered stable</w:t>
      </w:r>
      <w:r>
        <w:t xml:space="preserve"> </w:t>
      </w:r>
      <w:r>
        <w:fldChar w:fldCharType="begin" w:fldLock="1"/>
      </w:r>
      <w:r w:rsidR="002A5CA0">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a network of sites and a methodology for the validation of medium spatial resolution land satellite products","type":"book"},"uris":["http://www.mendeley.com/documents/?uuid=bb6618ff-0c9a-44bb-85eb-927e3dba2294"]},{"id":"ITEM-2","itemData":{"DOI":"10.1016/j.rse.2010.11.004","ISBN":"0034-4257","ISSN":"00344257","abstract":"Canopy leaf area index (LAI), defined as the single-sided leaf area per unit ground area, is a quantitative measure of canopy foliar area. LAI is a controlling biophysical property of vegetation function, and quantifying LAI is thus vital for understanding energy, carbon and water fluxes between the land surface and the atmosphere. LAI is routinely available from Earth Observation (EO) instruments such as MODIS. However EO-derived estimates of LAI require validation before they are utilised by the ecosystem modelling community. Previous validation work on the MODIS collection 4 (c4) product suggested considerable error especially in forested biomes, and as a result significant modification of the MODIS LAI algorithm has been made for the most recent collection 5 (c5). As a result of these changes the current MODIS LAI product has not been widely validated. We present a validation of the MODIS c5 LAI product over a 121km 2 area of mixed coniferous forest in Oregon, USA, based on detailed ground measurements which we have upscaled using high resolution EO data. Our analysis suggests that c5 shows a much more realistic temporal LAI dynamic over c4 values for the site we examined. We find improved spatial consistency between the MODIS c5 LAI product and upscaled in situ measurements. However results also suggest that the c5 LAI product underestimates the upper range of upscaled in situ LAI measurements. ?? 2010 Elsevier Inc.","author":[{"dropping-particle":"","family":"Kauwe","given":"M.G.","non-dropping-particle":"De","parse-names":false,"suffix":""},{"dropping-particle":"","family":"Disney","given":"M.I.","non-dropping-particle":"","parse-names":false,"suffix":""},{"dropping-particle":"","family":"Quaife","given":"T.","non-dropping-particle":"","parse-names":false,"suffix":""},{"dropping-particle":"","family":"Lewis","given":"P.","non-dropping-particle":"","parse-names":false,"suffix":""},{"dropping-particle":"","family":"Williams","given":"M.","non-dropping-particle":"","parse-names":false,"suffix":""}],"container-title":"Remote Sensing of Environment","id":"ITEM-2","issue":"2","issued":{"date-parts":[["2011","2","15"]]},"page":"767-780","title":"An assessment of the MODIS collection 5 leaf area index product for a region of mixed coniferous forest","type":"article-journal","volume":"115"},"uris":["http://www.mendeley.com/documents/?uuid=1335ecd3-719d-419d-8acd-e16f59354e07"]}],"mendeley":{"formattedCitation":"[13], [29]","plainTextFormattedCitation":"[13], [29]","previouslyFormattedCitation":"[13], [29]"},"properties":{"noteIndex":0},"schema":"https://github.com/citation-style-language/schema/raw/master/csl-citation.json"}</w:instrText>
      </w:r>
      <w:r>
        <w:fldChar w:fldCharType="separate"/>
      </w:r>
      <w:r w:rsidR="002A5CA0" w:rsidRPr="002A5CA0">
        <w:rPr>
          <w:noProof/>
        </w:rPr>
        <w:t>[13], [29]</w:t>
      </w:r>
      <w:r>
        <w:fldChar w:fldCharType="end"/>
      </w:r>
      <w:r w:rsidRPr="00C51520">
        <w:t>.</w:t>
      </w:r>
      <w:r w:rsidR="00042E0C">
        <w:t xml:space="preserve"> </w:t>
      </w:r>
      <w:r w:rsidR="00042E0C" w:rsidRPr="00042E0C">
        <w:t>If in situ data are collected during the start or end of the growing season, when more rapid changes in biophysical or biochemical characteristics may occur, a more restrictive temporal constraint will be required. This will depend on the phenological characteristics of the site itself.</w:t>
      </w:r>
    </w:p>
    <w:p w14:paraId="18394295" w14:textId="1163F97B" w:rsidR="004E6120" w:rsidRPr="00C51520" w:rsidRDefault="004E6120" w:rsidP="00C51520">
      <w:pPr>
        <w:spacing w:after="0" w:line="360" w:lineRule="auto"/>
        <w:jc w:val="both"/>
      </w:pPr>
    </w:p>
    <w:p w14:paraId="1A5BC5DF" w14:textId="0296FC83" w:rsidR="001E4E80" w:rsidRDefault="001E4E80" w:rsidP="00C51520">
      <w:pPr>
        <w:pStyle w:val="Heading2"/>
      </w:pPr>
      <w:bookmarkStart w:id="135" w:name="_Toc44515983"/>
      <w:r w:rsidRPr="00C51520">
        <w:t>Permanent</w:t>
      </w:r>
      <w:r>
        <w:t xml:space="preserve"> </w:t>
      </w:r>
      <w:r w:rsidR="00B8290A">
        <w:t>F</w:t>
      </w:r>
      <w:r>
        <w:t xml:space="preserve">ield </w:t>
      </w:r>
      <w:r w:rsidR="00B8290A">
        <w:t>S</w:t>
      </w:r>
      <w:r>
        <w:t>ites</w:t>
      </w:r>
      <w:bookmarkEnd w:id="135"/>
    </w:p>
    <w:p w14:paraId="465C5D9A" w14:textId="77777777" w:rsidR="000043E3" w:rsidRPr="000043E3" w:rsidRDefault="000043E3" w:rsidP="0069303D">
      <w:pPr>
        <w:spacing w:after="0"/>
      </w:pPr>
    </w:p>
    <w:p w14:paraId="3FE4BCFF" w14:textId="13807923" w:rsidR="00AC5497" w:rsidRPr="0068439A" w:rsidRDefault="00AC5497" w:rsidP="00AC5497">
      <w:r>
        <w:rPr>
          <w:i/>
          <w:iCs/>
          <w:sz w:val="32"/>
          <w:szCs w:val="32"/>
        </w:rPr>
        <w:t xml:space="preserve">This section is pending further development </w:t>
      </w:r>
      <w:proofErr w:type="gramStart"/>
      <w:r>
        <w:rPr>
          <w:i/>
          <w:iCs/>
          <w:sz w:val="32"/>
          <w:szCs w:val="32"/>
        </w:rPr>
        <w:t>during the course of</w:t>
      </w:r>
      <w:proofErr w:type="gramEnd"/>
      <w:r>
        <w:rPr>
          <w:i/>
          <w:iCs/>
          <w:sz w:val="32"/>
          <w:szCs w:val="32"/>
        </w:rPr>
        <w:t xml:space="preserve"> </w:t>
      </w:r>
      <w:r w:rsidR="001575D2">
        <w:rPr>
          <w:i/>
          <w:iCs/>
          <w:sz w:val="32"/>
          <w:szCs w:val="32"/>
        </w:rPr>
        <w:t xml:space="preserve">FRM4VEG </w:t>
      </w:r>
      <w:r>
        <w:rPr>
          <w:i/>
          <w:iCs/>
          <w:sz w:val="32"/>
          <w:szCs w:val="32"/>
        </w:rPr>
        <w:t>Phase 2</w:t>
      </w:r>
    </w:p>
    <w:p w14:paraId="1CD682BD" w14:textId="5420D017" w:rsidR="000043E3" w:rsidRDefault="000043E3" w:rsidP="000043E3"/>
    <w:p w14:paraId="1F0C474C" w14:textId="77777777" w:rsidR="001575D2" w:rsidRDefault="001575D2" w:rsidP="00565D00">
      <w:pPr>
        <w:pStyle w:val="Heading1"/>
        <w:numPr>
          <w:ilvl w:val="0"/>
          <w:numId w:val="34"/>
        </w:numPr>
        <w:sectPr w:rsidR="001575D2" w:rsidSect="00C036F8">
          <w:pgSz w:w="11906" w:h="16838"/>
          <w:pgMar w:top="1440" w:right="1440" w:bottom="1440" w:left="1440" w:header="708" w:footer="708" w:gutter="0"/>
          <w:cols w:space="708"/>
          <w:docGrid w:linePitch="360"/>
        </w:sectPr>
      </w:pPr>
      <w:bookmarkStart w:id="136" w:name="_Toc40901565"/>
      <w:bookmarkStart w:id="137" w:name="_Toc40901566"/>
      <w:bookmarkStart w:id="138" w:name="_Toc40901567"/>
      <w:bookmarkStart w:id="139" w:name="_Toc40901568"/>
      <w:bookmarkStart w:id="140" w:name="_Toc40901569"/>
      <w:bookmarkStart w:id="141" w:name="_Toc40901570"/>
      <w:bookmarkStart w:id="142" w:name="_Toc40901571"/>
      <w:bookmarkStart w:id="143" w:name="_Toc40901572"/>
      <w:bookmarkStart w:id="144" w:name="_Toc40901573"/>
      <w:bookmarkStart w:id="145" w:name="_Toc40901574"/>
      <w:bookmarkStart w:id="146" w:name="_Toc40901575"/>
      <w:bookmarkStart w:id="147" w:name="_Toc40901576"/>
      <w:bookmarkStart w:id="148" w:name="_Toc40901577"/>
      <w:bookmarkEnd w:id="136"/>
      <w:bookmarkEnd w:id="137"/>
      <w:bookmarkEnd w:id="138"/>
      <w:bookmarkEnd w:id="139"/>
      <w:bookmarkEnd w:id="140"/>
      <w:bookmarkEnd w:id="141"/>
      <w:bookmarkEnd w:id="142"/>
      <w:bookmarkEnd w:id="143"/>
      <w:bookmarkEnd w:id="144"/>
      <w:bookmarkEnd w:id="145"/>
      <w:bookmarkEnd w:id="146"/>
      <w:bookmarkEnd w:id="147"/>
      <w:bookmarkEnd w:id="148"/>
    </w:p>
    <w:p w14:paraId="1F59685C" w14:textId="42B3E086" w:rsidR="0048599E" w:rsidRDefault="0048599E" w:rsidP="00C51520">
      <w:pPr>
        <w:pStyle w:val="Heading1"/>
      </w:pPr>
      <w:bookmarkStart w:id="149" w:name="_Toc44515984"/>
      <w:r w:rsidRPr="00C51520">
        <w:lastRenderedPageBreak/>
        <w:t>Traceability</w:t>
      </w:r>
      <w:r>
        <w:t xml:space="preserve">, Uncertainty </w:t>
      </w:r>
      <w:r w:rsidR="00755B1A">
        <w:t>S</w:t>
      </w:r>
      <w:r>
        <w:t xml:space="preserve">ources and </w:t>
      </w:r>
      <w:r w:rsidR="005523A6">
        <w:t>Propagation</w:t>
      </w:r>
      <w:bookmarkEnd w:id="149"/>
    </w:p>
    <w:p w14:paraId="3EA07AB3" w14:textId="6D81ECB4" w:rsidR="002B5C05" w:rsidRDefault="002B5C05" w:rsidP="0069303D">
      <w:pPr>
        <w:spacing w:after="0"/>
      </w:pPr>
    </w:p>
    <w:p w14:paraId="6D075F01" w14:textId="0E1820F1" w:rsidR="00EB6F4D" w:rsidRPr="0068439A" w:rsidRDefault="00EB6F4D" w:rsidP="00EB6F4D">
      <w:pPr>
        <w:spacing w:line="360" w:lineRule="auto"/>
        <w:jc w:val="both"/>
        <w:rPr>
          <w:rFonts w:ascii="Calibri" w:eastAsia="Calibri" w:hAnsi="Calibri" w:cs="Times New Roman"/>
        </w:rPr>
      </w:pPr>
      <w:r w:rsidRPr="0068439A">
        <w:rPr>
          <w:rFonts w:ascii="Calibri" w:eastAsia="Calibri" w:hAnsi="Calibri" w:cs="Times New Roman"/>
        </w:rPr>
        <w:t xml:space="preserve">When a physical quantity is measured, it is mandatory to indicate the quality of the results in order to compare different measurements either among themselves or with reference values or standards. </w:t>
      </w:r>
      <w:r w:rsidRPr="0068439A">
        <w:rPr>
          <w:rFonts w:ascii="Calibri" w:eastAsia="Calibri" w:hAnsi="Calibri" w:cs="Times New Roman"/>
        </w:rPr>
        <w:fldChar w:fldCharType="begin" w:fldLock="1"/>
      </w:r>
      <w:r w:rsidR="00C51520">
        <w:rPr>
          <w:rFonts w:ascii="Calibri" w:eastAsia="Calibri" w:hAnsi="Calibri" w:cs="Times New Roman"/>
        </w:rPr>
        <w:instrText>ADDIN CSL_CITATION {"citationItems":[{"id":"ITEM-1","itemData":{"abstract":"When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fields.","author":[{"dropping-particle":"","family":"Working Group 1 of the Joint Committee for Guides in Metrology","given":"","non-dropping-particle":"","parse-names":false,"suffix":""}],"id":"ITEM-1","issued":{"date-parts":[["2008"]]},"publisher":"Bureau International des Poids et Mesures","publisher-place":"Paris, France","title":"Evaluation of measurement data — Guide to the expression of uncertainty in measurement","type":"book"},"uris":["http://www.mendeley.com/documents/?uuid=742c897d-7840-4b76-9626-1cf60b423326"]}],"mendeley":{"formattedCitation":"[4]","plainTextFormattedCitation":"[4]","previouslyFormattedCitation":"[4]"},"properties":{"noteIndex":0},"schema":"https://github.com/citation-style-language/schema/raw/master/csl-citation.json"}</w:instrText>
      </w:r>
      <w:r w:rsidRPr="0068439A">
        <w:rPr>
          <w:rFonts w:ascii="Calibri" w:eastAsia="Calibri" w:hAnsi="Calibri" w:cs="Times New Roman"/>
        </w:rPr>
        <w:fldChar w:fldCharType="separate"/>
      </w:r>
      <w:r w:rsidRPr="0068439A">
        <w:rPr>
          <w:rFonts w:ascii="Calibri" w:eastAsia="Calibri" w:hAnsi="Calibri" w:cs="Times New Roman"/>
          <w:noProof/>
        </w:rPr>
        <w:t>[4]</w:t>
      </w:r>
      <w:r w:rsidRPr="0068439A">
        <w:rPr>
          <w:rFonts w:ascii="Calibri" w:eastAsia="Calibri" w:hAnsi="Calibri" w:cs="Times New Roman"/>
        </w:rPr>
        <w:fldChar w:fldCharType="end"/>
      </w:r>
      <w:r w:rsidRPr="0068439A">
        <w:rPr>
          <w:rFonts w:ascii="Calibri" w:eastAsia="Calibri" w:hAnsi="Calibri" w:cs="Times New Roman"/>
        </w:rPr>
        <w:t xml:space="preserve"> states that the ideal method for expressing uncertainty is based on three characteristics:</w:t>
      </w:r>
      <w:r w:rsidR="003C4600">
        <w:rPr>
          <w:rFonts w:ascii="Calibri" w:eastAsia="Calibri" w:hAnsi="Calibri" w:cs="Times New Roman"/>
        </w:rPr>
        <w:t xml:space="preserve"> </w:t>
      </w:r>
      <w:r w:rsidRPr="0068439A">
        <w:rPr>
          <w:rFonts w:ascii="Calibri" w:eastAsia="Calibri" w:hAnsi="Calibri" w:cs="Times New Roman"/>
        </w:rPr>
        <w:t xml:space="preserve">universality, consistency and transferability. Considering this method, it is possible to evaluate the uncertainty, defined in </w:t>
      </w:r>
      <w:r w:rsidRPr="0068439A">
        <w:rPr>
          <w:rFonts w:ascii="Calibri" w:eastAsia="Calibri" w:hAnsi="Calibri" w:cs="Times New Roman"/>
        </w:rPr>
        <w:fldChar w:fldCharType="begin" w:fldLock="1"/>
      </w:r>
      <w:r w:rsidR="00C51520">
        <w:rPr>
          <w:rFonts w:ascii="Calibri" w:eastAsia="Calibri" w:hAnsi="Calibri" w:cs="Times New Roman"/>
        </w:rPr>
        <w:instrText>ADDIN CSL_CITATION {"citationItems":[{"id":"ITEM-1","itemData":{"abstract":"When reporting the result of a measurement of a physical quantity, some quantitative indication of the result has to be given to assess its reliability and to allow comparisons to be made. The Guide to the expression of uncertainty in measurement establishes general rules for evaluating and expressing uncertainty in measurement that can be followed at many levels of accuracy and in many fields.","author":[{"dropping-particle":"","family":"Working Group 1 of the Joint Committee for Guides in Metrology","given":"","non-dropping-particle":"","parse-names":false,"suffix":""}],"id":"ITEM-1","issued":{"date-parts":[["2008"]]},"publisher":"Bureau International des Poids et Mesures","publisher-place":"Paris, France","title":"Evaluation of measurement data — Guide to the expression of uncertainty in measurement","type":"book"},"uris":["http://www.mendeley.com/documents/?uuid=742c897d-7840-4b76-9626-1cf60b423326"]}],"mendeley":{"formattedCitation":"[4]","plainTextFormattedCitation":"[4]","previouslyFormattedCitation":"[4]"},"properties":{"noteIndex":0},"schema":"https://github.com/citation-style-language/schema/raw/master/csl-citation.json"}</w:instrText>
      </w:r>
      <w:r w:rsidRPr="0068439A">
        <w:rPr>
          <w:rFonts w:ascii="Calibri" w:eastAsia="Calibri" w:hAnsi="Calibri" w:cs="Times New Roman"/>
        </w:rPr>
        <w:fldChar w:fldCharType="separate"/>
      </w:r>
      <w:r w:rsidRPr="0068439A">
        <w:rPr>
          <w:rFonts w:ascii="Calibri" w:eastAsia="Calibri" w:hAnsi="Calibri" w:cs="Times New Roman"/>
          <w:noProof/>
        </w:rPr>
        <w:t>[4]</w:t>
      </w:r>
      <w:r w:rsidRPr="0068439A">
        <w:rPr>
          <w:rFonts w:ascii="Calibri" w:eastAsia="Calibri" w:hAnsi="Calibri" w:cs="Times New Roman"/>
        </w:rPr>
        <w:fldChar w:fldCharType="end"/>
      </w:r>
      <w:r w:rsidRPr="0068439A">
        <w:rPr>
          <w:rFonts w:ascii="Calibri" w:eastAsia="Calibri" w:hAnsi="Calibri" w:cs="Times New Roman"/>
        </w:rPr>
        <w:t xml:space="preserve"> as </w:t>
      </w:r>
      <w:r w:rsidRPr="0068439A">
        <w:rPr>
          <w:rFonts w:ascii="Calibri" w:eastAsia="Calibri" w:hAnsi="Calibri" w:cs="Times New Roman"/>
          <w:i/>
          <w:iCs/>
        </w:rPr>
        <w:t>“a parameter, associated with the results of a measurement, that describes the dispersion of the values that could reasonably be attributed to the measurand”</w:t>
      </w:r>
      <w:r w:rsidRPr="0068439A">
        <w:rPr>
          <w:rFonts w:ascii="Calibri" w:eastAsia="Calibri" w:hAnsi="Calibri" w:cs="Times New Roman"/>
        </w:rPr>
        <w:t>.</w:t>
      </w:r>
    </w:p>
    <w:p w14:paraId="4ED49FF9" w14:textId="612E1B15" w:rsidR="00EB6F4D" w:rsidRPr="0068439A" w:rsidRDefault="00EB6F4D" w:rsidP="00EB6F4D">
      <w:pPr>
        <w:spacing w:line="360" w:lineRule="auto"/>
        <w:jc w:val="both"/>
      </w:pPr>
      <w:r w:rsidRPr="0068439A">
        <w:t>Uncertainties related to field activities are</w:t>
      </w:r>
      <w:r w:rsidRPr="0068439A">
        <w:rPr>
          <w:b/>
          <w:bCs/>
        </w:rPr>
        <w:t xml:space="preserve"> </w:t>
      </w:r>
      <w:r w:rsidRPr="0068439A">
        <w:t xml:space="preserve">generally related to: the equipment performance, the methodology of measurement, the sampling strategy, the properties of the surface and the environmental conditions </w:t>
      </w:r>
      <w:r w:rsidRPr="0068439A">
        <w:fldChar w:fldCharType="begin" w:fldLock="1"/>
      </w:r>
      <w:r w:rsidR="002A5CA0">
        <w:instrText>ADDIN CSL_CITATION {"citationItems":[{"id":"ITEM-1","itemData":{"author":[{"dropping-particle":"","family":"Gutierrez","given":"Oscar","non-dropping-particle":"","parse-names":false,"suffix":""}],"id":"ITEM-1","issue":"October","issued":{"date-parts":[["2018"]]},"title":"Towards a complete spectral reflectance uncertainty model for Field Spectroscopy Towards a complete spectral reflectance uncertainty model for Field Spectroscopy","type":"article-journal"},"uris":["http://www.mendeley.com/documents/?uuid=569df566-a71e-43d9-a35f-00735ce57673"]}],"mendeley":{"formattedCitation":"[30]","plainTextFormattedCitation":"[30]","previouslyFormattedCitation":"[30]"},"properties":{"noteIndex":0},"schema":"https://github.com/citation-style-language/schema/raw/master/csl-citation.json"}</w:instrText>
      </w:r>
      <w:r w:rsidRPr="0068439A">
        <w:fldChar w:fldCharType="separate"/>
      </w:r>
      <w:r w:rsidR="002A5CA0" w:rsidRPr="002A5CA0">
        <w:rPr>
          <w:noProof/>
        </w:rPr>
        <w:t>[30]</w:t>
      </w:r>
      <w:r w:rsidRPr="0068439A">
        <w:fldChar w:fldCharType="end"/>
      </w:r>
      <w:r w:rsidRPr="0068439A">
        <w:t>.</w:t>
      </w:r>
    </w:p>
    <w:p w14:paraId="4E0A01FA" w14:textId="2F4E6FF4" w:rsidR="00EB6F4D" w:rsidRPr="0068439A" w:rsidRDefault="00EB6F4D" w:rsidP="00FD3124">
      <w:pPr>
        <w:spacing w:after="0" w:line="360" w:lineRule="auto"/>
        <w:jc w:val="both"/>
        <w:rPr>
          <w:rFonts w:ascii="Calibri" w:eastAsia="Calibri" w:hAnsi="Calibri" w:cs="Times New Roman"/>
        </w:rPr>
      </w:pPr>
      <w:r w:rsidRPr="0068439A">
        <w:rPr>
          <w:rFonts w:ascii="Calibri" w:eastAsia="Calibri" w:hAnsi="Calibri" w:cs="Times New Roman"/>
        </w:rPr>
        <w:t>All the uncertainties associated with the measurement process are then taken into account thanks to the SI traceability, defined</w:t>
      </w:r>
      <w:r w:rsidR="003C4600">
        <w:rPr>
          <w:rFonts w:ascii="Calibri" w:eastAsia="Calibri" w:hAnsi="Calibri" w:cs="Times New Roman"/>
        </w:rPr>
        <w:t xml:space="preserve"> </w:t>
      </w:r>
      <w:r w:rsidRPr="0068439A">
        <w:rPr>
          <w:rFonts w:ascii="Calibri" w:eastAsia="Calibri" w:hAnsi="Calibri" w:cs="Times New Roman"/>
        </w:rPr>
        <w:t xml:space="preserve">as </w:t>
      </w:r>
      <w:r w:rsidRPr="0068439A">
        <w:rPr>
          <w:rFonts w:ascii="Calibri" w:eastAsia="Calibri" w:hAnsi="Calibri" w:cs="Times New Roman"/>
          <w:i/>
          <w:iCs/>
        </w:rPr>
        <w:t>“the property of the result of a measurement or the value of a standard whereby it can be related to stated references, usually national or international standards, through an unbroken chain of comparisons all having stated uncertainties”</w:t>
      </w:r>
      <w:r w:rsidR="00485E1A">
        <w:rPr>
          <w:rFonts w:ascii="Calibri" w:eastAsia="Calibri" w:hAnsi="Calibri" w:cs="Times New Roman"/>
          <w:i/>
          <w:iCs/>
        </w:rPr>
        <w:t xml:space="preserve"> </w:t>
      </w:r>
      <w:r w:rsidRPr="0068439A">
        <w:rPr>
          <w:rFonts w:ascii="Calibri" w:eastAsia="Calibri" w:hAnsi="Calibri" w:cs="Times New Roman"/>
        </w:rPr>
        <w:fldChar w:fldCharType="begin" w:fldLock="1"/>
      </w:r>
      <w:r w:rsidR="002A5CA0">
        <w:rPr>
          <w:rFonts w:ascii="Calibri" w:eastAsia="Calibri" w:hAnsi="Calibri" w:cs="Times New Roman"/>
        </w:rPr>
        <w:instrText>ADDIN CSL_CITATION {"citationItems":[{"id":"ITEM-1","itemData":{"author":[{"dropping-particle":"","family":"Grkov","given":"Zoran","non-dropping-particle":"","parse-names":false,"suffix":""},{"dropping-particle":"","family":"Consultant","given":"Freelance","non-dropping-particle":"","parse-names":false,"suffix":""}],"id":"ITEM-1","issue":"March","issued":{"date-parts":[["2015"]]},"page":"15-19","title":"International Vocabulary of Basic and General Terms in Metrology ( VIM ) Skopje , septemvri 1998 Zoran Grkov avtor na makedonskoto izdanie","type":"article-journal"},"uris":["http://www.mendeley.com/documents/?uuid=416da8f6-a11b-42bc-8a83-20d4200611df"]}],"mendeley":{"formattedCitation":"[31]","plainTextFormattedCitation":"[31]","previouslyFormattedCitation":"[31]"},"properties":{"noteIndex":0},"schema":"https://github.com/citation-style-language/schema/raw/master/csl-citation.json"}</w:instrText>
      </w:r>
      <w:r w:rsidRPr="0068439A">
        <w:rPr>
          <w:rFonts w:ascii="Calibri" w:eastAsia="Calibri" w:hAnsi="Calibri" w:cs="Times New Roman"/>
        </w:rPr>
        <w:fldChar w:fldCharType="separate"/>
      </w:r>
      <w:r w:rsidR="002A5CA0" w:rsidRPr="002A5CA0">
        <w:rPr>
          <w:rFonts w:ascii="Calibri" w:eastAsia="Calibri" w:hAnsi="Calibri" w:cs="Times New Roman"/>
          <w:noProof/>
        </w:rPr>
        <w:t>[31]</w:t>
      </w:r>
      <w:r w:rsidRPr="0068439A">
        <w:rPr>
          <w:rFonts w:ascii="Calibri" w:eastAsia="Calibri" w:hAnsi="Calibri" w:cs="Times New Roman"/>
        </w:rPr>
        <w:fldChar w:fldCharType="end"/>
      </w:r>
      <w:r w:rsidRPr="0068439A">
        <w:rPr>
          <w:rFonts w:ascii="Calibri" w:eastAsia="Calibri" w:hAnsi="Calibri" w:cs="Times New Roman"/>
        </w:rPr>
        <w:t>. The unbroken chain of comparisons is called traceability chain.</w:t>
      </w:r>
    </w:p>
    <w:p w14:paraId="1B238944" w14:textId="77777777" w:rsidR="006D5819" w:rsidRPr="002B5C05" w:rsidRDefault="006D5819" w:rsidP="002B5C05"/>
    <w:p w14:paraId="58F45DE8" w14:textId="3F177EAD" w:rsidR="00771912" w:rsidRDefault="00771912" w:rsidP="00C51520">
      <w:pPr>
        <w:pStyle w:val="Heading2"/>
      </w:pPr>
      <w:bookmarkStart w:id="150" w:name="_Ref2964582"/>
      <w:bookmarkStart w:id="151" w:name="_Toc38183449"/>
      <w:bookmarkStart w:id="152" w:name="_Toc44515985"/>
      <w:r>
        <w:t>Uncertainty Sources and Propagation</w:t>
      </w:r>
      <w:bookmarkEnd w:id="150"/>
      <w:bookmarkEnd w:id="151"/>
      <w:r>
        <w:t xml:space="preserve"> for FAPAR</w:t>
      </w:r>
      <w:bookmarkEnd w:id="152"/>
    </w:p>
    <w:p w14:paraId="31C3780E" w14:textId="77777777" w:rsidR="00771912" w:rsidRDefault="00771912" w:rsidP="0069303D">
      <w:pPr>
        <w:spacing w:after="0"/>
      </w:pPr>
    </w:p>
    <w:p w14:paraId="32E184B5" w14:textId="52F665F8" w:rsidR="00771912" w:rsidRDefault="00771912" w:rsidP="00771912">
      <w:pPr>
        <w:spacing w:line="360" w:lineRule="auto"/>
        <w:jc w:val="both"/>
      </w:pPr>
      <w:r>
        <w:t xml:space="preserve">Table </w:t>
      </w:r>
      <w:r w:rsidR="00305B17">
        <w:t>3</w:t>
      </w:r>
      <w:r>
        <w:t xml:space="preserve"> indicates uncertainty sources associated with in</w:t>
      </w:r>
      <w:r w:rsidR="00C70376">
        <w:t xml:space="preserve"> </w:t>
      </w:r>
      <w:r>
        <w:t>situ PAR measurements performed using quantum sensors.</w:t>
      </w:r>
      <w:r w:rsidR="003C4600">
        <w:t xml:space="preserve"> </w:t>
      </w:r>
      <w:r>
        <w:t>These uncertainties apply to each individual PAR measurement.</w:t>
      </w:r>
      <w:r w:rsidR="003C4600">
        <w:t xml:space="preserve"> </w:t>
      </w:r>
      <w:r>
        <w:t xml:space="preserve">Once quantified using either ‘Type A’ or ‘Type B’ evaluation, they can be propagated through the measurement equation presented in Section </w:t>
      </w:r>
      <w:r w:rsidR="0035328A">
        <w:t>2.1.1</w:t>
      </w:r>
      <w:r>
        <w:t xml:space="preserve"> to derive the resulting combined standard uncertainty in FAPAR.</w:t>
      </w:r>
    </w:p>
    <w:p w14:paraId="10ACE282" w14:textId="02FD9E3D" w:rsidR="00771912" w:rsidRDefault="00771912" w:rsidP="00771912">
      <w:pPr>
        <w:pStyle w:val="Caption"/>
        <w:keepNext/>
        <w:jc w:val="center"/>
      </w:pPr>
      <w:bookmarkStart w:id="153" w:name="_Ref1739340"/>
      <w:r>
        <w:br/>
      </w:r>
      <w:bookmarkStart w:id="154" w:name="_Ref1752388"/>
      <w:bookmarkStart w:id="155" w:name="_Toc37082490"/>
      <w:bookmarkStart w:id="156" w:name="_Toc41595356"/>
      <w:r>
        <w:t xml:space="preserve">Table </w:t>
      </w:r>
      <w:r>
        <w:rPr>
          <w:noProof/>
        </w:rPr>
        <w:fldChar w:fldCharType="begin"/>
      </w:r>
      <w:r>
        <w:rPr>
          <w:noProof/>
        </w:rPr>
        <w:instrText xml:space="preserve"> SEQ Table \* ARABIC </w:instrText>
      </w:r>
      <w:r>
        <w:rPr>
          <w:noProof/>
        </w:rPr>
        <w:fldChar w:fldCharType="separate"/>
      </w:r>
      <w:r w:rsidR="00105321">
        <w:rPr>
          <w:noProof/>
        </w:rPr>
        <w:t>3</w:t>
      </w:r>
      <w:r>
        <w:rPr>
          <w:noProof/>
        </w:rPr>
        <w:fldChar w:fldCharType="end"/>
      </w:r>
      <w:bookmarkEnd w:id="153"/>
      <w:bookmarkEnd w:id="154"/>
      <w:r>
        <w:t>: Uncertainty sources associated with in</w:t>
      </w:r>
      <w:r w:rsidR="00C70376">
        <w:t xml:space="preserve"> </w:t>
      </w:r>
      <w:r>
        <w:t>situ measurements of FAPAR performed using quantum sensors.</w:t>
      </w:r>
      <w:bookmarkEnd w:id="155"/>
      <w:bookmarkEnd w:id="1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098"/>
        <w:gridCol w:w="2396"/>
        <w:gridCol w:w="3846"/>
      </w:tblGrid>
      <w:tr w:rsidR="00771912" w14:paraId="0620DC93" w14:textId="77777777" w:rsidTr="005D0F84">
        <w:tc>
          <w:tcPr>
            <w:tcW w:w="0" w:type="auto"/>
            <w:tcBorders>
              <w:top w:val="single" w:sz="4" w:space="0" w:color="auto"/>
              <w:bottom w:val="single" w:sz="4" w:space="0" w:color="auto"/>
            </w:tcBorders>
          </w:tcPr>
          <w:p w14:paraId="537A4508" w14:textId="77777777" w:rsidR="00771912" w:rsidRPr="002971D1" w:rsidRDefault="00771912" w:rsidP="00FD3124">
            <w:pPr>
              <w:jc w:val="center"/>
              <w:rPr>
                <w:b/>
                <w:bCs/>
              </w:rPr>
            </w:pPr>
            <w:r w:rsidRPr="002971D1">
              <w:rPr>
                <w:b/>
                <w:bCs/>
              </w:rPr>
              <w:t>Source</w:t>
            </w:r>
          </w:p>
        </w:tc>
        <w:tc>
          <w:tcPr>
            <w:tcW w:w="0" w:type="auto"/>
            <w:tcBorders>
              <w:top w:val="single" w:sz="4" w:space="0" w:color="auto"/>
              <w:bottom w:val="single" w:sz="4" w:space="0" w:color="auto"/>
            </w:tcBorders>
          </w:tcPr>
          <w:p w14:paraId="14B71967" w14:textId="77777777" w:rsidR="00771912" w:rsidRPr="002971D1" w:rsidRDefault="00771912" w:rsidP="005D0F84">
            <w:pPr>
              <w:jc w:val="center"/>
              <w:rPr>
                <w:b/>
                <w:bCs/>
              </w:rPr>
            </w:pPr>
            <w:r w:rsidRPr="002971D1">
              <w:rPr>
                <w:b/>
                <w:bCs/>
              </w:rPr>
              <w:t>Symbol</w:t>
            </w:r>
          </w:p>
        </w:tc>
        <w:tc>
          <w:tcPr>
            <w:tcW w:w="0" w:type="auto"/>
            <w:tcBorders>
              <w:top w:val="single" w:sz="4" w:space="0" w:color="auto"/>
              <w:bottom w:val="single" w:sz="4" w:space="0" w:color="auto"/>
            </w:tcBorders>
          </w:tcPr>
          <w:p w14:paraId="4F56418F" w14:textId="77777777" w:rsidR="00771912" w:rsidRPr="002971D1" w:rsidRDefault="00771912" w:rsidP="005D0F84">
            <w:pPr>
              <w:jc w:val="center"/>
              <w:rPr>
                <w:b/>
                <w:bCs/>
              </w:rPr>
            </w:pPr>
            <w:r w:rsidRPr="002971D1">
              <w:rPr>
                <w:b/>
                <w:bCs/>
              </w:rPr>
              <w:t>Type</w:t>
            </w:r>
          </w:p>
        </w:tc>
        <w:tc>
          <w:tcPr>
            <w:tcW w:w="0" w:type="auto"/>
            <w:tcBorders>
              <w:top w:val="single" w:sz="4" w:space="0" w:color="auto"/>
              <w:bottom w:val="single" w:sz="4" w:space="0" w:color="auto"/>
            </w:tcBorders>
          </w:tcPr>
          <w:p w14:paraId="3B1DED2E" w14:textId="77777777" w:rsidR="00771912" w:rsidRPr="002971D1" w:rsidRDefault="00771912" w:rsidP="005D0F84">
            <w:pPr>
              <w:jc w:val="center"/>
              <w:rPr>
                <w:b/>
                <w:bCs/>
              </w:rPr>
            </w:pPr>
            <w:r w:rsidRPr="002971D1">
              <w:rPr>
                <w:b/>
                <w:bCs/>
              </w:rPr>
              <w:t>Description</w:t>
            </w:r>
          </w:p>
        </w:tc>
      </w:tr>
      <w:tr w:rsidR="00771912" w14:paraId="69A89145" w14:textId="77777777" w:rsidTr="005D0F84">
        <w:tc>
          <w:tcPr>
            <w:tcW w:w="0" w:type="auto"/>
            <w:tcBorders>
              <w:top w:val="single" w:sz="4" w:space="0" w:color="auto"/>
              <w:bottom w:val="nil"/>
            </w:tcBorders>
          </w:tcPr>
          <w:p w14:paraId="35BAA53B" w14:textId="77777777" w:rsidR="00771912" w:rsidRDefault="00771912" w:rsidP="00FD3124">
            <w:pPr>
              <w:jc w:val="center"/>
            </w:pPr>
            <w:r>
              <w:t>Angular response</w:t>
            </w:r>
          </w:p>
        </w:tc>
        <w:tc>
          <w:tcPr>
            <w:tcW w:w="0" w:type="auto"/>
            <w:tcBorders>
              <w:top w:val="single" w:sz="4" w:space="0" w:color="auto"/>
              <w:bottom w:val="nil"/>
            </w:tcBorders>
          </w:tcPr>
          <w:p w14:paraId="54619A41" w14:textId="77777777" w:rsidR="00771912" w:rsidRDefault="00771912" w:rsidP="005D0F84">
            <w:pPr>
              <w:jc w:val="center"/>
            </w:pPr>
            <m:oMathPara>
              <m:oMath>
                <m:r>
                  <w:rPr>
                    <w:rFonts w:ascii="Cambria Math" w:hAnsi="Cambria Math"/>
                  </w:rPr>
                  <m:t>u(angle)</m:t>
                </m:r>
              </m:oMath>
            </m:oMathPara>
          </w:p>
        </w:tc>
        <w:tc>
          <w:tcPr>
            <w:tcW w:w="0" w:type="auto"/>
            <w:tcBorders>
              <w:top w:val="single" w:sz="4" w:space="0" w:color="auto"/>
              <w:bottom w:val="nil"/>
            </w:tcBorders>
          </w:tcPr>
          <w:p w14:paraId="3F6796F1" w14:textId="77777777" w:rsidR="00771912" w:rsidRDefault="00771912" w:rsidP="005D0F84">
            <w:pPr>
              <w:jc w:val="center"/>
            </w:pPr>
            <w:r>
              <w:t>Systematic</w:t>
            </w:r>
          </w:p>
        </w:tc>
        <w:tc>
          <w:tcPr>
            <w:tcW w:w="0" w:type="auto"/>
            <w:tcBorders>
              <w:top w:val="single" w:sz="4" w:space="0" w:color="auto"/>
              <w:bottom w:val="nil"/>
            </w:tcBorders>
          </w:tcPr>
          <w:p w14:paraId="0416618A" w14:textId="77777777" w:rsidR="00771912" w:rsidRDefault="00771912" w:rsidP="005D0F84">
            <w:pPr>
              <w:jc w:val="center"/>
            </w:pPr>
            <w:r>
              <w:t>Uncertainty in cosine response</w:t>
            </w:r>
          </w:p>
        </w:tc>
      </w:tr>
      <w:tr w:rsidR="00771912" w14:paraId="19542E40" w14:textId="77777777" w:rsidTr="005D0F84">
        <w:trPr>
          <w:trHeight w:val="270"/>
        </w:trPr>
        <w:tc>
          <w:tcPr>
            <w:tcW w:w="0" w:type="auto"/>
            <w:tcBorders>
              <w:top w:val="nil"/>
            </w:tcBorders>
          </w:tcPr>
          <w:p w14:paraId="02D9EF5E" w14:textId="77777777" w:rsidR="00771912" w:rsidRDefault="00771912" w:rsidP="00FD3124">
            <w:pPr>
              <w:jc w:val="center"/>
            </w:pPr>
            <w:r>
              <w:t>Levelling</w:t>
            </w:r>
          </w:p>
        </w:tc>
        <w:tc>
          <w:tcPr>
            <w:tcW w:w="0" w:type="auto"/>
            <w:tcBorders>
              <w:top w:val="nil"/>
            </w:tcBorders>
          </w:tcPr>
          <w:p w14:paraId="7DC0A0D1" w14:textId="77777777" w:rsidR="00771912" w:rsidRDefault="00771912" w:rsidP="005D0F84">
            <w:pPr>
              <w:jc w:val="center"/>
            </w:pPr>
            <m:oMathPara>
              <m:oMath>
                <m:r>
                  <w:rPr>
                    <w:rFonts w:ascii="Cambria Math" w:hAnsi="Cambria Math"/>
                  </w:rPr>
                  <m:t>u(level)</m:t>
                </m:r>
              </m:oMath>
            </m:oMathPara>
          </w:p>
        </w:tc>
        <w:tc>
          <w:tcPr>
            <w:tcW w:w="0" w:type="auto"/>
            <w:tcBorders>
              <w:top w:val="nil"/>
            </w:tcBorders>
          </w:tcPr>
          <w:p w14:paraId="61E6708E" w14:textId="77777777" w:rsidR="00771912" w:rsidRDefault="00771912" w:rsidP="005D0F84">
            <w:pPr>
              <w:jc w:val="center"/>
            </w:pPr>
            <w:r>
              <w:t>Usually random, unless mounted continually</w:t>
            </w:r>
          </w:p>
        </w:tc>
        <w:tc>
          <w:tcPr>
            <w:tcW w:w="0" w:type="auto"/>
            <w:tcBorders>
              <w:top w:val="nil"/>
            </w:tcBorders>
          </w:tcPr>
          <w:p w14:paraId="6078E774" w14:textId="77777777" w:rsidR="00771912" w:rsidRDefault="00771912" w:rsidP="005D0F84">
            <w:pPr>
              <w:jc w:val="center"/>
            </w:pPr>
            <w:r>
              <w:t>Zenith and azimuth uncertainties</w:t>
            </w:r>
          </w:p>
        </w:tc>
      </w:tr>
      <w:tr w:rsidR="00771912" w14:paraId="453DB94D" w14:textId="77777777" w:rsidTr="005D0F84">
        <w:trPr>
          <w:trHeight w:val="286"/>
        </w:trPr>
        <w:tc>
          <w:tcPr>
            <w:tcW w:w="0" w:type="auto"/>
          </w:tcPr>
          <w:p w14:paraId="4D7F104F" w14:textId="77777777" w:rsidR="00771912" w:rsidRDefault="00771912" w:rsidP="00FD3124">
            <w:pPr>
              <w:jc w:val="center"/>
            </w:pPr>
            <w:r>
              <w:t>Calibration</w:t>
            </w:r>
          </w:p>
        </w:tc>
        <w:tc>
          <w:tcPr>
            <w:tcW w:w="0" w:type="auto"/>
          </w:tcPr>
          <w:p w14:paraId="1EA19658" w14:textId="77777777" w:rsidR="00771912" w:rsidRDefault="00771912" w:rsidP="005D0F84">
            <w:pPr>
              <w:jc w:val="center"/>
            </w:pPr>
            <m:oMathPara>
              <m:oMath>
                <m:r>
                  <w:rPr>
                    <w:rFonts w:ascii="Cambria Math" w:hAnsi="Cambria Math"/>
                  </w:rPr>
                  <m:t>u(cal)</m:t>
                </m:r>
              </m:oMath>
            </m:oMathPara>
          </w:p>
        </w:tc>
        <w:tc>
          <w:tcPr>
            <w:tcW w:w="0" w:type="auto"/>
          </w:tcPr>
          <w:p w14:paraId="38117A2C" w14:textId="77777777" w:rsidR="00771912" w:rsidRDefault="00771912" w:rsidP="005D0F84">
            <w:pPr>
              <w:jc w:val="center"/>
            </w:pPr>
            <w:r>
              <w:t>Systematic</w:t>
            </w:r>
          </w:p>
        </w:tc>
        <w:tc>
          <w:tcPr>
            <w:tcW w:w="0" w:type="auto"/>
          </w:tcPr>
          <w:p w14:paraId="1188B969" w14:textId="77777777" w:rsidR="00771912" w:rsidRDefault="00771912" w:rsidP="005D0F84">
            <w:pPr>
              <w:jc w:val="center"/>
            </w:pPr>
            <w:r>
              <w:t>Uncertainty in the calibration coefficient</w:t>
            </w:r>
          </w:p>
        </w:tc>
      </w:tr>
      <w:tr w:rsidR="00771912" w14:paraId="7BEAAC45" w14:textId="77777777" w:rsidTr="005D0F84">
        <w:trPr>
          <w:trHeight w:val="286"/>
        </w:trPr>
        <w:tc>
          <w:tcPr>
            <w:tcW w:w="0" w:type="auto"/>
          </w:tcPr>
          <w:p w14:paraId="6BFA95BD" w14:textId="77777777" w:rsidR="00771912" w:rsidRDefault="00771912" w:rsidP="00FD3124">
            <w:pPr>
              <w:jc w:val="center"/>
            </w:pPr>
            <w:r>
              <w:t>Radiometric resolution</w:t>
            </w:r>
          </w:p>
        </w:tc>
        <w:tc>
          <w:tcPr>
            <w:tcW w:w="0" w:type="auto"/>
          </w:tcPr>
          <w:p w14:paraId="074F5A8A" w14:textId="77777777" w:rsidR="00771912" w:rsidRDefault="00771912" w:rsidP="005D0F84">
            <w:pPr>
              <w:jc w:val="center"/>
              <w:rPr>
                <w:rFonts w:ascii="Calibri" w:eastAsia="Calibri" w:hAnsi="Calibri" w:cs="Times New Roman"/>
              </w:rPr>
            </w:pPr>
            <m:oMathPara>
              <m:oMath>
                <m:r>
                  <w:rPr>
                    <w:rFonts w:ascii="Cambria Math" w:hAnsi="Cambria Math"/>
                  </w:rPr>
                  <m:t>u(rad)</m:t>
                </m:r>
              </m:oMath>
            </m:oMathPara>
          </w:p>
        </w:tc>
        <w:tc>
          <w:tcPr>
            <w:tcW w:w="0" w:type="auto"/>
          </w:tcPr>
          <w:p w14:paraId="0A5122BF" w14:textId="77777777" w:rsidR="00771912" w:rsidRDefault="00771912" w:rsidP="005D0F84">
            <w:pPr>
              <w:jc w:val="center"/>
            </w:pPr>
            <w:r>
              <w:t>Systematic</w:t>
            </w:r>
          </w:p>
        </w:tc>
        <w:tc>
          <w:tcPr>
            <w:tcW w:w="0" w:type="auto"/>
          </w:tcPr>
          <w:p w14:paraId="65AEBF38" w14:textId="77777777" w:rsidR="00771912" w:rsidRDefault="00771912" w:rsidP="005D0F84">
            <w:pPr>
              <w:jc w:val="center"/>
            </w:pPr>
            <w:r>
              <w:t>Uncertainty due to resolution of data logger to record voltage</w:t>
            </w:r>
          </w:p>
        </w:tc>
      </w:tr>
      <w:tr w:rsidR="00771912" w14:paraId="30E169F8" w14:textId="77777777" w:rsidTr="005D0F84">
        <w:trPr>
          <w:trHeight w:val="270"/>
        </w:trPr>
        <w:tc>
          <w:tcPr>
            <w:tcW w:w="0" w:type="auto"/>
          </w:tcPr>
          <w:p w14:paraId="74DFC69A" w14:textId="77777777" w:rsidR="00771912" w:rsidRDefault="00771912" w:rsidP="00FD3124">
            <w:pPr>
              <w:jc w:val="center"/>
            </w:pPr>
            <w:r>
              <w:t>Spectral</w:t>
            </w:r>
          </w:p>
        </w:tc>
        <w:tc>
          <w:tcPr>
            <w:tcW w:w="0" w:type="auto"/>
          </w:tcPr>
          <w:p w14:paraId="47D305BE" w14:textId="77777777" w:rsidR="00771912" w:rsidRDefault="00771912" w:rsidP="005D0F84">
            <w:pPr>
              <w:jc w:val="center"/>
            </w:pPr>
            <m:oMathPara>
              <m:oMath>
                <m:r>
                  <w:rPr>
                    <w:rFonts w:ascii="Cambria Math" w:hAnsi="Cambria Math"/>
                  </w:rPr>
                  <m:t>u(spec)</m:t>
                </m:r>
              </m:oMath>
            </m:oMathPara>
          </w:p>
        </w:tc>
        <w:tc>
          <w:tcPr>
            <w:tcW w:w="0" w:type="auto"/>
          </w:tcPr>
          <w:p w14:paraId="05903759" w14:textId="77777777" w:rsidR="00771912" w:rsidRDefault="00771912" w:rsidP="005D0F84">
            <w:pPr>
              <w:jc w:val="center"/>
            </w:pPr>
            <w:r>
              <w:t>Mostly systematic</w:t>
            </w:r>
          </w:p>
        </w:tc>
        <w:tc>
          <w:tcPr>
            <w:tcW w:w="0" w:type="auto"/>
          </w:tcPr>
          <w:p w14:paraId="08A80556" w14:textId="77777777" w:rsidR="00771912" w:rsidRDefault="00771912" w:rsidP="005D0F84">
            <w:pPr>
              <w:jc w:val="center"/>
            </w:pPr>
            <w:r>
              <w:t>Uncertainty in the spectral range/response not equating to true PAR response</w:t>
            </w:r>
          </w:p>
        </w:tc>
      </w:tr>
    </w:tbl>
    <w:p w14:paraId="6B9431EA" w14:textId="5AAB97AA" w:rsidR="00D00E3C" w:rsidRDefault="00D00E3C" w:rsidP="00F1023F">
      <w:pPr>
        <w:spacing w:line="360" w:lineRule="auto"/>
        <w:jc w:val="both"/>
      </w:pPr>
      <w:r>
        <w:lastRenderedPageBreak/>
        <w:t>The uncertainties associated with in</w:t>
      </w:r>
      <w:r w:rsidR="00C70376">
        <w:t xml:space="preserve"> </w:t>
      </w:r>
      <w:r>
        <w:t xml:space="preserve">situ measurements of FIPAR derived using multi-angular measurements of gap fraction are a function of several components, including angular response, instrument levelling, sampling, sky uniformity, and in the case of DHP, image classification and exposure settings (Table </w:t>
      </w:r>
      <w:r w:rsidR="00305B17">
        <w:t>4</w:t>
      </w:r>
      <w:r>
        <w:t>).</w:t>
      </w:r>
    </w:p>
    <w:p w14:paraId="2F4BE1A8" w14:textId="77777777" w:rsidR="00D00E3C" w:rsidRDefault="00D00E3C" w:rsidP="00D00E3C">
      <w:pPr>
        <w:jc w:val="both"/>
      </w:pPr>
    </w:p>
    <w:p w14:paraId="0D1CC96B" w14:textId="03E62ED3" w:rsidR="00D00E3C" w:rsidRDefault="00D00E3C" w:rsidP="00D00E3C">
      <w:pPr>
        <w:pStyle w:val="Caption"/>
        <w:keepNext/>
        <w:jc w:val="center"/>
      </w:pPr>
      <w:bookmarkStart w:id="157" w:name="_Ref2965640"/>
      <w:bookmarkStart w:id="158" w:name="_Toc37082491"/>
      <w:bookmarkStart w:id="159" w:name="_Toc41595357"/>
      <w:r>
        <w:t xml:space="preserve">Table </w:t>
      </w:r>
      <w:r>
        <w:rPr>
          <w:noProof/>
        </w:rPr>
        <w:fldChar w:fldCharType="begin"/>
      </w:r>
      <w:r>
        <w:rPr>
          <w:noProof/>
        </w:rPr>
        <w:instrText xml:space="preserve"> SEQ Table \* ARABIC </w:instrText>
      </w:r>
      <w:r>
        <w:rPr>
          <w:noProof/>
        </w:rPr>
        <w:fldChar w:fldCharType="separate"/>
      </w:r>
      <w:r w:rsidR="00105321">
        <w:rPr>
          <w:noProof/>
        </w:rPr>
        <w:t>4</w:t>
      </w:r>
      <w:r>
        <w:rPr>
          <w:noProof/>
        </w:rPr>
        <w:fldChar w:fldCharType="end"/>
      </w:r>
      <w:bookmarkEnd w:id="157"/>
      <w:r>
        <w:t>: Uncertainty sources associated with in</w:t>
      </w:r>
      <w:r w:rsidR="00C70376">
        <w:t xml:space="preserve"> </w:t>
      </w:r>
      <w:r>
        <w:t>situ measurements of FIPAR derived from multi-angular measurements of gap fraction.</w:t>
      </w:r>
      <w:bookmarkEnd w:id="158"/>
      <w:bookmarkEnd w:id="15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1098"/>
        <w:gridCol w:w="1652"/>
        <w:gridCol w:w="4671"/>
      </w:tblGrid>
      <w:tr w:rsidR="00D00E3C" w14:paraId="4EF66588" w14:textId="77777777" w:rsidTr="005D0F84">
        <w:tc>
          <w:tcPr>
            <w:tcW w:w="0" w:type="auto"/>
            <w:tcBorders>
              <w:top w:val="single" w:sz="4" w:space="0" w:color="auto"/>
              <w:bottom w:val="single" w:sz="4" w:space="0" w:color="auto"/>
            </w:tcBorders>
          </w:tcPr>
          <w:p w14:paraId="2467CA1E" w14:textId="77777777" w:rsidR="00D00E3C" w:rsidRPr="002971D1" w:rsidRDefault="00D00E3C" w:rsidP="00FD3124">
            <w:pPr>
              <w:jc w:val="center"/>
              <w:rPr>
                <w:b/>
                <w:bCs/>
              </w:rPr>
            </w:pPr>
            <w:r w:rsidRPr="002971D1">
              <w:rPr>
                <w:b/>
                <w:bCs/>
              </w:rPr>
              <w:t>Source</w:t>
            </w:r>
          </w:p>
        </w:tc>
        <w:tc>
          <w:tcPr>
            <w:tcW w:w="0" w:type="auto"/>
            <w:tcBorders>
              <w:top w:val="single" w:sz="4" w:space="0" w:color="auto"/>
              <w:bottom w:val="single" w:sz="4" w:space="0" w:color="auto"/>
            </w:tcBorders>
          </w:tcPr>
          <w:p w14:paraId="3CC195E0" w14:textId="77777777" w:rsidR="00D00E3C" w:rsidRPr="002971D1" w:rsidRDefault="00D00E3C" w:rsidP="005D0F84">
            <w:pPr>
              <w:jc w:val="center"/>
              <w:rPr>
                <w:b/>
                <w:bCs/>
              </w:rPr>
            </w:pPr>
            <w:r w:rsidRPr="002971D1">
              <w:rPr>
                <w:b/>
                <w:bCs/>
              </w:rPr>
              <w:t>Symbol</w:t>
            </w:r>
          </w:p>
        </w:tc>
        <w:tc>
          <w:tcPr>
            <w:tcW w:w="0" w:type="auto"/>
            <w:tcBorders>
              <w:top w:val="single" w:sz="4" w:space="0" w:color="auto"/>
              <w:bottom w:val="single" w:sz="4" w:space="0" w:color="auto"/>
            </w:tcBorders>
          </w:tcPr>
          <w:p w14:paraId="699F75F5" w14:textId="77777777" w:rsidR="00D00E3C" w:rsidRPr="002971D1" w:rsidRDefault="00D00E3C" w:rsidP="005D0F84">
            <w:pPr>
              <w:jc w:val="center"/>
              <w:rPr>
                <w:b/>
                <w:bCs/>
              </w:rPr>
            </w:pPr>
            <w:r w:rsidRPr="002971D1">
              <w:rPr>
                <w:b/>
                <w:bCs/>
              </w:rPr>
              <w:t>Type</w:t>
            </w:r>
          </w:p>
        </w:tc>
        <w:tc>
          <w:tcPr>
            <w:tcW w:w="0" w:type="auto"/>
            <w:tcBorders>
              <w:top w:val="single" w:sz="4" w:space="0" w:color="auto"/>
              <w:bottom w:val="single" w:sz="4" w:space="0" w:color="auto"/>
            </w:tcBorders>
          </w:tcPr>
          <w:p w14:paraId="257D3210" w14:textId="77777777" w:rsidR="00D00E3C" w:rsidRPr="002971D1" w:rsidRDefault="00D00E3C" w:rsidP="005D0F84">
            <w:pPr>
              <w:jc w:val="center"/>
              <w:rPr>
                <w:b/>
                <w:bCs/>
              </w:rPr>
            </w:pPr>
            <w:r w:rsidRPr="002971D1">
              <w:rPr>
                <w:b/>
                <w:bCs/>
              </w:rPr>
              <w:t>Description</w:t>
            </w:r>
          </w:p>
        </w:tc>
      </w:tr>
      <w:tr w:rsidR="00D00E3C" w14:paraId="159C08C2" w14:textId="77777777" w:rsidTr="005D0F84">
        <w:tc>
          <w:tcPr>
            <w:tcW w:w="0" w:type="auto"/>
            <w:tcBorders>
              <w:top w:val="single" w:sz="4" w:space="0" w:color="auto"/>
            </w:tcBorders>
          </w:tcPr>
          <w:p w14:paraId="5DA1E474" w14:textId="77777777" w:rsidR="00D00E3C" w:rsidRDefault="00D00E3C" w:rsidP="00FD3124">
            <w:pPr>
              <w:jc w:val="center"/>
            </w:pPr>
            <w:r>
              <w:t>Angular response</w:t>
            </w:r>
          </w:p>
        </w:tc>
        <w:tc>
          <w:tcPr>
            <w:tcW w:w="0" w:type="auto"/>
            <w:tcBorders>
              <w:top w:val="single" w:sz="4" w:space="0" w:color="auto"/>
            </w:tcBorders>
          </w:tcPr>
          <w:p w14:paraId="26C60C03" w14:textId="77777777" w:rsidR="00D00E3C" w:rsidRDefault="00D00E3C" w:rsidP="005D0F84">
            <w:pPr>
              <w:jc w:val="center"/>
            </w:pPr>
            <m:oMathPara>
              <m:oMath>
                <m:r>
                  <w:rPr>
                    <w:rFonts w:ascii="Cambria Math" w:hAnsi="Cambria Math"/>
                  </w:rPr>
                  <m:t>u(angle)</m:t>
                </m:r>
              </m:oMath>
            </m:oMathPara>
          </w:p>
        </w:tc>
        <w:tc>
          <w:tcPr>
            <w:tcW w:w="0" w:type="auto"/>
            <w:tcBorders>
              <w:top w:val="single" w:sz="4" w:space="0" w:color="auto"/>
            </w:tcBorders>
          </w:tcPr>
          <w:p w14:paraId="16C788B6" w14:textId="77777777" w:rsidR="00D00E3C" w:rsidRDefault="00D00E3C" w:rsidP="005D0F84">
            <w:pPr>
              <w:jc w:val="center"/>
            </w:pPr>
            <w:r>
              <w:t>Systematic</w:t>
            </w:r>
          </w:p>
        </w:tc>
        <w:tc>
          <w:tcPr>
            <w:tcW w:w="0" w:type="auto"/>
            <w:tcBorders>
              <w:top w:val="single" w:sz="4" w:space="0" w:color="auto"/>
            </w:tcBorders>
          </w:tcPr>
          <w:p w14:paraId="7FD47BBD" w14:textId="77777777" w:rsidR="00D00E3C" w:rsidRDefault="00D00E3C" w:rsidP="005D0F84">
            <w:pPr>
              <w:jc w:val="center"/>
            </w:pPr>
            <w:r>
              <w:t>Refers to lens angular calibration</w:t>
            </w:r>
          </w:p>
        </w:tc>
      </w:tr>
      <w:tr w:rsidR="00D00E3C" w14:paraId="5CBEDD5D" w14:textId="77777777" w:rsidTr="005D0F84">
        <w:tc>
          <w:tcPr>
            <w:tcW w:w="0" w:type="auto"/>
          </w:tcPr>
          <w:p w14:paraId="1E08C123" w14:textId="77777777" w:rsidR="00D00E3C" w:rsidRDefault="00D00E3C" w:rsidP="00FD3124">
            <w:pPr>
              <w:jc w:val="center"/>
            </w:pPr>
            <w:r>
              <w:t>Levelling</w:t>
            </w:r>
          </w:p>
        </w:tc>
        <w:tc>
          <w:tcPr>
            <w:tcW w:w="0" w:type="auto"/>
          </w:tcPr>
          <w:p w14:paraId="50E61A34" w14:textId="77777777" w:rsidR="00D00E3C" w:rsidRDefault="00D00E3C" w:rsidP="005D0F84">
            <w:pPr>
              <w:jc w:val="center"/>
            </w:pPr>
            <m:oMathPara>
              <m:oMath>
                <m:r>
                  <w:rPr>
                    <w:rFonts w:ascii="Cambria Math" w:hAnsi="Cambria Math"/>
                  </w:rPr>
                  <m:t>u(level)</m:t>
                </m:r>
              </m:oMath>
            </m:oMathPara>
          </w:p>
        </w:tc>
        <w:tc>
          <w:tcPr>
            <w:tcW w:w="0" w:type="auto"/>
          </w:tcPr>
          <w:p w14:paraId="26882977" w14:textId="77777777" w:rsidR="00D00E3C" w:rsidRDefault="00D00E3C" w:rsidP="005D0F84">
            <w:pPr>
              <w:jc w:val="center"/>
            </w:pPr>
            <w:r>
              <w:t>Random</w:t>
            </w:r>
          </w:p>
        </w:tc>
        <w:tc>
          <w:tcPr>
            <w:tcW w:w="0" w:type="auto"/>
          </w:tcPr>
          <w:p w14:paraId="50AB7546" w14:textId="77777777" w:rsidR="00D00E3C" w:rsidRDefault="00D00E3C" w:rsidP="005D0F84">
            <w:pPr>
              <w:jc w:val="center"/>
            </w:pPr>
            <w:r>
              <w:t>Zenith and azimuth uncertainties</w:t>
            </w:r>
          </w:p>
        </w:tc>
      </w:tr>
      <w:tr w:rsidR="00D00E3C" w14:paraId="1FEC9E86" w14:textId="77777777" w:rsidTr="005D0F84">
        <w:tc>
          <w:tcPr>
            <w:tcW w:w="0" w:type="auto"/>
          </w:tcPr>
          <w:p w14:paraId="213F17F2" w14:textId="77777777" w:rsidR="00D00E3C" w:rsidRDefault="00D00E3C" w:rsidP="00FD3124">
            <w:pPr>
              <w:jc w:val="center"/>
            </w:pPr>
            <w:r>
              <w:t>Sampling</w:t>
            </w:r>
          </w:p>
        </w:tc>
        <w:tc>
          <w:tcPr>
            <w:tcW w:w="0" w:type="auto"/>
          </w:tcPr>
          <w:p w14:paraId="0C866C9E" w14:textId="77777777" w:rsidR="00D00E3C" w:rsidRDefault="00D00E3C" w:rsidP="005D0F84">
            <w:pPr>
              <w:jc w:val="center"/>
            </w:pPr>
            <m:oMathPara>
              <m:oMath>
                <m:r>
                  <w:rPr>
                    <w:rFonts w:ascii="Cambria Math" w:hAnsi="Cambria Math"/>
                  </w:rPr>
                  <m:t>u(samp)</m:t>
                </m:r>
              </m:oMath>
            </m:oMathPara>
          </w:p>
        </w:tc>
        <w:tc>
          <w:tcPr>
            <w:tcW w:w="0" w:type="auto"/>
          </w:tcPr>
          <w:p w14:paraId="1C01AABD" w14:textId="77777777" w:rsidR="00D00E3C" w:rsidRDefault="00D00E3C" w:rsidP="005D0F84">
            <w:pPr>
              <w:jc w:val="center"/>
            </w:pPr>
            <w:r>
              <w:t>Random</w:t>
            </w:r>
          </w:p>
        </w:tc>
        <w:tc>
          <w:tcPr>
            <w:tcW w:w="0" w:type="auto"/>
          </w:tcPr>
          <w:p w14:paraId="06FFD720" w14:textId="77777777" w:rsidR="00D00E3C" w:rsidRDefault="00D00E3C" w:rsidP="005D0F84">
            <w:pPr>
              <w:jc w:val="center"/>
            </w:pPr>
            <w:r>
              <w:t>Uncertainty due to spatial heterogeneity and the sampling performed (i.e. variability in gap fraction)</w:t>
            </w:r>
          </w:p>
        </w:tc>
      </w:tr>
      <w:tr w:rsidR="00D00E3C" w14:paraId="33D2026D" w14:textId="77777777" w:rsidTr="005D0F84">
        <w:tc>
          <w:tcPr>
            <w:tcW w:w="0" w:type="auto"/>
          </w:tcPr>
          <w:p w14:paraId="538A417C" w14:textId="12B73BF7" w:rsidR="00D00E3C" w:rsidRDefault="00D00E3C" w:rsidP="00FD3124">
            <w:pPr>
              <w:jc w:val="center"/>
            </w:pPr>
            <w:r>
              <w:t>Image classification</w:t>
            </w:r>
          </w:p>
        </w:tc>
        <w:tc>
          <w:tcPr>
            <w:tcW w:w="0" w:type="auto"/>
          </w:tcPr>
          <w:p w14:paraId="79FF24D5" w14:textId="77777777" w:rsidR="00D00E3C" w:rsidRDefault="00D00E3C" w:rsidP="005D0F84">
            <w:pPr>
              <w:jc w:val="center"/>
            </w:pPr>
            <m:oMathPara>
              <m:oMath>
                <m:r>
                  <w:rPr>
                    <w:rFonts w:ascii="Cambria Math" w:hAnsi="Cambria Math"/>
                  </w:rPr>
                  <m:t>u(class)</m:t>
                </m:r>
              </m:oMath>
            </m:oMathPara>
          </w:p>
        </w:tc>
        <w:tc>
          <w:tcPr>
            <w:tcW w:w="0" w:type="auto"/>
          </w:tcPr>
          <w:p w14:paraId="4C350A12" w14:textId="77777777" w:rsidR="00D00E3C" w:rsidRDefault="00D00E3C" w:rsidP="005D0F84">
            <w:pPr>
              <w:jc w:val="center"/>
            </w:pPr>
            <w:r>
              <w:t>Random</w:t>
            </w:r>
          </w:p>
        </w:tc>
        <w:tc>
          <w:tcPr>
            <w:tcW w:w="0" w:type="auto"/>
          </w:tcPr>
          <w:p w14:paraId="29D036C6" w14:textId="77777777" w:rsidR="00D00E3C" w:rsidRDefault="00D00E3C" w:rsidP="005D0F84">
            <w:pPr>
              <w:jc w:val="center"/>
            </w:pPr>
            <w:r>
              <w:t>Uncertainty introduced by the operator during image classification in CAN-EYE</w:t>
            </w:r>
          </w:p>
        </w:tc>
      </w:tr>
      <w:tr w:rsidR="00D00E3C" w14:paraId="244F8804" w14:textId="77777777" w:rsidTr="005D0F84">
        <w:tc>
          <w:tcPr>
            <w:tcW w:w="0" w:type="auto"/>
          </w:tcPr>
          <w:p w14:paraId="1AB3E7CA" w14:textId="77777777" w:rsidR="00D00E3C" w:rsidRDefault="00D00E3C" w:rsidP="00FD3124">
            <w:pPr>
              <w:jc w:val="center"/>
            </w:pPr>
            <w:r>
              <w:t>Exposure settings</w:t>
            </w:r>
          </w:p>
        </w:tc>
        <w:tc>
          <w:tcPr>
            <w:tcW w:w="0" w:type="auto"/>
          </w:tcPr>
          <w:p w14:paraId="02D00235" w14:textId="77777777" w:rsidR="00D00E3C" w:rsidRDefault="00D00E3C" w:rsidP="005D0F84">
            <w:pPr>
              <w:jc w:val="center"/>
              <w:rPr>
                <w:rFonts w:ascii="Calibri" w:eastAsia="Calibri" w:hAnsi="Calibri" w:cs="Times New Roman"/>
              </w:rPr>
            </w:pPr>
            <m:oMathPara>
              <m:oMath>
                <m:r>
                  <w:rPr>
                    <w:rFonts w:ascii="Cambria Math" w:hAnsi="Cambria Math"/>
                  </w:rPr>
                  <m:t>u(expo)</m:t>
                </m:r>
              </m:oMath>
            </m:oMathPara>
          </w:p>
        </w:tc>
        <w:tc>
          <w:tcPr>
            <w:tcW w:w="0" w:type="auto"/>
          </w:tcPr>
          <w:p w14:paraId="00F16C39" w14:textId="77777777" w:rsidR="00D00E3C" w:rsidRDefault="00D00E3C" w:rsidP="005D0F84">
            <w:pPr>
              <w:jc w:val="center"/>
            </w:pPr>
            <w:r>
              <w:t>Systematic and random</w:t>
            </w:r>
          </w:p>
        </w:tc>
        <w:tc>
          <w:tcPr>
            <w:tcW w:w="0" w:type="auto"/>
          </w:tcPr>
          <w:p w14:paraId="48D16654" w14:textId="77777777" w:rsidR="00D00E3C" w:rsidRDefault="00D00E3C" w:rsidP="005D0F84">
            <w:pPr>
              <w:jc w:val="center"/>
            </w:pPr>
            <w:r>
              <w:t>Uncertainty in gap fraction due to DHP under or overexposure</w:t>
            </w:r>
          </w:p>
        </w:tc>
      </w:tr>
      <w:tr w:rsidR="00D00E3C" w14:paraId="783B3629" w14:textId="77777777" w:rsidTr="005D0F84">
        <w:tc>
          <w:tcPr>
            <w:tcW w:w="0" w:type="auto"/>
          </w:tcPr>
          <w:p w14:paraId="1A21D094" w14:textId="77777777" w:rsidR="00D00E3C" w:rsidRDefault="00D00E3C" w:rsidP="00FD3124">
            <w:pPr>
              <w:jc w:val="center"/>
            </w:pPr>
            <w:r>
              <w:t>Sky uniformity</w:t>
            </w:r>
          </w:p>
        </w:tc>
        <w:tc>
          <w:tcPr>
            <w:tcW w:w="0" w:type="auto"/>
          </w:tcPr>
          <w:p w14:paraId="1E4B906A" w14:textId="77777777" w:rsidR="00D00E3C" w:rsidRDefault="00D00E3C" w:rsidP="005D0F84">
            <w:pPr>
              <w:jc w:val="center"/>
            </w:pPr>
            <m:oMathPara>
              <m:oMath>
                <m:r>
                  <w:rPr>
                    <w:rFonts w:ascii="Cambria Math" w:hAnsi="Cambria Math"/>
                  </w:rPr>
                  <m:t>u(sky)</m:t>
                </m:r>
              </m:oMath>
            </m:oMathPara>
          </w:p>
        </w:tc>
        <w:tc>
          <w:tcPr>
            <w:tcW w:w="0" w:type="auto"/>
          </w:tcPr>
          <w:p w14:paraId="53EFF365" w14:textId="77777777" w:rsidR="00D00E3C" w:rsidRDefault="00D00E3C" w:rsidP="005D0F84">
            <w:pPr>
              <w:jc w:val="center"/>
            </w:pPr>
            <w:r>
              <w:t>Random</w:t>
            </w:r>
          </w:p>
        </w:tc>
        <w:tc>
          <w:tcPr>
            <w:tcW w:w="0" w:type="auto"/>
          </w:tcPr>
          <w:p w14:paraId="37594F12" w14:textId="77777777" w:rsidR="00D00E3C" w:rsidRDefault="00D00E3C" w:rsidP="005D0F84">
            <w:pPr>
              <w:jc w:val="center"/>
            </w:pPr>
            <w:r>
              <w:t>Uncertainty due to changes in illumination conditions during measurements</w:t>
            </w:r>
          </w:p>
        </w:tc>
      </w:tr>
    </w:tbl>
    <w:p w14:paraId="1299ADD2" w14:textId="57EE7A50" w:rsidR="00D00E3C" w:rsidRDefault="003C4600" w:rsidP="00D00E3C">
      <w:pPr>
        <w:spacing w:line="360" w:lineRule="auto"/>
        <w:jc w:val="both"/>
      </w:pPr>
      <w:r>
        <w:t xml:space="preserve"> </w:t>
      </w:r>
      <w:r w:rsidR="00D00E3C">
        <w:br/>
      </w:r>
      <w:r w:rsidR="00D00E3C">
        <w:br/>
      </w:r>
      <w:r w:rsidR="00D00E3C" w:rsidRPr="00CE4EA9">
        <w:t>Within the FRM4VEG project, the uncertainties due to instrument angular response are considered negligible.</w:t>
      </w:r>
      <w:r>
        <w:t xml:space="preserve"> </w:t>
      </w:r>
      <w:r w:rsidR="00D00E3C">
        <w:t>The influence of the LAI-22</w:t>
      </w:r>
      <w:r w:rsidR="00D00E3C" w:rsidRPr="00CE4EA9">
        <w:t xml:space="preserve">00C angular response was investigated using the calibration uncertainties provided </w:t>
      </w:r>
      <w:r w:rsidR="00D00E3C">
        <w:t>in</w:t>
      </w:r>
      <w:r w:rsidR="00D00E3C" w:rsidRPr="00CE4EA9">
        <w:t xml:space="preserve"> the manufacturer</w:t>
      </w:r>
      <w:r w:rsidR="00D00E3C">
        <w:t>’s calibration certificate</w:t>
      </w:r>
      <w:r w:rsidR="00D00E3C" w:rsidRPr="00CE4EA9">
        <w:t>.</w:t>
      </w:r>
      <w:r>
        <w:t xml:space="preserve"> </w:t>
      </w:r>
      <w:r w:rsidR="00D00E3C" w:rsidRPr="00CE4EA9">
        <w:t>When propagated through the measurement equation, the contribution of these te</w:t>
      </w:r>
      <w:r w:rsidR="00D00E3C">
        <w:t>rms to the combined</w:t>
      </w:r>
      <w:r w:rsidR="00D00E3C" w:rsidRPr="00CE4EA9">
        <w:t xml:space="preserve"> </w:t>
      </w:r>
      <w:r w:rsidR="00D00E3C">
        <w:t>standard</w:t>
      </w:r>
      <w:r w:rsidR="00D00E3C" w:rsidRPr="00CE4EA9">
        <w:t xml:space="preserve"> uncertainty was less than 0.01.</w:t>
      </w:r>
      <w:r>
        <w:t xml:space="preserve"> </w:t>
      </w:r>
      <w:r w:rsidR="00D00E3C" w:rsidRPr="00CE4EA9">
        <w:t>Like the LAI-2200C angular calibration (Section</w:t>
      </w:r>
      <w:r w:rsidR="00F1023F">
        <w:t xml:space="preserve"> 4.2</w:t>
      </w:r>
      <w:r w:rsidR="00D00E3C" w:rsidRPr="00CE4EA9">
        <w:t xml:space="preserve">), the DHP calibration procedures described in Section </w:t>
      </w:r>
      <w:r w:rsidR="00F1023F">
        <w:t>4.3</w:t>
      </w:r>
      <w:r w:rsidR="00D00E3C" w:rsidRPr="00CE4EA9">
        <w:t xml:space="preserve"> ensure accurate determination of the optical centre and lens projection function.</w:t>
      </w:r>
    </w:p>
    <w:p w14:paraId="2CAE0C8F" w14:textId="7F71B68D" w:rsidR="00D00E3C" w:rsidRDefault="00D00E3C" w:rsidP="00D00E3C">
      <w:pPr>
        <w:spacing w:line="360" w:lineRule="auto"/>
        <w:jc w:val="both"/>
      </w:pPr>
      <w:r>
        <w:t>Unlike the other components, the uncertainty due to instrument levelling is assessed using ‘Type B’ evaluation, based on previous analyses to establish benchmark uncertainty values.</w:t>
      </w:r>
      <w:r w:rsidR="003C4600">
        <w:t xml:space="preserve"> </w:t>
      </w:r>
      <w:r>
        <w:t xml:space="preserve">For example, in terms of instrument levelling, a relative standard uncertainty of approximately 1% is quoted by </w:t>
      </w:r>
      <w:r>
        <w:fldChar w:fldCharType="begin" w:fldLock="1"/>
      </w:r>
      <w:r w:rsidR="002A5CA0">
        <w:instrText>ADDIN CSL_CITATION {"citationItems":[{"id":"ITEM-1","itemData":{"DOI":"10.1016/j.agrformet.2017.02.004","ISSN":"01681923","author":[{"dropping-particle":"","family":"Origo","given":"Niall","non-dropping-particle":"","parse-names":false,"suffix":""},{"dropping-particle":"","family":"Calders","given":"Kim","non-dropping-particle":"","parse-names":false,"suffix":""},{"dropping-particle":"","family":"Nightingale","given":"Joanne","non-dropping-particle":"","parse-names":false,"suffix":""},{"dropping-particle":"","family":"Disney","given":"Mathias","non-dropping-particle":"","parse-names":false,"suffix":""}],"container-title":"Agricultural and Forest Meteorology","id":"ITEM-1","issued":{"date-parts":[["2017"]]},"page":"143-149","title":"Influence of levelling technique on the retrieval of canopy structural parameters from digital hemispherical photography","type":"article-journal","volume":"237-238"},"uris":["http://www.mendeley.com/documents/?uuid=e899af52-cba1-415e-8f91-5783d8dd8267"]}],"mendeley":{"formattedCitation":"[32]","plainTextFormattedCitation":"[32]","previouslyFormattedCitation":"[32]"},"properties":{"noteIndex":0},"schema":"https://github.com/citation-style-language/schema/raw/master/csl-citation.json"}</w:instrText>
      </w:r>
      <w:r>
        <w:fldChar w:fldCharType="separate"/>
      </w:r>
      <w:r w:rsidR="002A5CA0" w:rsidRPr="002A5CA0">
        <w:rPr>
          <w:noProof/>
        </w:rPr>
        <w:t>[32]</w:t>
      </w:r>
      <w:r>
        <w:fldChar w:fldCharType="end"/>
      </w:r>
      <w:r>
        <w:t xml:space="preserve"> in the case of gap fraction derived using hand-levelled DHP.</w:t>
      </w:r>
      <w:r w:rsidR="003C4600">
        <w:t xml:space="preserve"> </w:t>
      </w:r>
      <w:r>
        <w:t>This value is also considered appropriate for the LAI-2200C, given that it is also hand-levelled and operates using similar principles.</w:t>
      </w:r>
    </w:p>
    <w:p w14:paraId="2C24976D" w14:textId="6E7A8BF8" w:rsidR="00D00E3C" w:rsidRDefault="00D00E3C" w:rsidP="00D00E3C">
      <w:pPr>
        <w:spacing w:line="360" w:lineRule="auto"/>
        <w:jc w:val="both"/>
      </w:pPr>
      <w:r>
        <w:t>The uncertainties due to sampling are assessed for each elementary sampling unit (ESU) as the variability in gap fraction, using ‘Type A’ evaluation.</w:t>
      </w:r>
      <w:r w:rsidR="003C4600">
        <w:t xml:space="preserve"> </w:t>
      </w:r>
      <w:r>
        <w:t>In the case of the LAI-2200C, the instrument reports the standard deviation of the ‘contact number’, which is calculated for each zenith ring over all measurements performed within an ESU.</w:t>
      </w:r>
      <w:r w:rsidR="003C4600">
        <w:t xml:space="preserve"> </w:t>
      </w:r>
      <w:r>
        <w:t xml:space="preserve">From this, the standard error of the mean gap fraction </w:t>
      </w:r>
      <w:r>
        <w:lastRenderedPageBreak/>
        <w:t>can be determined and used to derive the resulting standard uncertainty in FIPAR.</w:t>
      </w:r>
      <w:r w:rsidR="003C4600">
        <w:t xml:space="preserve"> </w:t>
      </w:r>
      <w:r>
        <w:t xml:space="preserve">In the case of DHP, variability in gap fraction can be considered at two distinct scales: </w:t>
      </w:r>
    </w:p>
    <w:p w14:paraId="12D20366" w14:textId="77777777" w:rsidR="00D00E3C" w:rsidRDefault="00D00E3C" w:rsidP="00D00E3C">
      <w:pPr>
        <w:pStyle w:val="ListParagraph"/>
        <w:numPr>
          <w:ilvl w:val="0"/>
          <w:numId w:val="5"/>
        </w:numPr>
        <w:spacing w:line="360" w:lineRule="auto"/>
        <w:jc w:val="both"/>
      </w:pPr>
      <w:r>
        <w:t>Within image (computed as the standard error of the mean in each zenith ring over all azimuth cells within an image)</w:t>
      </w:r>
    </w:p>
    <w:p w14:paraId="1DD90885" w14:textId="77777777" w:rsidR="00D00E3C" w:rsidRDefault="00D00E3C" w:rsidP="00D00E3C">
      <w:pPr>
        <w:pStyle w:val="ListParagraph"/>
        <w:numPr>
          <w:ilvl w:val="0"/>
          <w:numId w:val="5"/>
        </w:numPr>
        <w:spacing w:line="360" w:lineRule="auto"/>
        <w:jc w:val="both"/>
      </w:pPr>
      <w:r>
        <w:t>Between image (computed as the standard error of the mean in each zenith ring over all images)</w:t>
      </w:r>
    </w:p>
    <w:p w14:paraId="2A288D17" w14:textId="77777777" w:rsidR="00D00E3C" w:rsidRDefault="00D00E3C" w:rsidP="00D00E3C">
      <w:pPr>
        <w:spacing w:line="360" w:lineRule="auto"/>
        <w:jc w:val="both"/>
      </w:pPr>
      <w:r>
        <w:t>In this case, the two terms are added in quadrature, such that</w:t>
      </w:r>
    </w:p>
    <w:p w14:paraId="70B97CBA" w14:textId="77777777" w:rsidR="00D00E3C" w:rsidRPr="00FC13E8" w:rsidRDefault="00D00E3C" w:rsidP="00D00E3C">
      <w:pPr>
        <w:spacing w:line="360" w:lineRule="auto"/>
        <w:jc w:val="both"/>
        <w:rPr>
          <w:rFonts w:eastAsiaTheme="minorEastAsia"/>
        </w:rPr>
      </w:pPr>
      <m:oMathPara>
        <m:oMath>
          <m:r>
            <m:rPr>
              <m:sty m:val="p"/>
            </m:rPr>
            <w:rPr>
              <w:rFonts w:ascii="Cambria Math" w:hAnsi="Cambria Math"/>
            </w:rPr>
            <w:br/>
          </m:r>
        </m:oMath>
        <m:oMath>
          <m:r>
            <w:rPr>
              <w:rFonts w:ascii="Cambria Math" w:hAnsi="Cambria Math"/>
            </w:rPr>
            <m:t>u</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d>
          <m:r>
            <w:rPr>
              <w:rFonts w:ascii="Cambria Math" w:hAnsi="Cambria Math"/>
            </w:rPr>
            <m:t>=</m:t>
          </m:r>
          <m:rad>
            <m:radPr>
              <m:degHide m:val="1"/>
              <m:ctrlPr>
                <w:rPr>
                  <w:rFonts w:ascii="Cambria Math" w:hAnsi="Cambria Math"/>
                  <w:i/>
                </w:rPr>
              </m:ctrlPr>
            </m:radPr>
            <m:deg/>
            <m:e>
              <m:r>
                <w:rPr>
                  <w:rFonts w:ascii="Cambria Math" w:hAnsi="Cambria Math"/>
                </w:rPr>
                <m:t>u</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sub>
                      <m:r>
                        <w:rPr>
                          <w:rFonts w:ascii="Cambria Math" w:hAnsi="Cambria Math"/>
                        </w:rPr>
                        <m:t>within</m:t>
                      </m:r>
                    </m:sub>
                  </m:sSub>
                  <m:r>
                    <w:rPr>
                      <w:rFonts w:ascii="Cambria Math" w:hAnsi="Cambria Math"/>
                    </w:rPr>
                    <m:t>]</m:t>
                  </m:r>
                </m:e>
                <m:sup>
                  <m:r>
                    <w:rPr>
                      <w:rFonts w:ascii="Cambria Math" w:hAnsi="Cambria Math"/>
                    </w:rPr>
                    <m:t>2</m:t>
                  </m:r>
                </m:sup>
              </m:sSup>
              <m:r>
                <w:rPr>
                  <w:rFonts w:ascii="Cambria Math" w:hAnsi="Cambria Math"/>
                </w:rPr>
                <m:t>+u</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sub>
                      <m:r>
                        <w:rPr>
                          <w:rFonts w:ascii="Cambria Math" w:hAnsi="Cambria Math"/>
                        </w:rPr>
                        <m:t>between</m:t>
                      </m:r>
                    </m:sub>
                  </m:sSub>
                  <m:r>
                    <w:rPr>
                      <w:rFonts w:ascii="Cambria Math" w:hAnsi="Cambria Math"/>
                    </w:rPr>
                    <m:t>]</m:t>
                  </m:r>
                </m:e>
                <m:sup>
                  <m:r>
                    <w:rPr>
                      <w:rFonts w:ascii="Cambria Math" w:hAnsi="Cambria Math"/>
                    </w:rPr>
                    <m:t>2</m:t>
                  </m:r>
                </m:sup>
              </m:sSup>
            </m:e>
          </m:rad>
          <m:r>
            <m:rPr>
              <m:sty m:val="p"/>
            </m:rPr>
            <w:rPr>
              <w:rFonts w:eastAsiaTheme="minorEastAsia"/>
            </w:rPr>
            <w:br/>
          </m:r>
        </m:oMath>
      </m:oMathPara>
    </w:p>
    <w:p w14:paraId="16F2CF74" w14:textId="77777777" w:rsidR="00D00E3C" w:rsidRPr="00AE384A" w:rsidRDefault="00D00E3C" w:rsidP="00D00E3C">
      <w:pPr>
        <w:spacing w:line="360" w:lineRule="auto"/>
        <w:jc w:val="both"/>
        <w:rPr>
          <w:rFonts w:eastAsiaTheme="minorEastAsia"/>
        </w:rPr>
      </w:pPr>
      <w:r>
        <w:rPr>
          <w:rFonts w:eastAsiaTheme="minorEastAsia"/>
        </w:rPr>
        <w:t xml:space="preserve">where </w:t>
      </w:r>
      <m:oMath>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e>
          <m:sub>
            <m:r>
              <w:rPr>
                <w:rFonts w:ascii="Cambria Math" w:eastAsiaTheme="minorEastAsia" w:hAnsi="Cambria Math"/>
              </w:rPr>
              <m:t>within</m:t>
            </m:r>
          </m:sub>
        </m:sSub>
        <m:r>
          <w:rPr>
            <w:rFonts w:ascii="Cambria Math" w:eastAsiaTheme="minorEastAsia" w:hAnsi="Cambria Math"/>
          </w:rPr>
          <m:t>]</m:t>
        </m:r>
      </m:oMath>
      <w:r>
        <w:rPr>
          <w:rFonts w:eastAsiaTheme="minorEastAsia"/>
        </w:rPr>
        <w:t xml:space="preserve"> and </w:t>
      </w:r>
      <m:oMath>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e>
          <m:sub>
            <m:r>
              <w:rPr>
                <w:rFonts w:ascii="Cambria Math" w:eastAsiaTheme="minorEastAsia" w:hAnsi="Cambria Math"/>
              </w:rPr>
              <m:t>between</m:t>
            </m:r>
          </m:sub>
        </m:sSub>
        <m:r>
          <w:rPr>
            <w:rFonts w:ascii="Cambria Math" w:eastAsiaTheme="minorEastAsia" w:hAnsi="Cambria Math"/>
          </w:rPr>
          <m:t>]</m:t>
        </m:r>
      </m:oMath>
      <w:r>
        <w:rPr>
          <w:rFonts w:eastAsiaTheme="minorEastAsia"/>
        </w:rPr>
        <w:t xml:space="preserve"> are the within and between image components for zenith ring </w:t>
      </w:r>
      <m:oMath>
        <m:r>
          <w:rPr>
            <w:rFonts w:ascii="Cambria Math" w:eastAsiaTheme="minorEastAsia" w:hAnsi="Cambria Math"/>
          </w:rPr>
          <m:t>i</m:t>
        </m:r>
      </m:oMath>
      <w:r>
        <w:rPr>
          <w:rFonts w:eastAsiaTheme="minorEastAsia"/>
        </w:rPr>
        <w:t>, respectively.</w:t>
      </w:r>
    </w:p>
    <w:p w14:paraId="7C0D4D8F" w14:textId="7D0FAB05" w:rsidR="00D00E3C" w:rsidRDefault="00D00E3C" w:rsidP="00D00E3C">
      <w:pPr>
        <w:spacing w:line="360" w:lineRule="auto"/>
        <w:jc w:val="both"/>
      </w:pPr>
      <w:r>
        <w:t>In terms of image classification uncertainty, within the project, a series of experiments were carried out on a subset of ESUs to assess the influence of different operator decisions on the classification of green and soil/sky elements.</w:t>
      </w:r>
      <w:r w:rsidR="003C4600">
        <w:t xml:space="preserve"> </w:t>
      </w:r>
      <w:r>
        <w:t>As this classification directly determines gap fraction, which is then used to derive the biophysical variables of interest, the operator’s decisions can result in uncertainties in the final output.</w:t>
      </w:r>
      <w:r w:rsidR="003C4600">
        <w:t xml:space="preserve"> </w:t>
      </w:r>
      <w:r>
        <w:t xml:space="preserve">Eleven ESUs of different vegetation types were selected from the </w:t>
      </w:r>
      <w:proofErr w:type="spellStart"/>
      <w:r>
        <w:t>Barrax</w:t>
      </w:r>
      <w:proofErr w:type="spellEnd"/>
      <w:r>
        <w:t xml:space="preserve"> – Las </w:t>
      </w:r>
      <w:proofErr w:type="spellStart"/>
      <w:r>
        <w:t>Tiesas</w:t>
      </w:r>
      <w:proofErr w:type="spellEnd"/>
      <w:r>
        <w:t xml:space="preserve"> campaign, whilst five ESUs were selected from the </w:t>
      </w:r>
      <w:proofErr w:type="spellStart"/>
      <w:r>
        <w:t>Wytham</w:t>
      </w:r>
      <w:proofErr w:type="spellEnd"/>
      <w:r>
        <w:t xml:space="preserve"> Woods campaign.</w:t>
      </w:r>
      <w:r w:rsidR="003C4600">
        <w:t xml:space="preserve"> </w:t>
      </w:r>
      <w:r>
        <w:t>The images from each ESU were then classified by three different operators.</w:t>
      </w:r>
      <w:r w:rsidR="003C4600">
        <w:t xml:space="preserve"> </w:t>
      </w:r>
      <w:r>
        <w:t>These experiments yielded a relative standard uncertainty of 4% for FIPAR.</w:t>
      </w:r>
    </w:p>
    <w:p w14:paraId="25655E89" w14:textId="5CCEFB6F" w:rsidR="00D00E3C" w:rsidRDefault="00D00E3C" w:rsidP="00D00E3C">
      <w:pPr>
        <w:spacing w:line="360" w:lineRule="auto"/>
        <w:jc w:val="both"/>
      </w:pPr>
      <w:r>
        <w:t>The impact of other terms, including exposure and sky uniformity, was</w:t>
      </w:r>
      <w:r w:rsidRPr="006D411A">
        <w:t xml:space="preserve"> not </w:t>
      </w:r>
      <w:r>
        <w:t>explicitly assessed during the</w:t>
      </w:r>
      <w:r w:rsidRPr="006D411A">
        <w:t xml:space="preserve"> project.</w:t>
      </w:r>
      <w:r w:rsidR="003C4600">
        <w:t xml:space="preserve"> </w:t>
      </w:r>
      <w:r>
        <w:t>E</w:t>
      </w:r>
      <w:r w:rsidRPr="006D411A">
        <w:t>xposure</w:t>
      </w:r>
      <w:r>
        <w:t xml:space="preserve"> </w:t>
      </w:r>
      <w:r w:rsidRPr="006D411A">
        <w:t>is define</w:t>
      </w:r>
      <w:r>
        <w:t>d as the amount of light</w:t>
      </w:r>
      <w:r w:rsidRPr="006D411A">
        <w:t xml:space="preserve"> allowed to fall onto the </w:t>
      </w:r>
      <w:r>
        <w:t xml:space="preserve">imaging </w:t>
      </w:r>
      <w:r w:rsidRPr="006D411A">
        <w:t>sensor</w:t>
      </w:r>
      <w:r>
        <w:t xml:space="preserve"> (measured in lux seconds)</w:t>
      </w:r>
      <w:r w:rsidRPr="006D411A">
        <w:t xml:space="preserve"> and </w:t>
      </w:r>
      <w:r>
        <w:t xml:space="preserve">depends on </w:t>
      </w:r>
      <w:r w:rsidRPr="006D411A">
        <w:t>aperture and shutter speed</w:t>
      </w:r>
      <w:r>
        <w:t xml:space="preserve"> selected by the operator (or by the camera when automatic exposure is used)</w:t>
      </w:r>
      <w:r w:rsidRPr="006D411A">
        <w:t>.</w:t>
      </w:r>
      <w:r w:rsidR="003C4600">
        <w:t xml:space="preserve"> </w:t>
      </w:r>
      <w:r>
        <w:t xml:space="preserve">Several studies have emphasised the importance of correct exposure settings for upwards facing DHP </w:t>
      </w:r>
      <w:r>
        <w:fldChar w:fldCharType="begin" w:fldLock="1"/>
      </w:r>
      <w:r w:rsidR="002A5CA0">
        <w:instrText>ADDIN CSL_CITATION {"citationItems":[{"id":"ITEM-1","itemData":{"DOI":"10.1016/j.agrformet.2005.09.009","ISBN":"0168-1923","ISSN":"01681923","PMID":"16678191","author":[{"dropping-particle":"","family":"Zhang","given":"Yongqin","non-dropping-particle":"","parse-names":false,"suffix":""},{"dropping-particle":"","family":"Chen","given":"Jing M","non-dropping-particle":"","parse-names":false,"suffix":""},{"dropping-particle":"","family":"Miller","given":"John R","non-dropping-particle":"","parse-names":false,"suffix":""}],"container-title":"Agricultural and Forest Meteorology","id":"ITEM-1","issue":"1-4","issued":{"date-parts":[["2005"]]},"page":"166-181","title":"Determining digital hemispherical photograph exposure for leaf area index estimation","type":"article-journal","volume":"133"},"uris":["http://www.mendeley.com/documents/?uuid=8859a92e-a356-49e0-882e-c6ddad869909"]}],"mendeley":{"formattedCitation":"[33]","plainTextFormattedCitation":"[33]","previouslyFormattedCitation":"[33]"},"properties":{"noteIndex":0},"schema":"https://github.com/citation-style-language/schema/raw/master/csl-citation.json"}</w:instrText>
      </w:r>
      <w:r>
        <w:fldChar w:fldCharType="separate"/>
      </w:r>
      <w:r w:rsidR="002A5CA0" w:rsidRPr="002A5CA0">
        <w:rPr>
          <w:noProof/>
        </w:rPr>
        <w:t>[33]</w:t>
      </w:r>
      <w:r>
        <w:fldChar w:fldCharType="end"/>
      </w:r>
      <w:r w:rsidR="009611AE">
        <w:t xml:space="preserve">, </w:t>
      </w:r>
      <w:r>
        <w:fldChar w:fldCharType="begin" w:fldLock="1"/>
      </w:r>
      <w:r w:rsidR="002A5CA0">
        <w:instrText>ADDIN CSL_CITATION {"citationItems":[{"id":"ITEM-1","itemData":{"DOI":"10.1016/0168-1923(91)90108-3","ISBN":"0168-1923","ISSN":"01681923","PMID":"865","author":[{"dropping-particle":"","family":"Chen","given":"J M","non-dropping-particle":"","parse-names":false,"suffix":""},{"dropping-particle":"","family":"Black","given":"T A","non-dropping-particle":"","parse-names":false,"suffix":""},{"dropping-particle":"","family":"Adams","given":"R S","non-dropping-particle":"","parse-names":false,"suffix":""}],"container-title":"Agricultural and Forest Meteorology","id":"ITEM-1","issue":"1-2","issued":{"date-parts":[["1991"]]},"page":"129-143","title":"Evaluation of hemispherical photography for determining plant area index and geometry of a forest stand","type":"article-journal","volume":"56"},"uris":["http://www.mendeley.com/documents/?uuid=425c0747-06ec-4b4c-846e-09aa15f5346c"]}],"mendeley":{"formattedCitation":"[34]","plainTextFormattedCitation":"[34]","previouslyFormattedCitation":"[34]"},"properties":{"noteIndex":0},"schema":"https://github.com/citation-style-language/schema/raw/master/csl-citation.json"}</w:instrText>
      </w:r>
      <w:r>
        <w:fldChar w:fldCharType="separate"/>
      </w:r>
      <w:r w:rsidR="002A5CA0" w:rsidRPr="002A5CA0">
        <w:rPr>
          <w:noProof/>
        </w:rPr>
        <w:t>[34]</w:t>
      </w:r>
      <w:r>
        <w:fldChar w:fldCharType="end"/>
      </w:r>
      <w:r>
        <w:t>.</w:t>
      </w:r>
      <w:r w:rsidR="003C4600">
        <w:t xml:space="preserve"> </w:t>
      </w:r>
      <w:r>
        <w:t>If automatic exposure is used,</w:t>
      </w:r>
      <w:r w:rsidRPr="008B50E6">
        <w:t xml:space="preserve"> photograph</w:t>
      </w:r>
      <w:r>
        <w:t>s are</w:t>
      </w:r>
      <w:r w:rsidRPr="008B50E6">
        <w:t xml:space="preserve"> typically overexposed, </w:t>
      </w:r>
      <w:r>
        <w:t xml:space="preserve">causing gaps in the canopy to appear larger </w:t>
      </w:r>
      <w:proofErr w:type="gramStart"/>
      <w:r>
        <w:t>than in reality, and</w:t>
      </w:r>
      <w:proofErr w:type="gramEnd"/>
      <w:r>
        <w:t xml:space="preserve"> leading to an overestimation of gap fraction.</w:t>
      </w:r>
      <w:r w:rsidR="003C4600">
        <w:t xml:space="preserve"> </w:t>
      </w:r>
    </w:p>
    <w:p w14:paraId="3CE883B6" w14:textId="130678E3" w:rsidR="00D00E3C" w:rsidRDefault="00D00E3C" w:rsidP="00D00E3C">
      <w:pPr>
        <w:spacing w:line="360" w:lineRule="auto"/>
        <w:jc w:val="both"/>
      </w:pPr>
      <w:r>
        <w:t>Various protocols to determine optimum exposure settings have been proposed in the scientific literature.</w:t>
      </w:r>
      <w:r w:rsidR="003C4600">
        <w:t xml:space="preserve"> </w:t>
      </w:r>
      <w:r>
        <w:t xml:space="preserve">These include overexposing the image by 2 stops relative to a clear sky reference measured using automatic exposure, acquiring a test image and examining its histogram to determine the appropriate settings </w:t>
      </w:r>
      <w:r>
        <w:fldChar w:fldCharType="begin" w:fldLock="1"/>
      </w:r>
      <w:r w:rsidR="002A5CA0">
        <w:instrText>ADDIN CSL_CITATION {"citationItems":[{"id":"ITEM-1","itemData":{"DOI":"10.3832/ifor0957-006","ISBN":"1824-0119","ISSN":"19717458","PMID":"957","author":[{"dropping-particle":"","family":"Beckschäfer","given":"Philip","non-dropping-particle":"","parse-names":false,"suffix":""},{"dropping-particle":"","family":"Seidel","given":"Dominik","non-dropping-particle":"","parse-names":false,"suffix":""},{"dropping-particle":"","family":"Kleinn","given":"Christoph","non-dropping-particle":"","parse-names":false,"suffix":""},{"dropping-particle":"","family":"Xu","given":"Jianchu","non-dropping-particle":"","parse-names":false,"suffix":""}],"container-title":"iForest - Biogeosciences and Forestry","id":"ITEM-1","issue":"4","issued":{"date-parts":[["2013"]]},"page":"228-237","title":"On the exposure of hemispherical photographs in forests","type":"article-journal","volume":"6"},"uris":["http://www.mendeley.com/documents/?uuid=9da82507-76d8-4385-8fd7-60dfe675d862"]}],"mendeley":{"formattedCitation":"[35]","plainTextFormattedCitation":"[35]","previouslyFormattedCitation":"[35]"},"properties":{"noteIndex":0},"schema":"https://github.com/citation-style-language/schema/raw/master/csl-citation.json"}</w:instrText>
      </w:r>
      <w:r>
        <w:fldChar w:fldCharType="separate"/>
      </w:r>
      <w:r w:rsidR="002A5CA0" w:rsidRPr="002A5CA0">
        <w:rPr>
          <w:noProof/>
        </w:rPr>
        <w:t>[35]</w:t>
      </w:r>
      <w:r>
        <w:fldChar w:fldCharType="end"/>
      </w:r>
      <w:r>
        <w:t xml:space="preserve">, or underexposing the image relative to in-canopy automatic exposure by varying degrees </w:t>
      </w:r>
      <w:r w:rsidR="00485E1A">
        <w:fldChar w:fldCharType="begin" w:fldLock="1"/>
      </w:r>
      <w:r w:rsidR="002A5CA0">
        <w:instrText>ADDIN CSL_CITATION {"citationItems":[{"id":"ITEM-1","itemData":{"DOI":"10.1016/0168-1923(91)90108-3","ISBN":"0168-1923","ISSN":"01681923","PMID":"865","author":[{"dropping-particle":"","family":"Chen","given":"J M","non-dropping-particle":"","parse-names":false,"suffix":""},{"dropping-particle":"","family":"Black","given":"T A","non-dropping-particle":"","parse-names":false,"suffix":""},{"dropping-particle":"","family":"Adams","given":"R S","non-dropping-particle":"","parse-names":false,"suffix":""}],"container-title":"Agricultural and Forest Meteorology","id":"ITEM-1","issue":"1-2","issued":{"date-parts":[["1991"]]},"page":"129-143","title":"Evaluation of hemispherical photography for determining plant area index and geometry of a forest stand","type":"article-journal","volume":"56"},"uris":["http://www.mendeley.com/documents/?uuid=425c0747-06ec-4b4c-846e-09aa15f5346c"]}],"mendeley":{"formattedCitation":"[34]","plainTextFormattedCitation":"[34]","previouslyFormattedCitation":"[34]"},"properties":{"noteIndex":0},"schema":"https://github.com/citation-style-language/schema/raw/master/csl-citation.json"}</w:instrText>
      </w:r>
      <w:r w:rsidR="00485E1A">
        <w:fldChar w:fldCharType="separate"/>
      </w:r>
      <w:r w:rsidR="002A5CA0" w:rsidRPr="002A5CA0">
        <w:rPr>
          <w:noProof/>
        </w:rPr>
        <w:t>[34]</w:t>
      </w:r>
      <w:r w:rsidR="00485E1A">
        <w:fldChar w:fldCharType="end"/>
      </w:r>
      <w:r w:rsidR="00485E1A">
        <w:t xml:space="preserve">, </w:t>
      </w:r>
      <w:r>
        <w:fldChar w:fldCharType="begin" w:fldLock="1"/>
      </w:r>
      <w:r w:rsidR="002A5CA0">
        <w:instrText>ADDIN CSL_CITATION {"citationItems":[{"id":"ITEM-1","itemData":{"DOI":"10.1016/j.agrformet.2014.05.014","ISBN":"0168-1923","ISSN":"01681923","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Meteorology","id":"ITEM-1","issued":{"date-parts":[["2014"]]},"page":"244-253","title":"Digital canopy photography: Exposed and in the raw","type":"article-journal","volume":"197"},"uris":["http://www.mendeley.com/documents/?uuid=538562b7-86f7-4ac1-af77-f2657c5e2ff1"]}],"mendeley":{"formattedCitation":"[36]","plainTextFormattedCitation":"[36]","previouslyFormattedCitation":"[36]"},"properties":{"noteIndex":0},"schema":"https://github.com/citation-style-language/schema/raw/master/csl-citation.json"}</w:instrText>
      </w:r>
      <w:r>
        <w:fldChar w:fldCharType="separate"/>
      </w:r>
      <w:r w:rsidR="002A5CA0" w:rsidRPr="002A5CA0">
        <w:rPr>
          <w:noProof/>
        </w:rPr>
        <w:t>[36]</w:t>
      </w:r>
      <w:r>
        <w:fldChar w:fldCharType="end"/>
      </w:r>
      <w:r>
        <w:t>.</w:t>
      </w:r>
      <w:r w:rsidR="003C4600">
        <w:t xml:space="preserve"> </w:t>
      </w:r>
      <w:r w:rsidR="009611AE">
        <w:fldChar w:fldCharType="begin" w:fldLock="1"/>
      </w:r>
      <w:r w:rsidR="002A5CA0">
        <w:instrText>ADDIN CSL_CITATION {"citationItems":[{"id":"ITEM-1","itemData":{"DOI":"10.1016/j.agrformet.2014.05.014","ISBN":"0168-1923","ISSN":"01681923","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Meteorology","id":"ITEM-1","issued":{"date-parts":[["2014"]]},"page":"244-253","title":"Digital canopy photography: Exposed and in the raw","type":"article-journal","volume":"197"},"uris":["http://www.mendeley.com/documents/?uuid=538562b7-86f7-4ac1-af77-f2657c5e2ff1"]}],"mendeley":{"formattedCitation":"[36]","plainTextFormattedCitation":"[36]","previouslyFormattedCitation":"[36]"},"properties":{"noteIndex":0},"schema":"https://github.com/citation-style-language/schema/raw/master/csl-citation.json"}</w:instrText>
      </w:r>
      <w:r w:rsidR="009611AE">
        <w:fldChar w:fldCharType="separate"/>
      </w:r>
      <w:r w:rsidR="002A5CA0" w:rsidRPr="002A5CA0">
        <w:rPr>
          <w:noProof/>
        </w:rPr>
        <w:t>[36]</w:t>
      </w:r>
      <w:r w:rsidR="009611AE">
        <w:fldChar w:fldCharType="end"/>
      </w:r>
      <w:r w:rsidR="009611AE">
        <w:t xml:space="preserve"> </w:t>
      </w:r>
      <w:r>
        <w:t xml:space="preserve">suggest that whilst exposure settings are important for images acquired in the Joint Photographic Experts Group (JPEG) format, they are less critical for those </w:t>
      </w:r>
      <w:r>
        <w:lastRenderedPageBreak/>
        <w:t>acquired in RAW.</w:t>
      </w:r>
      <w:r w:rsidR="003C4600">
        <w:t xml:space="preserve"> </w:t>
      </w:r>
      <w:r>
        <w:t>In such cases, they recommend underexposing the image by 1 stop relative to automatic in-canopy exposure.</w:t>
      </w:r>
      <w:r w:rsidR="003C4600">
        <w:t xml:space="preserve"> </w:t>
      </w:r>
      <w:r>
        <w:t xml:space="preserve">It is suggested that exposure settings are less critical for downwards facing images, as the strong contrast between the canopy and its background is reduced, and image classification is based on the identification of green elements rather than a threshold between bright and dark pixels </w:t>
      </w:r>
      <w:r>
        <w:fldChar w:fldCharType="begin" w:fldLock="1"/>
      </w:r>
      <w:r w:rsidR="002A5CA0">
        <w:instrText>ADDIN CSL_CITATION {"citationItems":[{"id":"ITEM-1","itemData":{"DOI":"10.1016/j.agrformet.2007.11.015","ISBN":"0168-1923","ISSN":"01681923","author":[{"dropping-particle":"","family":"Demarez","given":"Valérie","non-dropping-particle":"","parse-names":false,"suffix":""},{"dropping-particle":"","family":"Duthoit","given":"Sylvie","non-dropping-particle":"","parse-names":false,"suffix":""},{"dropping-particle":"","family":"Baret","given":"Frédéric","non-dropping-particle":"","parse-names":false,"suffix":""},{"dropping-particle":"","family":"Weiss","given":"Marie","non-dropping-particle":"","parse-names":false,"suffix":""},{"dropping-particle":"","family":"Dedieu","given":"Gérard","non-dropping-particle":"","parse-names":false,"suffix":""}],"container-title":"Agricultural and Forest Meteorology","id":"ITEM-1","issue":"4","issued":{"date-parts":[["2008"]]},"page":"644-655","title":"Estimation of leaf area and clumping indexes of crops with hemispherical photographs","type":"article-journal","volume":"148"},"uris":["http://www.mendeley.com/documents/?uuid=ff26aef0-89d6-4070-b8aa-4c12da072d96"]}],"mendeley":{"formattedCitation":"[37]","plainTextFormattedCitation":"[37]","previouslyFormattedCitation":"[37]"},"properties":{"noteIndex":0},"schema":"https://github.com/citation-style-language/schema/raw/master/csl-citation.json"}</w:instrText>
      </w:r>
      <w:r>
        <w:fldChar w:fldCharType="separate"/>
      </w:r>
      <w:r w:rsidR="002A5CA0" w:rsidRPr="002A5CA0">
        <w:rPr>
          <w:noProof/>
        </w:rPr>
        <w:t>[37]</w:t>
      </w:r>
      <w:r>
        <w:fldChar w:fldCharType="end"/>
      </w:r>
      <w:r>
        <w:t xml:space="preserve">, </w:t>
      </w:r>
      <w:r>
        <w:fldChar w:fldCharType="begin" w:fldLock="1"/>
      </w:r>
      <w:r w:rsidR="002A5CA0">
        <w:instrText>ADDIN CSL_CITATION {"citationItems":[{"id":"ITEM-1","itemData":{"DOI":"10.1016/j.agrformet.2008.02.014","ISBN":"0168-1923","ISSN":"01681923","PMID":"7","author":[{"dropping-particle":"","family":"Garrigues","given":"S","non-dropping-particle":"","parse-names":false,"suffix":""},{"dropping-particle":"V","family":"Shabanov","given":"N","non-dropping-particle":"","parse-names":false,"suffix":""},{"dropping-particle":"","family":"Swanson","given":"K","non-dropping-particle":"","parse-names":false,"suffix":""},{"dropping-particle":"","family":"Morisette","given":"J T","non-dropping-particle":"","parse-names":false,"suffix":""},{"dropping-particle":"","family":"Baret","given":"F","non-dropping-particle":"","parse-names":false,"suffix":""},{"dropping-particle":"","family":"Myneni","given":"R B","non-dropping-particle":"","parse-names":false,"suffix":""}],"container-title":"Agricultural and Forest Meteorology","id":"ITEM-1","issue":"8-9","issued":{"date-parts":[["2008"]]},"page":"1193-1209","title":"Intercomparison and sensitivity analysis of Leaf Area Index retrievals from LAI-2000, AccuPAR, and digital hemispherical photography over croplands","type":"article-journal","volume":"148"},"uris":["http://www.mendeley.com/documents/?uuid=040591f9-89ab-4d18-bb97-863a5b4d31c9"]}],"mendeley":{"formattedCitation":"[38]","plainTextFormattedCitation":"[38]","previouslyFormattedCitation":"[38]"},"properties":{"noteIndex":0},"schema":"https://github.com/citation-style-language/schema/raw/master/csl-citation.json"}</w:instrText>
      </w:r>
      <w:r>
        <w:fldChar w:fldCharType="separate"/>
      </w:r>
      <w:r w:rsidR="002A5CA0" w:rsidRPr="002A5CA0">
        <w:rPr>
          <w:noProof/>
        </w:rPr>
        <w:t>[38]</w:t>
      </w:r>
      <w:r>
        <w:fldChar w:fldCharType="end"/>
      </w:r>
      <w:r>
        <w:t>.</w:t>
      </w:r>
    </w:p>
    <w:p w14:paraId="3F11C412" w14:textId="19746A7C" w:rsidR="00D00E3C" w:rsidRDefault="00D00E3C" w:rsidP="00D00E3C">
      <w:pPr>
        <w:spacing w:line="360" w:lineRule="auto"/>
        <w:jc w:val="both"/>
      </w:pPr>
      <w:r>
        <w:t>Sky uniformity</w:t>
      </w:r>
      <w:r w:rsidRPr="006D411A">
        <w:t xml:space="preserve"> is a source of </w:t>
      </w:r>
      <w:r>
        <w:t>uncertainty</w:t>
      </w:r>
      <w:r w:rsidRPr="006D411A">
        <w:t xml:space="preserve"> that</w:t>
      </w:r>
      <w:r>
        <w:t>,</w:t>
      </w:r>
      <w:r w:rsidRPr="006D411A">
        <w:t xml:space="preserve"> unfortunately</w:t>
      </w:r>
      <w:r>
        <w:t>,</w:t>
      </w:r>
      <w:r w:rsidRPr="006D411A">
        <w:t xml:space="preserve"> cannot be controlled by the operator.</w:t>
      </w:r>
      <w:r w:rsidR="003C4600">
        <w:t xml:space="preserve"> </w:t>
      </w:r>
      <w:r w:rsidRPr="006D411A">
        <w:t>According to</w:t>
      </w:r>
      <w:r>
        <w:t xml:space="preserve"> </w:t>
      </w:r>
      <w:r>
        <w:fldChar w:fldCharType="begin" w:fldLock="1"/>
      </w:r>
      <w:r w:rsidR="002A5CA0">
        <w:instrText>ADDIN CSL_CITATION {"citationItems":[{"id":"ITEM-1","itemData":{"DOI":"10.1016/j.agrformet.2010.07.011","ISBN":"0168-1923","ISSN":"01681923","author":[{"dropping-particle":"","family":"Widlowski","given":"Jean-Luc","non-dropping-particle":"","parse-names":false,"suffix":""}],"container-title":"Agricultural and Forest Meteorology","id":"ITEM-1","issue":"12","issued":{"date-parts":[["2010"]]},"page":"1501-1522","title":"On the bias of instantaneous FAPAR estimates in open-canopy forests","type":"article-journal","volume":"150"},"uris":["http://www.mendeley.com/documents/?uuid=f1493dd8-df5a-42bc-acce-398bd6c5ed97"]}],"mendeley":{"formattedCitation":"[39]","plainTextFormattedCitation":"[39]","previouslyFormattedCitation":"[39]"},"properties":{"noteIndex":0},"schema":"https://github.com/citation-style-language/schema/raw/master/csl-citation.json"}</w:instrText>
      </w:r>
      <w:r>
        <w:fldChar w:fldCharType="separate"/>
      </w:r>
      <w:r w:rsidR="002A5CA0" w:rsidRPr="002A5CA0">
        <w:rPr>
          <w:noProof/>
        </w:rPr>
        <w:t>[39]</w:t>
      </w:r>
      <w:r>
        <w:fldChar w:fldCharType="end"/>
      </w:r>
      <w:r w:rsidRPr="006D411A">
        <w:t xml:space="preserve">, </w:t>
      </w:r>
      <w:r>
        <w:t>in forest environments, uncertainties in FAPAR will be reduced by working</w:t>
      </w:r>
      <w:r w:rsidRPr="006D411A">
        <w:t xml:space="preserve"> under diffuse illumination conditions </w:t>
      </w:r>
      <w:r>
        <w:t>as opposed to working under clear skies, when greater variation in shadowed and sunli</w:t>
      </w:r>
      <w:r w:rsidRPr="006D411A">
        <w:t>t areas</w:t>
      </w:r>
      <w:r>
        <w:t xml:space="preserve"> is experienced.</w:t>
      </w:r>
      <w:r w:rsidR="003C4600">
        <w:t xml:space="preserve"> </w:t>
      </w:r>
      <w:r>
        <w:t>In the case of the LAI-2200C, regular above canopy reference measurements can be used to minimise this</w:t>
      </w:r>
      <w:r w:rsidRPr="006D411A">
        <w:t xml:space="preserve"> source of</w:t>
      </w:r>
      <w:r>
        <w:t xml:space="preserve"> uncertainty.</w:t>
      </w:r>
      <w:r w:rsidR="003C4600">
        <w:t xml:space="preserve"> </w:t>
      </w:r>
      <w:r>
        <w:t xml:space="preserve">As such, within the FRM4VEG project, at least one above canopy reference measurement every five below canopy </w:t>
      </w:r>
      <w:r w:rsidRPr="006D411A">
        <w:t>measurement</w:t>
      </w:r>
      <w:r>
        <w:t>s is recommended.</w:t>
      </w:r>
    </w:p>
    <w:p w14:paraId="279BB00C" w14:textId="77777777" w:rsidR="00D00E3C" w:rsidRDefault="00D00E3C" w:rsidP="00D00E3C">
      <w:pPr>
        <w:spacing w:line="360" w:lineRule="auto"/>
        <w:jc w:val="both"/>
      </w:pPr>
      <w:r>
        <w:t>To obtain the combined standard uncertainty in FIPAR, all considered components are added in quadrature, such that</w:t>
      </w:r>
    </w:p>
    <w:p w14:paraId="1ABD771B" w14:textId="77777777" w:rsidR="00D00E3C" w:rsidRPr="001066D2" w:rsidRDefault="00D00E3C" w:rsidP="00D00E3C">
      <w:pPr>
        <w:spacing w:line="360" w:lineRule="auto"/>
        <w:jc w:val="both"/>
      </w:pPr>
      <w:r>
        <w:rPr>
          <w:rFonts w:eastAsiaTheme="minorEastAsia"/>
        </w:rPr>
        <w:br/>
      </w:r>
      <m:oMathPara>
        <m:oMath>
          <m:r>
            <w:rPr>
              <w:rFonts w:ascii="Cambria Math" w:hAnsi="Cambria Math"/>
            </w:rPr>
            <m:t xml:space="preserve">u(FIPAR)=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u(level)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u(class)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u(samp)</m:t>
                  </m:r>
                </m:e>
                <m:sup>
                  <m:r>
                    <w:rPr>
                      <w:rFonts w:ascii="Cambria Math" w:hAnsi="Cambria Math"/>
                    </w:rPr>
                    <m:t>2</m:t>
                  </m:r>
                </m:sup>
              </m:sSup>
            </m:e>
          </m:rad>
          <m:r>
            <m:rPr>
              <m:sty m:val="p"/>
            </m:rPr>
            <w:rPr>
              <w:rFonts w:eastAsiaTheme="minorEastAsia"/>
            </w:rPr>
            <w:br/>
          </m:r>
        </m:oMath>
      </m:oMathPara>
    </w:p>
    <w:p w14:paraId="718F09DE" w14:textId="0E6E3BE2" w:rsidR="00D00E3C" w:rsidRDefault="00D00E3C" w:rsidP="00D00E3C">
      <w:pPr>
        <w:spacing w:line="360" w:lineRule="auto"/>
        <w:jc w:val="both"/>
      </w:pPr>
      <w:r>
        <w:t xml:space="preserve">where </w:t>
      </w:r>
      <m:oMath>
        <m:r>
          <w:rPr>
            <w:rFonts w:ascii="Cambria Math" w:hAnsi="Cambria Math"/>
          </w:rPr>
          <m:t>u(level)</m:t>
        </m:r>
      </m:oMath>
      <w:r>
        <w:rPr>
          <w:rFonts w:eastAsiaTheme="minorEastAsia"/>
        </w:rPr>
        <w:t xml:space="preserve">, </w:t>
      </w:r>
      <m:oMath>
        <m:r>
          <w:rPr>
            <w:rFonts w:ascii="Cambria Math" w:hAnsi="Cambria Math"/>
          </w:rPr>
          <m:t>u(class)</m:t>
        </m:r>
      </m:oMath>
      <w:r>
        <w:rPr>
          <w:rFonts w:eastAsiaTheme="minorEastAsia"/>
        </w:rPr>
        <w:t xml:space="preserve">, and </w:t>
      </w:r>
      <m:oMath>
        <m:r>
          <w:rPr>
            <w:rFonts w:ascii="Cambria Math" w:hAnsi="Cambria Math"/>
          </w:rPr>
          <m:t>u(samp)</m:t>
        </m:r>
      </m:oMath>
      <w:r>
        <w:rPr>
          <w:rFonts w:eastAsiaTheme="minorEastAsia"/>
        </w:rPr>
        <w:t xml:space="preserve"> are the standard uncertainties in FIPAR due to instrument levelling, image classification, and sampling, respectively.</w:t>
      </w:r>
      <w:r w:rsidR="003C4600">
        <w:rPr>
          <w:rFonts w:eastAsiaTheme="minorEastAsia"/>
        </w:rPr>
        <w:t xml:space="preserve"> </w:t>
      </w:r>
      <w:r>
        <w:t>When derived using both upwards and downwards facing DHP, the standard uncertainty in total FIPAR should be determined as</w:t>
      </w:r>
    </w:p>
    <w:p w14:paraId="177A794B" w14:textId="77777777" w:rsidR="00D00E3C" w:rsidRDefault="00D00E3C" w:rsidP="00D00E3C">
      <w:pPr>
        <w:spacing w:line="360" w:lineRule="auto"/>
        <w:jc w:val="both"/>
      </w:pPr>
      <w:r>
        <w:rPr>
          <w:rFonts w:eastAsiaTheme="minorEastAsia"/>
        </w:rPr>
        <w:br/>
      </w:r>
      <m:oMathPara>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FIPAR</m:t>
                  </m:r>
                </m:e>
                <m:sub>
                  <m:r>
                    <w:rPr>
                      <w:rFonts w:ascii="Cambria Math" w:hAnsi="Cambria Math"/>
                    </w:rPr>
                    <m:t>total</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FIPAR</m:t>
                              </m:r>
                            </m:e>
                            <m:sub>
                              <m:r>
                                <w:rPr>
                                  <w:rFonts w:ascii="Cambria Math" w:hAnsi="Cambria Math"/>
                                </w:rPr>
                                <m:t>up</m:t>
                              </m:r>
                            </m:sub>
                          </m:sSub>
                        </m:e>
                      </m:d>
                      <m:r>
                        <w:rPr>
                          <w:rFonts w:ascii="Cambria Math" w:hAnsi="Cambria Math"/>
                        </w:rPr>
                        <m:t xml:space="preserve"> u</m:t>
                      </m:r>
                      <m:d>
                        <m:dPr>
                          <m:ctrlPr>
                            <w:rPr>
                              <w:rFonts w:ascii="Cambria Math" w:hAnsi="Cambria Math"/>
                              <w:i/>
                            </w:rPr>
                          </m:ctrlPr>
                        </m:dPr>
                        <m:e>
                          <m:sSub>
                            <m:sSubPr>
                              <m:ctrlPr>
                                <w:rPr>
                                  <w:rFonts w:ascii="Cambria Math" w:hAnsi="Cambria Math"/>
                                  <w:i/>
                                </w:rPr>
                              </m:ctrlPr>
                            </m:sSubPr>
                            <m:e>
                              <m:r>
                                <w:rPr>
                                  <w:rFonts w:ascii="Cambria Math" w:hAnsi="Cambria Math"/>
                                </w:rPr>
                                <m:t>FIPAR</m:t>
                              </m:r>
                            </m:e>
                            <m:sub>
                              <m:r>
                                <w:rPr>
                                  <w:rFonts w:ascii="Cambria Math" w:hAnsi="Cambria Math"/>
                                </w:rPr>
                                <m:t>down</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FIPAR</m:t>
                              </m:r>
                            </m:e>
                            <m:sub>
                              <m:r>
                                <w:rPr>
                                  <w:rFonts w:ascii="Cambria Math" w:hAnsi="Cambria Math"/>
                                </w:rPr>
                                <m:t>down</m:t>
                              </m:r>
                            </m:sub>
                          </m:sSub>
                        </m:e>
                      </m:d>
                      <m:r>
                        <w:rPr>
                          <w:rFonts w:ascii="Cambria Math" w:hAnsi="Cambria Math"/>
                        </w:rPr>
                        <m:t xml:space="preserve"> u</m:t>
                      </m:r>
                      <m:d>
                        <m:dPr>
                          <m:ctrlPr>
                            <w:rPr>
                              <w:rFonts w:ascii="Cambria Math" w:hAnsi="Cambria Math"/>
                              <w:i/>
                            </w:rPr>
                          </m:ctrlPr>
                        </m:dPr>
                        <m:e>
                          <m:sSub>
                            <m:sSubPr>
                              <m:ctrlPr>
                                <w:rPr>
                                  <w:rFonts w:ascii="Cambria Math" w:hAnsi="Cambria Math"/>
                                  <w:i/>
                                </w:rPr>
                              </m:ctrlPr>
                            </m:sSubPr>
                            <m:e>
                              <m:r>
                                <w:rPr>
                                  <w:rFonts w:ascii="Cambria Math" w:hAnsi="Cambria Math"/>
                                </w:rPr>
                                <m:t>FIPAR</m:t>
                              </m:r>
                            </m:e>
                            <m:sub>
                              <m:r>
                                <w:rPr>
                                  <w:rFonts w:ascii="Cambria Math" w:hAnsi="Cambria Math"/>
                                </w:rPr>
                                <m:t>up</m:t>
                              </m:r>
                            </m:sub>
                          </m:sSub>
                        </m:e>
                      </m:d>
                    </m:e>
                  </m:d>
                </m:e>
                <m:sup>
                  <m:r>
                    <w:rPr>
                      <w:rFonts w:ascii="Cambria Math" w:hAnsi="Cambria Math"/>
                    </w:rPr>
                    <m:t>2</m:t>
                  </m:r>
                </m:sup>
              </m:sSup>
            </m:e>
          </m:rad>
        </m:oMath>
      </m:oMathPara>
    </w:p>
    <w:p w14:paraId="508BFE99" w14:textId="77777777" w:rsidR="00D00E3C" w:rsidRDefault="00D00E3C" w:rsidP="00D00E3C">
      <w:pPr>
        <w:keepNext/>
        <w:spacing w:line="360" w:lineRule="auto"/>
        <w:jc w:val="both"/>
      </w:pPr>
    </w:p>
    <w:p w14:paraId="25B310F2" w14:textId="77777777" w:rsidR="00D00E3C" w:rsidRDefault="00D00E3C" w:rsidP="00D00E3C">
      <w:pPr>
        <w:keepNext/>
        <w:spacing w:line="360" w:lineRule="auto"/>
        <w:jc w:val="both"/>
      </w:pPr>
      <w:r>
        <w:t xml:space="preserve">where </w:t>
      </w:r>
      <m:oMath>
        <m:sSub>
          <m:sSubPr>
            <m:ctrlPr>
              <w:rPr>
                <w:rFonts w:ascii="Cambria Math" w:hAnsi="Cambria Math"/>
                <w:i/>
              </w:rPr>
            </m:ctrlPr>
          </m:sSubPr>
          <m:e>
            <m:r>
              <w:rPr>
                <w:rFonts w:ascii="Cambria Math" w:hAnsi="Cambria Math"/>
              </w:rPr>
              <m:t>FIPAR</m:t>
            </m:r>
          </m:e>
          <m:sub>
            <m:r>
              <w:rPr>
                <w:rFonts w:ascii="Cambria Math" w:hAnsi="Cambria Math"/>
              </w:rPr>
              <m:t>up</m:t>
            </m:r>
          </m:sub>
        </m:sSub>
      </m:oMath>
      <w:r>
        <w:rPr>
          <w:rFonts w:eastAsiaTheme="minorEastAsia"/>
        </w:rPr>
        <w:t xml:space="preserve"> and </w:t>
      </w:r>
      <m:oMath>
        <m:sSub>
          <m:sSubPr>
            <m:ctrlPr>
              <w:rPr>
                <w:rFonts w:ascii="Cambria Math" w:hAnsi="Cambria Math"/>
                <w:i/>
              </w:rPr>
            </m:ctrlPr>
          </m:sSubPr>
          <m:e>
            <m:r>
              <w:rPr>
                <w:rFonts w:ascii="Cambria Math" w:hAnsi="Cambria Math"/>
              </w:rPr>
              <m:t>FIPAR</m:t>
            </m:r>
          </m:e>
          <m:sub>
            <m:r>
              <w:rPr>
                <w:rFonts w:ascii="Cambria Math" w:hAnsi="Cambria Math"/>
              </w:rPr>
              <m:t>down</m:t>
            </m:r>
          </m:sub>
        </m:sSub>
      </m:oMath>
      <w:r>
        <w:rPr>
          <w:rFonts w:eastAsiaTheme="minorEastAsia"/>
        </w:rPr>
        <w:t xml:space="preserve"> are the FIPAR values derived using upwards and downwards facing DHP, whilst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FIPAR</m:t>
                </m:r>
              </m:e>
              <m:sub>
                <m:r>
                  <w:rPr>
                    <w:rFonts w:ascii="Cambria Math" w:hAnsi="Cambria Math"/>
                  </w:rPr>
                  <m:t>up</m:t>
                </m:r>
              </m:sub>
            </m:sSub>
          </m:e>
        </m:d>
      </m:oMath>
      <w:r>
        <w:rPr>
          <w:rFonts w:eastAsiaTheme="minorEastAsia"/>
        </w:rPr>
        <w:t xml:space="preserve"> and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FIPAR</m:t>
                </m:r>
              </m:e>
              <m:sub>
                <m:r>
                  <w:rPr>
                    <w:rFonts w:ascii="Cambria Math" w:hAnsi="Cambria Math"/>
                  </w:rPr>
                  <m:t>down</m:t>
                </m:r>
              </m:sub>
            </m:sSub>
          </m:e>
        </m:d>
      </m:oMath>
      <w:r>
        <w:rPr>
          <w:rFonts w:eastAsiaTheme="minorEastAsia"/>
        </w:rPr>
        <w:t xml:space="preserve"> are their respective standard uncertainties.</w:t>
      </w:r>
    </w:p>
    <w:p w14:paraId="24E987D1" w14:textId="536B430A" w:rsidR="002B5C05" w:rsidRDefault="00D00E3C" w:rsidP="001575D2">
      <w:pPr>
        <w:keepNext/>
        <w:spacing w:line="360" w:lineRule="auto"/>
        <w:jc w:val="both"/>
      </w:pPr>
      <w:r>
        <w:t>Finally, it should be noted that using FIPAR as a proxy of FAPAR can lead to differences in the order of 0 to 0.05</w:t>
      </w:r>
      <w:r w:rsidR="00F1023F">
        <w:t xml:space="preserve"> </w:t>
      </w:r>
      <w:r>
        <w:fldChar w:fldCharType="begin" w:fldLock="1"/>
      </w:r>
      <w:r w:rsidR="00B60D54">
        <w:instrText>ADDIN CSL_CITATION {"citationItems":[{"id":"ITEM-1","itemData":{"DOI":"10.1029/2005JD006511","ISBN":"0148-0227","ISSN":"0148-0227","author":[{"dropping-particle":"","family":"Gobron","given":"Nadine","non-dropping-particle":"","parse-names":false,"suffix":""},{"dropping-particle":"","family":"Pinty","given":"Bernard","non-dropping-particle":"","parse-names":false,"suffix":""},{"dropping-particle":"","family":"Aussedat","given":"Ophélie","non-dropping-particle":"","parse-names":false,"suffix":""},{"dropping-particle":"","family":"Chen","given":"Jing M","non-dropping-particle":"","parse-names":false,"suffix":""},{"dropping-particle":"","family":"Cohen","given":"Warren B","non-dropping-particle":"","parse-names":false,"suffix":""},{"dropping-particle":"","family":"Fensholt","given":"Rasmus","non-dropping-particle":"","parse-names":false,"suffix":""},{"dropping-particle":"","family":"Gond","given":"Valery","non-dropping-particle":"","parse-names":false,"suffix":""},{"dropping-particle":"","family":"Huemmrich","given":"Karl Fred","non-dropping-particle":"","parse-names":false,"suffix":""},{"dropping-particle":"","family":"Lavergne","given":"Thomas","non-dropping-particle":"","parse-names":false,"suffix":""},{"dropping-particle":"","family":"Mélin","given":"Frédéric","non-dropping-particle":"","parse-names":false,"suffix":""},{"dropping-particle":"","family":"Privette","given":"Jeffrey L","non-dropping-particle":"","parse-names":false,"suffix":""},{"dropping-particle":"","family":"Sandholt","given":"Inge","non-dropping-particle":"","parse-names":false,"suffix":""},{"dropping-particle":"","family":"Taberner","given":"Malcolm","non-dropping-particle":"","parse-names":false,"suffix":""},{"dropping-particle":"","family":"Turner","given":"David P","non-dropping-particle":"","parse-names":false,"suffix":""},{"dropping-particle":"","family":"Verstraete","given":"Michel M","non-dropping-particle":"","parse-names":false,"suffix":""},{"dropping-particle":"","family":"Widlowski","given":"Jean-Luc","non-dropping-particle":"","parse-names":false,"suffix":""}],"container-title":"Journal of Geophysical Research","id":"ITEM-1","issue":"D13","issued":{"date-parts":[["2006"]]},"page":"D13110","title":"Evaluation of fraction of absorbed photosynthetically active radiation products for different canopy radiation transfer regimes: Methodology and results using Joint Research Center products derived from SeaWiFS against ground-based estimations","type":"article-journal","volume":"111"},"uris":["http://www.mendeley.com/documents/?uuid=84d23a36-1db9-48e4-b5fb-70ebe69bf70c"]}],"mendeley":{"formattedCitation":"[11]","plainTextFormattedCitation":"[11]","previouslyFormattedCitation":"[11]"},"properties":{"noteIndex":0},"schema":"https://github.com/citation-style-language/schema/raw/master/csl-citation.json"}</w:instrText>
      </w:r>
      <w:r>
        <w:fldChar w:fldCharType="separate"/>
      </w:r>
      <w:r w:rsidR="00C51520" w:rsidRPr="00C51520">
        <w:rPr>
          <w:noProof/>
        </w:rPr>
        <w:t>[11]</w:t>
      </w:r>
      <w:r>
        <w:fldChar w:fldCharType="end"/>
      </w:r>
      <w:r>
        <w:t>.</w:t>
      </w:r>
      <w:r w:rsidR="003C4600">
        <w:t xml:space="preserve"> </w:t>
      </w:r>
      <w:r>
        <w:t>The intercepted PAR is typically higher than the absorbed PAR, as part of the intercepted radiation is reflected.</w:t>
      </w:r>
      <w:r w:rsidR="003C4600">
        <w:t xml:space="preserve"> </w:t>
      </w:r>
      <w:r>
        <w:t>The differences are a function of background reflectance, SZA, and canopy structure.</w:t>
      </w:r>
      <w:r w:rsidR="003C4600">
        <w:t xml:space="preserve"> </w:t>
      </w:r>
      <w:r>
        <w:t xml:space="preserve">However, under typical conditions of illumination and background reflectance, the main contribution of FAPAR is given by the intercepted fraction, with respect both to the direct and diffuse </w:t>
      </w:r>
      <w:r>
        <w:lastRenderedPageBreak/>
        <w:t>illumination</w:t>
      </w:r>
      <w:r w:rsidR="00485E1A">
        <w:t xml:space="preserve"> </w:t>
      </w:r>
      <w:r w:rsidR="00485E1A">
        <w:fldChar w:fldCharType="begin" w:fldLock="1"/>
      </w:r>
      <w:r w:rsidR="002A5CA0">
        <w:instrText>ADDIN CSL_CITATION {"citationItems":[{"id":"ITEM-1","itemData":{"DOI":"10.1029/2005JD006511","ISBN":"0148-0227","ISSN":"0148-0227","author":[{"dropping-particle":"","family":"Gobron","given":"Nadine","non-dropping-particle":"","parse-names":false,"suffix":""},{"dropping-particle":"","family":"Pinty","given":"Bernard","non-dropping-particle":"","parse-names":false,"suffix":""},{"dropping-particle":"","family":"Aussedat","given":"Ophélie","non-dropping-particle":"","parse-names":false,"suffix":""},{"dropping-particle":"","family":"Chen","given":"Jing M","non-dropping-particle":"","parse-names":false,"suffix":""},{"dropping-particle":"","family":"Cohen","given":"Warren B","non-dropping-particle":"","parse-names":false,"suffix":""},{"dropping-particle":"","family":"Fensholt","given":"Rasmus","non-dropping-particle":"","parse-names":false,"suffix":""},{"dropping-particle":"","family":"Gond","given":"Valery","non-dropping-particle":"","parse-names":false,"suffix":""},{"dropping-particle":"","family":"Huemmrich","given":"Karl Fred","non-dropping-particle":"","parse-names":false,"suffix":""},{"dropping-particle":"","family":"Lavergne","given":"Thomas","non-dropping-particle":"","parse-names":false,"suffix":""},{"dropping-particle":"","family":"Mélin","given":"Frédéric","non-dropping-particle":"","parse-names":false,"suffix":""},{"dropping-particle":"","family":"Privette","given":"Jeffrey L","non-dropping-particle":"","parse-names":false,"suffix":""},{"dropping-particle":"","family":"Sandholt","given":"Inge","non-dropping-particle":"","parse-names":false,"suffix":""},{"dropping-particle":"","family":"Taberner","given":"Malcolm","non-dropping-particle":"","parse-names":false,"suffix":""},{"dropping-particle":"","family":"Turner","given":"David P","non-dropping-particle":"","parse-names":false,"suffix":""},{"dropping-particle":"","family":"Verstraete","given":"Michel M","non-dropping-particle":"","parse-names":false,"suffix":""},{"dropping-particle":"","family":"Widlowski","given":"Jean-Luc","non-dropping-particle":"","parse-names":false,"suffix":""}],"container-title":"Journal of Geophysical Research","id":"ITEM-1","issue":"D13","issued":{"date-parts":[["2006"]]},"page":"D13110","title":"Evaluation of fraction of absorbed photosynthetically active radiation products for different canopy radiation transfer regimes: Methodology and results using Joint Research Center products derived from SeaWiFS against ground-based estimations","type":"article-journal","volume":"111"},"uris":["http://www.mendeley.com/documents/?uuid=84d23a36-1db9-48e4-b5fb-70ebe69bf70c"]}],"mendeley":{"formattedCitation":"[11]","plainTextFormattedCitation":"[11]","previouslyFormattedCitation":"[11]"},"properties":{"noteIndex":0},"schema":"https://github.com/citation-style-language/schema/raw/master/csl-citation.json"}</w:instrText>
      </w:r>
      <w:r w:rsidR="00485E1A">
        <w:fldChar w:fldCharType="separate"/>
      </w:r>
      <w:r w:rsidR="00485E1A" w:rsidRPr="00485E1A">
        <w:rPr>
          <w:noProof/>
        </w:rPr>
        <w:t>[11]</w:t>
      </w:r>
      <w:r w:rsidR="00485E1A">
        <w:fldChar w:fldCharType="end"/>
      </w:r>
      <w:r>
        <w:t>.</w:t>
      </w:r>
      <w:r w:rsidR="003C4600">
        <w:t xml:space="preserve"> </w:t>
      </w:r>
      <w:r>
        <w:t>In summary, when using FIPAR as a proxy for FIPAR, we may expect uncertainties in the order of 0 to 0.05 absolute units.</w:t>
      </w:r>
    </w:p>
    <w:p w14:paraId="7544E218" w14:textId="77777777" w:rsidR="001575D2" w:rsidRDefault="001575D2" w:rsidP="00FD3124">
      <w:pPr>
        <w:keepNext/>
        <w:spacing w:after="0" w:line="360" w:lineRule="auto"/>
        <w:jc w:val="both"/>
      </w:pPr>
    </w:p>
    <w:p w14:paraId="67C4E127" w14:textId="2C8C49C3" w:rsidR="00EC5896" w:rsidRDefault="00EC5896" w:rsidP="00C51520">
      <w:pPr>
        <w:pStyle w:val="Heading2"/>
      </w:pPr>
      <w:bookmarkStart w:id="160" w:name="_Toc44515986"/>
      <w:r>
        <w:t>Uncertainty Sources and Propagation for CCC</w:t>
      </w:r>
      <w:bookmarkEnd w:id="160"/>
    </w:p>
    <w:p w14:paraId="139C6916" w14:textId="72782643" w:rsidR="00EC5896" w:rsidRDefault="00EC5896" w:rsidP="0069303D">
      <w:pPr>
        <w:spacing w:after="0"/>
      </w:pPr>
    </w:p>
    <w:p w14:paraId="44155BC7" w14:textId="6496D283" w:rsidR="00957467" w:rsidRDefault="00957467" w:rsidP="00957467">
      <w:pPr>
        <w:spacing w:line="360" w:lineRule="auto"/>
        <w:jc w:val="both"/>
      </w:pPr>
      <w:r>
        <w:t>Like FIPAR, the uncertainty associated with in</w:t>
      </w:r>
      <w:r w:rsidR="00C70376">
        <w:t xml:space="preserve"> </w:t>
      </w:r>
      <w:r>
        <w:t>situ LAI measurements performed over an ESU can be evaluated as a function of several components, including uncertainties due to instrument levelling</w:t>
      </w:r>
      <w:r>
        <w:rPr>
          <w:rFonts w:eastAsiaTheme="minorEastAsia"/>
        </w:rPr>
        <w:t xml:space="preserve">, </w:t>
      </w:r>
      <w:r>
        <w:t>sampling, and in the case of DHP, image classification.</w:t>
      </w:r>
      <w:r w:rsidR="003C4600">
        <w:t xml:space="preserve"> </w:t>
      </w:r>
      <w:r>
        <w:t>An additional source of uncertainty in the case of LAI is differences between analysis methods.</w:t>
      </w:r>
      <w:r w:rsidR="003C4600">
        <w:t xml:space="preserve"> </w:t>
      </w:r>
      <w:r>
        <w:t>The uncertainties due to instrument levelling and image classification are assessed as described in Section</w:t>
      </w:r>
      <w:r w:rsidR="00F1023F">
        <w:t xml:space="preserve"> 6.1.</w:t>
      </w:r>
      <w:r w:rsidR="003C4600">
        <w:t xml:space="preserve"> </w:t>
      </w:r>
      <w:r>
        <w:t xml:space="preserve">In terms of instrument levelling, a relative standard uncertainty of approximately 2% is quoted by </w:t>
      </w:r>
      <w:r>
        <w:fldChar w:fldCharType="begin" w:fldLock="1"/>
      </w:r>
      <w:r w:rsidR="002A5CA0">
        <w:instrText>ADDIN CSL_CITATION {"citationItems":[{"id":"ITEM-1","itemData":{"DOI":"10.1016/j.agrformet.2017.02.004","ISSN":"01681923","author":[{"dropping-particle":"","family":"Origo","given":"Niall","non-dropping-particle":"","parse-names":false,"suffix":""},{"dropping-particle":"","family":"Calders","given":"Kim","non-dropping-particle":"","parse-names":false,"suffix":""},{"dropping-particle":"","family":"Nightingale","given":"Joanne","non-dropping-particle":"","parse-names":false,"suffix":""},{"dropping-particle":"","family":"Disney","given":"Mathias","non-dropping-particle":"","parse-names":false,"suffix":""}],"container-title":"Agricultural and Forest Meteorology","id":"ITEM-1","issued":{"date-parts":[["2017"]]},"page":"143-149","title":"Influence of levelling technique on the retrieval of canopy structural parameters from digital hemispherical photography","type":"article-journal","volume":"237-238"},"uris":["http://www.mendeley.com/documents/?uuid=e899af52-cba1-415e-8f91-5783d8dd8267"]}],"mendeley":{"formattedCitation":"[32]","plainTextFormattedCitation":"[32]","previouslyFormattedCitation":"[32]"},"properties":{"noteIndex":0},"schema":"https://github.com/citation-style-language/schema/raw/master/csl-citation.json"}</w:instrText>
      </w:r>
      <w:r>
        <w:fldChar w:fldCharType="separate"/>
      </w:r>
      <w:r w:rsidR="002A5CA0" w:rsidRPr="002A5CA0">
        <w:rPr>
          <w:noProof/>
        </w:rPr>
        <w:t>[32]</w:t>
      </w:r>
      <w:r>
        <w:fldChar w:fldCharType="end"/>
      </w:r>
      <w:r>
        <w:t xml:space="preserve"> in the case of LAI, whilst the experiments conducted to assess the influence of different operators on image classification yielded relative standard uncertainties of 11% for ‘effective’ LAI and 12% for ‘true’ LAI.</w:t>
      </w:r>
    </w:p>
    <w:p w14:paraId="026EC1F4" w14:textId="0345D988" w:rsidR="00957467" w:rsidRPr="00FC13E8" w:rsidRDefault="00957467" w:rsidP="00957467">
      <w:pPr>
        <w:spacing w:line="360" w:lineRule="auto"/>
        <w:jc w:val="both"/>
        <w:rPr>
          <w:rFonts w:eastAsiaTheme="minorEastAsia"/>
        </w:rPr>
      </w:pPr>
      <w:r>
        <w:t xml:space="preserve">Uncertainties due to sampling are assessed as the variability in gap fraction, as described in Section </w:t>
      </w:r>
      <w:r w:rsidR="00F1023F">
        <w:t>6.1</w:t>
      </w:r>
      <w:r>
        <w:t>.</w:t>
      </w:r>
      <w:r w:rsidR="003C4600">
        <w:t xml:space="preserve"> </w:t>
      </w:r>
      <w:r>
        <w:t>In the case of DHP, it should be noted that propagating these uncertainties through the LUT inversion</w:t>
      </w:r>
      <w:r w:rsidR="00EC5AC6">
        <w:t>-</w:t>
      </w:r>
      <w:r>
        <w:t>based methods implemented in CAN-EYE is not straightforward.</w:t>
      </w:r>
      <w:r w:rsidR="003C4600">
        <w:t xml:space="preserve"> </w:t>
      </w:r>
      <w:r>
        <w:t xml:space="preserve">Therefore, the uncertainty quantification approach adopted within the project considers the methods of </w:t>
      </w:r>
      <w:r>
        <w:fldChar w:fldCharType="begin" w:fldLock="1"/>
      </w:r>
      <w:r w:rsidR="00B60D54">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73f03818-f4a7-44eb-88b6-eb98b0d27aa9"]}],"mendeley":{"formattedCitation":"[14]","plainTextFormattedCitation":"[14]","previouslyFormattedCitation":"[14]"},"properties":{"noteIndex":0},"schema":"https://github.com/citation-style-language/schema/raw/master/csl-citation.json"}</w:instrText>
      </w:r>
      <w:r>
        <w:fldChar w:fldCharType="separate"/>
      </w:r>
      <w:r w:rsidR="00C51520" w:rsidRPr="00C51520">
        <w:rPr>
          <w:noProof/>
        </w:rPr>
        <w:t>[14]</w:t>
      </w:r>
      <w:r>
        <w:fldChar w:fldCharType="end"/>
      </w:r>
      <w:r>
        <w:t xml:space="preserve"> and </w:t>
      </w:r>
      <w:r>
        <w:fldChar w:fldCharType="begin" w:fldLock="1"/>
      </w:r>
      <w:r w:rsidR="00132903">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17bdf8d9-6cf0-4d8d-8d45-7f4122f9892f"]}],"mendeley":{"formattedCitation":"[16]","plainTextFormattedCitation":"[16]","previouslyFormattedCitation":"[16]"},"properties":{"noteIndex":0},"schema":"https://github.com/citation-style-language/schema/raw/master/csl-citation.json"}</w:instrText>
      </w:r>
      <w:r>
        <w:fldChar w:fldCharType="separate"/>
      </w:r>
      <w:r w:rsidR="00132903" w:rsidRPr="00132903">
        <w:rPr>
          <w:noProof/>
        </w:rPr>
        <w:t>[16]</w:t>
      </w:r>
      <w:r>
        <w:fldChar w:fldCharType="end"/>
      </w:r>
      <w:r>
        <w:t xml:space="preserve"> only, making use of the method of </w:t>
      </w:r>
      <w:r>
        <w:fldChar w:fldCharType="begin" w:fldLock="1"/>
      </w:r>
      <w:r w:rsidR="00132903">
        <w:instrText>ADDIN CSL_CITATION {"citationItems":[{"id":"ITEM-1","itemData":{"DOI":"10.1016/0168-1923(86)90033-X","ISBN":"0168-1923","ISSN":"01681923","PMID":"346","author":[{"dropping-particle":"","family":"Lang","given":"A R G","non-dropping-particle":"","parse-names":false,"suffix":""},{"dropping-particle":"","family":"Yueqin","given":"Xiang","non-dropping-particle":"","parse-names":false,"suffix":""}],"container-title":"Agricultural and Forest Meteorology","id":"ITEM-1","issue":"3","issued":{"date-parts":[["1986"]]},"page":"229-243","title":"Estimation of leaf area index from transmission of direct sunlight in discontinuous canopies","type":"article-journal","volume":"37"},"uris":["http://www.mendeley.com/documents/?uuid=ce5b1714-3d07-4ae0-878c-2f2644a764e9"]}],"mendeley":{"formattedCitation":"[17]","plainTextFormattedCitation":"[17]","previouslyFormattedCitation":"[17]"},"properties":{"noteIndex":0},"schema":"https://github.com/citation-style-language/schema/raw/master/csl-citation.json"}</w:instrText>
      </w:r>
      <w:r>
        <w:fldChar w:fldCharType="separate"/>
      </w:r>
      <w:r w:rsidR="00132903" w:rsidRPr="00132903">
        <w:rPr>
          <w:noProof/>
        </w:rPr>
        <w:t>[17]</w:t>
      </w:r>
      <w:r>
        <w:fldChar w:fldCharType="end"/>
      </w:r>
      <w:r>
        <w:t xml:space="preserve"> to account for foliage clumping in the case of ‘true’ LAI.</w:t>
      </w:r>
      <w:r w:rsidR="003C4600">
        <w:t xml:space="preserve"> </w:t>
      </w:r>
      <w:r>
        <w:t xml:space="preserve">The resulting uncertainties are likely of a similar magnitude to those associated with the CAN-EYE LUT </w:t>
      </w:r>
      <w:proofErr w:type="gramStart"/>
      <w:r>
        <w:t>inversion based</w:t>
      </w:r>
      <w:proofErr w:type="gramEnd"/>
      <w:r>
        <w:t xml:space="preserve"> approaches and represent a good first-order approximation.</w:t>
      </w:r>
      <w:r w:rsidR="003C4600">
        <w:t xml:space="preserve"> </w:t>
      </w:r>
      <w:r>
        <w:rPr>
          <w:rFonts w:eastAsiaTheme="minorEastAsia"/>
        </w:rPr>
        <w:t xml:space="preserve">For ‘effective’ LAI, a combined standard uncertainty is derived by adding the sampling uncertainties obtained using the methods of </w:t>
      </w:r>
      <w:r>
        <w:fldChar w:fldCharType="begin" w:fldLock="1"/>
      </w:r>
      <w:r w:rsidR="00B60D54">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04696306-76db-4155-8ac0-528808c57648","http://www.mendeley.com/documents/?uuid=d7a934a3-df7a-424f-b72b-e5628956ec7e"]}],"mendeley":{"formattedCitation":"[14]","manualFormatting":"[49]","plainTextFormattedCitation":"[14]","previouslyFormattedCitation":"[14]"},"properties":{"noteIndex":0},"schema":"https://github.com/citation-style-language/schema/raw/master/csl-citation.json"}</w:instrText>
      </w:r>
      <w:r>
        <w:fldChar w:fldCharType="separate"/>
      </w:r>
      <w:r w:rsidRPr="00DB1C8D">
        <w:rPr>
          <w:noProof/>
        </w:rPr>
        <w:t>[</w:t>
      </w:r>
      <w:r>
        <w:rPr>
          <w:noProof/>
        </w:rPr>
        <w:t>49</w:t>
      </w:r>
      <w:r w:rsidRPr="00DB1C8D">
        <w:rPr>
          <w:noProof/>
        </w:rPr>
        <w:t>]</w:t>
      </w:r>
      <w:r>
        <w:fldChar w:fldCharType="end"/>
      </w:r>
      <w:r>
        <w:t xml:space="preserve"> and </w:t>
      </w:r>
      <w:r>
        <w:fldChar w:fldCharType="begin" w:fldLock="1"/>
      </w:r>
      <w:r w:rsidR="00132903">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f52d41a3-7361-4811-aeee-4bfec6b6c2ba","http://www.mendeley.com/documents/?uuid=64c33ae6-5785-463b-be22-59ff4e4a9c5d"]}],"mendeley":{"formattedCitation":"[16]","plainTextFormattedCitation":"[16]","previouslyFormattedCitation":"[16]"},"properties":{"noteIndex":0},"schema":"https://github.com/citation-style-language/schema/raw/master/csl-citation.json"}</w:instrText>
      </w:r>
      <w:r>
        <w:fldChar w:fldCharType="separate"/>
      </w:r>
      <w:r w:rsidR="00132903" w:rsidRPr="00132903">
        <w:rPr>
          <w:noProof/>
        </w:rPr>
        <w:t>[16]</w:t>
      </w:r>
      <w:r>
        <w:fldChar w:fldCharType="end"/>
      </w:r>
      <w:r>
        <w:t xml:space="preserve"> in quadrature.</w:t>
      </w:r>
      <w:r w:rsidR="003C4600">
        <w:t xml:space="preserve"> </w:t>
      </w:r>
      <w:r>
        <w:t>For ‘true’ LAI,</w:t>
      </w:r>
      <w:r>
        <w:rPr>
          <w:rFonts w:eastAsiaTheme="minorEastAsia"/>
        </w:rPr>
        <w:t xml:space="preserve"> only the sampling uncertainty obtained using the method of </w:t>
      </w:r>
      <w:r>
        <w:fldChar w:fldCharType="begin" w:fldLock="1"/>
      </w:r>
      <w:r w:rsidR="00132903">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f52d41a3-7361-4811-aeee-4bfec6b6c2ba","http://www.mendeley.com/documents/?uuid=64c33ae6-5785-463b-be22-59ff4e4a9c5d"]}],"mendeley":{"formattedCitation":"[16]","plainTextFormattedCitation":"[16]","previouslyFormattedCitation":"[16]"},"properties":{"noteIndex":0},"schema":"https://github.com/citation-style-language/schema/raw/master/csl-citation.json"}</w:instrText>
      </w:r>
      <w:r>
        <w:fldChar w:fldCharType="separate"/>
      </w:r>
      <w:r w:rsidR="00132903" w:rsidRPr="00132903">
        <w:rPr>
          <w:noProof/>
        </w:rPr>
        <w:t>[16]</w:t>
      </w:r>
      <w:r>
        <w:fldChar w:fldCharType="end"/>
      </w:r>
      <w:r>
        <w:t xml:space="preserve"> is considered.</w:t>
      </w:r>
    </w:p>
    <w:p w14:paraId="6E136D41" w14:textId="43BAAB8E" w:rsidR="00957467" w:rsidRDefault="00957467" w:rsidP="00957467">
      <w:pPr>
        <w:spacing w:line="360" w:lineRule="auto"/>
        <w:jc w:val="both"/>
        <w:rPr>
          <w:rFonts w:eastAsiaTheme="minorEastAsia"/>
        </w:rPr>
      </w:pPr>
      <w:r>
        <w:rPr>
          <w:rFonts w:eastAsiaTheme="minorEastAsia"/>
        </w:rPr>
        <w:t xml:space="preserve">For the method of </w:t>
      </w:r>
      <w:r>
        <w:fldChar w:fldCharType="begin" w:fldLock="1"/>
      </w:r>
      <w:r w:rsidR="00B60D54">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04696306-76db-4155-8ac0-528808c57648","http://www.mendeley.com/documents/?uuid=d7a934a3-df7a-424f-b72b-e5628956ec7e"]}],"mendeley":{"formattedCitation":"[14]","plainTextFormattedCitation":"[14]","previouslyFormattedCitation":"[14]"},"properties":{"noteIndex":0},"schema":"https://github.com/citation-style-language/schema/raw/master/csl-citation.json"}</w:instrText>
      </w:r>
      <w:r>
        <w:fldChar w:fldCharType="separate"/>
      </w:r>
      <w:r w:rsidR="00C51520" w:rsidRPr="00C51520">
        <w:rPr>
          <w:noProof/>
        </w:rPr>
        <w:t>[14]</w:t>
      </w:r>
      <w:r>
        <w:fldChar w:fldCharType="end"/>
      </w:r>
      <w:r>
        <w:rPr>
          <w:rFonts w:eastAsiaTheme="minorEastAsia"/>
        </w:rPr>
        <w:t>, the standard uncertainty in ‘effective’ LAI due to sampling is determined as</w:t>
      </w:r>
    </w:p>
    <w:p w14:paraId="7A53389E" w14:textId="77777777" w:rsidR="00957467" w:rsidRPr="00C452A5" w:rsidRDefault="00957467" w:rsidP="00957467">
      <w:pPr>
        <w:spacing w:line="360" w:lineRule="auto"/>
        <w:jc w:val="both"/>
        <w:rPr>
          <w:rFonts w:eastAsiaTheme="minorEastAsia"/>
        </w:rPr>
      </w:pPr>
      <m:oMathPara>
        <m:oMath>
          <m:r>
            <m:rPr>
              <m:sty m:val="p"/>
            </m:rPr>
            <w:rPr>
              <w:rFonts w:ascii="Cambria Math" w:hAnsi="Cambria Math"/>
            </w:rPr>
            <w:br/>
          </m:r>
        </m:oMath>
        <m:oMath>
          <m:r>
            <w:rPr>
              <w:rFonts w:ascii="Cambria Math" w:hAnsi="Cambria Math"/>
            </w:rPr>
            <m:t>u</m:t>
          </m:r>
          <m:d>
            <m:dPr>
              <m:ctrlPr>
                <w:rPr>
                  <w:rFonts w:ascii="Cambria Math" w:hAnsi="Cambria Math"/>
                  <w:i/>
                </w:rPr>
              </m:ctrlPr>
            </m:dPr>
            <m:e>
              <m:r>
                <w:rPr>
                  <w:rFonts w:ascii="Cambria Math" w:hAnsi="Cambria Math"/>
                </w:rPr>
                <m:t>samp</m:t>
              </m:r>
            </m:e>
          </m:d>
          <m:r>
            <w:rPr>
              <w:rFonts w:ascii="Cambria Math" w:hAnsi="Cambria Math"/>
            </w:rPr>
            <m:t>=2</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u[</m:t>
                              </m:r>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bar>
                              <m:r>
                                <w:rPr>
                                  <w:rFonts w:ascii="Cambria Math" w:hAnsi="Cambria Math"/>
                                </w:rPr>
                                <m:t>]</m:t>
                              </m:r>
                            </m:num>
                            <m:den>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bar>
                            </m:den>
                          </m:f>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rPr>
                                <m:t>d</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e>
                      </m:d>
                    </m:e>
                    <m:sup>
                      <m:r>
                        <w:rPr>
                          <w:rFonts w:ascii="Cambria Math" w:hAnsi="Cambria Math"/>
                        </w:rPr>
                        <m:t>2</m:t>
                      </m:r>
                    </m:sup>
                  </m:sSup>
                </m:e>
              </m:nary>
            </m:e>
          </m:rad>
        </m:oMath>
      </m:oMathPara>
    </w:p>
    <w:p w14:paraId="65B00CCB" w14:textId="66E83540" w:rsidR="00957467" w:rsidRDefault="00957467" w:rsidP="00957467">
      <w:pPr>
        <w:spacing w:line="360" w:lineRule="auto"/>
        <w:jc w:val="both"/>
      </w:pPr>
      <w:r>
        <w:rPr>
          <w:rFonts w:eastAsiaTheme="minorEastAsia"/>
        </w:rPr>
        <w:br/>
        <w:t xml:space="preserve">where </w:t>
      </w:r>
      <m:oMath>
        <m:bar>
          <m:barPr>
            <m:pos m:val="top"/>
            <m:ctrlPr>
              <w:rPr>
                <w:rFonts w:ascii="Cambria Math" w:hAnsi="Cambria Math"/>
                <w:i/>
              </w:rPr>
            </m:ctrlPr>
          </m:bar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bar>
      </m:oMath>
      <w:r>
        <w:rPr>
          <w:rFonts w:eastAsiaTheme="minorEastAsia"/>
        </w:rPr>
        <w:t xml:space="preserve"> is the mean gap fraction in zenith ring </w:t>
      </w:r>
      <m:oMath>
        <m:r>
          <w:rPr>
            <w:rFonts w:ascii="Cambria Math" w:eastAsiaTheme="minorEastAsia" w:hAnsi="Cambria Math"/>
          </w:rPr>
          <m:t>i</m:t>
        </m:r>
      </m:oMath>
      <w:r>
        <w:rPr>
          <w:rFonts w:eastAsiaTheme="minorEastAsia"/>
        </w:rPr>
        <w:t xml:space="preserve"> and </w:t>
      </w:r>
      <m:oMath>
        <m:r>
          <w:rPr>
            <w:rFonts w:ascii="Cambria Math" w:hAnsi="Cambria Math"/>
          </w:rPr>
          <m:t>u[</m:t>
        </m:r>
        <m:bar>
          <m:barPr>
            <m:pos m:val="top"/>
            <m:ctrlPr>
              <w:rPr>
                <w:rFonts w:ascii="Cambria Math" w:hAnsi="Cambria Math"/>
                <w:i/>
              </w:rPr>
            </m:ctrlPr>
          </m:bar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e>
        </m:bar>
        <m:r>
          <w:rPr>
            <w:rFonts w:ascii="Cambria Math" w:hAnsi="Cambria Math"/>
          </w:rPr>
          <m:t>]</m:t>
        </m:r>
      </m:oMath>
      <w:r>
        <w:rPr>
          <w:rFonts w:eastAsiaTheme="minorEastAsia"/>
        </w:rPr>
        <w:t xml:space="preserve"> is its standard </w:t>
      </w:r>
      <w:proofErr w:type="gramStart"/>
      <w:r>
        <w:rPr>
          <w:rFonts w:eastAsiaTheme="minorEastAsia"/>
        </w:rPr>
        <w:t>uncertainty.</w:t>
      </w:r>
      <w:proofErr w:type="gramEnd"/>
      <w:r w:rsidR="003C4600">
        <w:rPr>
          <w:rFonts w:eastAsiaTheme="minorEastAsia"/>
        </w:rPr>
        <w:t xml:space="preserve"> </w:t>
      </w:r>
      <w:r>
        <w:t xml:space="preserve">Similarly, for the method of </w:t>
      </w:r>
      <w:r>
        <w:fldChar w:fldCharType="begin" w:fldLock="1"/>
      </w:r>
      <w:r w:rsidR="00132903">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f52d41a3-7361-4811-aeee-4bfec6b6c2ba","http://www.mendeley.com/documents/?uuid=64c33ae6-5785-463b-be22-59ff4e4a9c5d"]}],"mendeley":{"formattedCitation":"[16]","plainTextFormattedCitation":"[16]","previouslyFormattedCitation":"[16]"},"properties":{"noteIndex":0},"schema":"https://github.com/citation-style-language/schema/raw/master/csl-citation.json"}</w:instrText>
      </w:r>
      <w:r>
        <w:fldChar w:fldCharType="separate"/>
      </w:r>
      <w:r w:rsidR="00132903" w:rsidRPr="00132903">
        <w:rPr>
          <w:noProof/>
        </w:rPr>
        <w:t>[16]</w:t>
      </w:r>
      <w:r>
        <w:fldChar w:fldCharType="end"/>
      </w:r>
      <w:r>
        <w:t>, the standard uncertainty in ‘effective’ LAI due to sampling is obtained as</w:t>
      </w:r>
    </w:p>
    <w:p w14:paraId="2DE7AA47" w14:textId="77777777" w:rsidR="00957467" w:rsidRPr="00760539" w:rsidRDefault="00957467" w:rsidP="00957467">
      <w:pPr>
        <w:spacing w:line="360" w:lineRule="auto"/>
        <w:jc w:val="both"/>
        <w:rPr>
          <w:rFonts w:eastAsiaTheme="minorEastAsia"/>
        </w:rPr>
      </w:pPr>
      <m:oMathPara>
        <m:oMath>
          <m:r>
            <m:rPr>
              <m:sty m:val="p"/>
            </m:rPr>
            <w:rPr>
              <w:rFonts w:ascii="Cambria Math" w:hAnsi="Cambria Math"/>
            </w:rPr>
            <w:lastRenderedPageBreak/>
            <w:br/>
          </m:r>
        </m:oMath>
        <m:oMath>
          <m:r>
            <w:rPr>
              <w:rFonts w:ascii="Cambria Math" w:hAnsi="Cambria Math"/>
            </w:rPr>
            <m:t>u</m:t>
          </m:r>
          <m:d>
            <m:dPr>
              <m:ctrlPr>
                <w:rPr>
                  <w:rFonts w:ascii="Cambria Math" w:hAnsi="Cambria Math"/>
                  <w:i/>
                </w:rPr>
              </m:ctrlPr>
            </m:dPr>
            <m:e>
              <m:r>
                <w:rPr>
                  <w:rFonts w:ascii="Cambria Math" w:hAnsi="Cambria Math"/>
                </w:rPr>
                <m:t>samp</m:t>
              </m:r>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u[</m:t>
              </m:r>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57.7</m:t>
                      </m:r>
                      <m:r>
                        <m:rPr>
                          <m:sty m:val="p"/>
                        </m:rPr>
                        <w:rPr>
                          <w:rFonts w:ascii="Cambria Math" w:eastAsiaTheme="minorEastAsia" w:hAnsi="Cambria Math"/>
                        </w:rPr>
                        <m:t>°</m:t>
                      </m:r>
                    </m:sub>
                  </m:sSub>
                  <m:r>
                    <w:rPr>
                      <w:rFonts w:ascii="Cambria Math" w:hAnsi="Cambria Math"/>
                    </w:rPr>
                    <m:t>)</m:t>
                  </m:r>
                </m:e>
              </m:bar>
              <m:r>
                <w:rPr>
                  <w:rFonts w:ascii="Cambria Math" w:hAnsi="Cambria Math"/>
                </w:rPr>
                <m:t>]</m:t>
              </m:r>
              <m:r>
                <w:rPr>
                  <w:rFonts w:ascii="Cambria Math" w:eastAsiaTheme="minorEastAsia" w:hAnsi="Cambria Math"/>
                </w:rPr>
                <m:t xml:space="preserve">/ </m:t>
              </m:r>
              <m:bar>
                <m:barPr>
                  <m:pos m:val="top"/>
                  <m:ctrlPr>
                    <w:rPr>
                      <w:rFonts w:ascii="Cambria Math" w:eastAsiaTheme="minorEastAsia" w:hAnsi="Cambria Math"/>
                      <w:i/>
                    </w:rPr>
                  </m:ctrlPr>
                </m:barPr>
                <m:e>
                  <m:r>
                    <w:rPr>
                      <w:rFonts w:ascii="Cambria Math" w:eastAsiaTheme="minorEastAsia" w:hAnsi="Cambria Math"/>
                    </w:rPr>
                    <m:t>P(</m:t>
                  </m:r>
                  <m:sSub>
                    <m:sSubPr>
                      <m:ctrlPr>
                        <w:rPr>
                          <w:rFonts w:ascii="Cambria Math" w:hAnsi="Cambria Math"/>
                          <w:i/>
                        </w:rPr>
                      </m:ctrlPr>
                    </m:sSubPr>
                    <m:e>
                      <m:r>
                        <w:rPr>
                          <w:rFonts w:ascii="Cambria Math" w:hAnsi="Cambria Math"/>
                        </w:rPr>
                        <m:t>θ</m:t>
                      </m:r>
                    </m:e>
                    <m:sub>
                      <m:r>
                        <w:rPr>
                          <w:rFonts w:ascii="Cambria Math" w:hAnsi="Cambria Math"/>
                        </w:rPr>
                        <m:t>57.5</m:t>
                      </m:r>
                      <m:r>
                        <m:rPr>
                          <m:sty m:val="p"/>
                        </m:rPr>
                        <w:rPr>
                          <w:rFonts w:ascii="Cambria Math" w:hAnsi="Cambria Math"/>
                        </w:rPr>
                        <m:t>°</m:t>
                      </m:r>
                    </m:sub>
                  </m:sSub>
                  <m:r>
                    <w:rPr>
                      <w:rFonts w:ascii="Cambria Math" w:eastAsiaTheme="minorEastAsia" w:hAnsi="Cambria Math"/>
                    </w:rPr>
                    <m:t>)</m:t>
                  </m:r>
                </m:e>
              </m:bar>
            </m:num>
            <m:den>
              <m:r>
                <w:rPr>
                  <w:rFonts w:ascii="Cambria Math" w:eastAsiaTheme="minorEastAsia" w:hAnsi="Cambria Math"/>
                </w:rPr>
                <m:t>0.93</m:t>
              </m:r>
            </m:den>
          </m:f>
        </m:oMath>
      </m:oMathPara>
    </w:p>
    <w:p w14:paraId="2B7C3A2A" w14:textId="12AB71C4" w:rsidR="00957467" w:rsidRDefault="00957467" w:rsidP="00957467">
      <w:pPr>
        <w:spacing w:line="360" w:lineRule="auto"/>
        <w:jc w:val="both"/>
        <w:rPr>
          <w:rFonts w:eastAsiaTheme="minorEastAsia"/>
        </w:rPr>
      </w:pPr>
      <w:r>
        <w:rPr>
          <w:rFonts w:eastAsiaTheme="minorEastAsia"/>
        </w:rPr>
        <w:br/>
        <w:t xml:space="preserve">where </w:t>
      </w:r>
      <m:oMath>
        <m:r>
          <w:rPr>
            <w:rFonts w:ascii="Cambria Math" w:hAnsi="Cambria Math"/>
          </w:rPr>
          <m:t>u[</m:t>
        </m:r>
        <m:bar>
          <m:barPr>
            <m:pos m:val="top"/>
            <m:ctrlPr>
              <w:rPr>
                <w:rFonts w:ascii="Cambria Math" w:hAnsi="Cambria Math"/>
                <w:i/>
              </w:rPr>
            </m:ctrlPr>
          </m:barPr>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57.7</m:t>
                </m:r>
                <m:r>
                  <m:rPr>
                    <m:sty m:val="p"/>
                  </m:rPr>
                  <w:rPr>
                    <w:rFonts w:ascii="Cambria Math" w:eastAsiaTheme="minorEastAsia" w:hAnsi="Cambria Math"/>
                  </w:rPr>
                  <m:t>°</m:t>
                </m:r>
              </m:sub>
            </m:sSub>
            <m:r>
              <w:rPr>
                <w:rFonts w:ascii="Cambria Math" w:hAnsi="Cambria Math"/>
              </w:rPr>
              <m:t>)</m:t>
            </m:r>
          </m:e>
        </m:bar>
        <m:r>
          <w:rPr>
            <w:rFonts w:ascii="Cambria Math" w:hAnsi="Cambria Math"/>
          </w:rPr>
          <m:t>]</m:t>
        </m:r>
      </m:oMath>
      <w:r>
        <w:rPr>
          <w:rFonts w:eastAsiaTheme="minorEastAsia"/>
        </w:rPr>
        <w:t xml:space="preserve"> is the standard uncertainty in the mean gap fraction </w:t>
      </w:r>
      <w:proofErr w:type="gramStart"/>
      <w:r>
        <w:rPr>
          <w:rFonts w:eastAsiaTheme="minorEastAsia"/>
        </w:rPr>
        <w:t>at 57.5</w:t>
      </w:r>
      <w:r w:rsidRPr="00FC13E8">
        <w:rPr>
          <w:rFonts w:eastAsiaTheme="minorEastAsia"/>
        </w:rPr>
        <w:t>°</w:t>
      </w:r>
      <w:r>
        <w:rPr>
          <w:rFonts w:eastAsiaTheme="minorEastAsia"/>
        </w:rPr>
        <w:t>.</w:t>
      </w:r>
      <w:proofErr w:type="gramEnd"/>
      <w:r w:rsidR="003C4600">
        <w:rPr>
          <w:rFonts w:eastAsiaTheme="minorEastAsia"/>
        </w:rPr>
        <w:t xml:space="preserve"> </w:t>
      </w:r>
      <w:r>
        <w:rPr>
          <w:rFonts w:eastAsiaTheme="minorEastAsia"/>
        </w:rPr>
        <w:t xml:space="preserve">In the case of ‘true’ LAI, </w:t>
      </w:r>
      <w:r>
        <w:t xml:space="preserve">the standard uncertainty due to sampling </w:t>
      </w:r>
      <w:r>
        <w:rPr>
          <w:rFonts w:eastAsiaTheme="minorEastAsia"/>
        </w:rPr>
        <w:t>is calculated as</w:t>
      </w:r>
    </w:p>
    <w:p w14:paraId="57D024F7" w14:textId="77777777" w:rsidR="00957467" w:rsidRPr="00760539" w:rsidRDefault="00957467" w:rsidP="00957467">
      <w:pPr>
        <w:spacing w:line="360" w:lineRule="auto"/>
        <w:jc w:val="both"/>
        <w:rPr>
          <w:rFonts w:eastAsiaTheme="minorEastAsia"/>
        </w:rPr>
      </w:pPr>
    </w:p>
    <w:p w14:paraId="6726EB0C" w14:textId="77777777" w:rsidR="00957467" w:rsidRPr="00FC13E8" w:rsidRDefault="00957467" w:rsidP="00957467">
      <w:pPr>
        <w:spacing w:line="360" w:lineRule="auto"/>
        <w:jc w:val="both"/>
        <w:rPr>
          <w:rFonts w:eastAsiaTheme="minorEastAsia"/>
        </w:rPr>
      </w:pPr>
      <m:oMathPara>
        <m:oMath>
          <m:r>
            <w:rPr>
              <w:rFonts w:ascii="Cambria Math" w:hAnsi="Cambria Math"/>
            </w:rPr>
            <m:t>u</m:t>
          </m:r>
          <m:d>
            <m:dPr>
              <m:ctrlPr>
                <w:rPr>
                  <w:rFonts w:ascii="Cambria Math" w:hAnsi="Cambria Math"/>
                  <w:i/>
                </w:rPr>
              </m:ctrlPr>
            </m:dPr>
            <m:e>
              <m:r>
                <w:rPr>
                  <w:rFonts w:ascii="Cambria Math" w:hAnsi="Cambria Math"/>
                </w:rPr>
                <m:t>samp</m:t>
              </m:r>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u[</m:t>
              </m:r>
              <m:bar>
                <m:barPr>
                  <m:pos m:val="top"/>
                  <m:ctrlPr>
                    <w:rPr>
                      <w:rFonts w:ascii="Cambria Math" w:hAnsi="Cambria Math"/>
                      <w:i/>
                    </w:rPr>
                  </m:ctrlPr>
                </m:barPr>
                <m:e>
                  <m:func>
                    <m:funcPr>
                      <m:ctrlPr>
                        <w:rPr>
                          <w:rFonts w:ascii="Cambria Math" w:hAnsi="Cambria Math"/>
                          <w:i/>
                        </w:rPr>
                      </m:ctrlPr>
                    </m:funcPr>
                    <m:fName>
                      <m:r>
                        <m:rPr>
                          <m:sty m:val="p"/>
                        </m:rPr>
                        <w:rPr>
                          <w:rFonts w:ascii="Cambria Math" w:hAnsi="Cambria Math"/>
                        </w:rPr>
                        <m:t>ln</m:t>
                      </m:r>
                    </m:fName>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57.7</m:t>
                          </m:r>
                          <m:r>
                            <m:rPr>
                              <m:sty m:val="p"/>
                            </m:rPr>
                            <w:rPr>
                              <w:rFonts w:ascii="Cambria Math" w:eastAsiaTheme="minorEastAsia" w:hAnsi="Cambria Math"/>
                            </w:rPr>
                            <m:t>°</m:t>
                          </m:r>
                        </m:sub>
                      </m:sSub>
                      <m:r>
                        <w:rPr>
                          <w:rFonts w:ascii="Cambria Math" w:hAnsi="Cambria Math"/>
                        </w:rPr>
                        <m:t>)</m:t>
                      </m:r>
                    </m:e>
                  </m:func>
                </m:e>
              </m:bar>
              <m:r>
                <w:rPr>
                  <w:rFonts w:ascii="Cambria Math" w:hAnsi="Cambria Math"/>
                </w:rPr>
                <m:t>]</m:t>
              </m:r>
            </m:num>
            <m:den>
              <m:r>
                <w:rPr>
                  <w:rFonts w:ascii="Cambria Math" w:eastAsiaTheme="minorEastAsia" w:hAnsi="Cambria Math"/>
                </w:rPr>
                <m:t>0.93</m:t>
              </m:r>
            </m:den>
          </m:f>
        </m:oMath>
      </m:oMathPara>
    </w:p>
    <w:p w14:paraId="5B142AF6" w14:textId="77777777" w:rsidR="00957467" w:rsidRDefault="00957467" w:rsidP="00957467">
      <w:pPr>
        <w:spacing w:line="360" w:lineRule="auto"/>
        <w:jc w:val="both"/>
        <w:rPr>
          <w:rFonts w:eastAsiaTheme="minorEastAsia"/>
        </w:rPr>
      </w:pPr>
      <w:r>
        <w:rPr>
          <w:rFonts w:eastAsiaTheme="minorEastAsia"/>
        </w:rPr>
        <w:br/>
        <w:t xml:space="preserve">where </w:t>
      </w:r>
      <m:oMath>
        <m:r>
          <w:rPr>
            <w:rFonts w:ascii="Cambria Math" w:hAnsi="Cambria Math"/>
          </w:rPr>
          <m:t>u[</m:t>
        </m:r>
        <m:bar>
          <m:barPr>
            <m:pos m:val="top"/>
            <m:ctrlPr>
              <w:rPr>
                <w:rFonts w:ascii="Cambria Math" w:hAnsi="Cambria Math"/>
                <w:i/>
              </w:rPr>
            </m:ctrlPr>
          </m:barPr>
          <m:e>
            <m:func>
              <m:funcPr>
                <m:ctrlPr>
                  <w:rPr>
                    <w:rFonts w:ascii="Cambria Math" w:hAnsi="Cambria Math"/>
                    <w:i/>
                  </w:rPr>
                </m:ctrlPr>
              </m:funcPr>
              <m:fName>
                <m:r>
                  <m:rPr>
                    <m:sty m:val="p"/>
                  </m:rPr>
                  <w:rPr>
                    <w:rFonts w:ascii="Cambria Math" w:hAnsi="Cambria Math"/>
                  </w:rPr>
                  <m:t>ln</m:t>
                </m:r>
              </m:fName>
              <m:e>
                <m:r>
                  <w:rPr>
                    <w:rFonts w:ascii="Cambria Math" w:hAnsi="Cambria Math"/>
                  </w:rPr>
                  <m:t>P(</m:t>
                </m:r>
                <m:sSub>
                  <m:sSubPr>
                    <m:ctrlPr>
                      <w:rPr>
                        <w:rFonts w:ascii="Cambria Math" w:hAnsi="Cambria Math"/>
                        <w:i/>
                      </w:rPr>
                    </m:ctrlPr>
                  </m:sSubPr>
                  <m:e>
                    <m:r>
                      <w:rPr>
                        <w:rFonts w:ascii="Cambria Math" w:hAnsi="Cambria Math"/>
                      </w:rPr>
                      <m:t>θ</m:t>
                    </m:r>
                  </m:e>
                  <m:sub>
                    <m:r>
                      <w:rPr>
                        <w:rFonts w:ascii="Cambria Math" w:hAnsi="Cambria Math"/>
                      </w:rPr>
                      <m:t>57.7</m:t>
                    </m:r>
                    <m:r>
                      <m:rPr>
                        <m:sty m:val="p"/>
                      </m:rPr>
                      <w:rPr>
                        <w:rFonts w:ascii="Cambria Math" w:eastAsiaTheme="minorEastAsia" w:hAnsi="Cambria Math"/>
                      </w:rPr>
                      <m:t>°</m:t>
                    </m:r>
                  </m:sub>
                </m:sSub>
                <m:r>
                  <w:rPr>
                    <w:rFonts w:ascii="Cambria Math" w:hAnsi="Cambria Math"/>
                  </w:rPr>
                  <m:t>)</m:t>
                </m:r>
              </m:e>
            </m:func>
          </m:e>
        </m:bar>
        <m:r>
          <w:rPr>
            <w:rFonts w:ascii="Cambria Math" w:hAnsi="Cambria Math"/>
          </w:rPr>
          <m:t>]</m:t>
        </m:r>
      </m:oMath>
      <w:r>
        <w:rPr>
          <w:rFonts w:eastAsiaTheme="minorEastAsia"/>
        </w:rPr>
        <w:t xml:space="preserve"> is the standard uncertainty in the mean of the natural logarithm of gap fraction values </w:t>
      </w:r>
      <w:proofErr w:type="gramStart"/>
      <w:r>
        <w:rPr>
          <w:rFonts w:eastAsiaTheme="minorEastAsia"/>
        </w:rPr>
        <w:t>at 57.5</w:t>
      </w:r>
      <w:r w:rsidRPr="00FC13E8">
        <w:rPr>
          <w:rFonts w:eastAsiaTheme="minorEastAsia"/>
        </w:rPr>
        <w:t>°</w:t>
      </w:r>
      <w:r>
        <w:rPr>
          <w:rFonts w:eastAsiaTheme="minorEastAsia"/>
        </w:rPr>
        <w:t>.</w:t>
      </w:r>
      <w:proofErr w:type="gramEnd"/>
    </w:p>
    <w:p w14:paraId="2FC10605" w14:textId="2BB482B3" w:rsidR="00957467" w:rsidRDefault="00957467" w:rsidP="00957467">
      <w:pPr>
        <w:spacing w:line="360" w:lineRule="auto"/>
        <w:jc w:val="both"/>
      </w:pPr>
      <w:r>
        <w:t>A final source of</w:t>
      </w:r>
      <w:r w:rsidRPr="00377CC4">
        <w:t xml:space="preserve"> uncertainty</w:t>
      </w:r>
      <w:r>
        <w:t xml:space="preserve"> assessed using ‘Type A’ evaluation</w:t>
      </w:r>
      <w:r w:rsidRPr="00377CC4">
        <w:t xml:space="preserve"> is that due </w:t>
      </w:r>
      <w:r>
        <w:t xml:space="preserve">to </w:t>
      </w:r>
      <w:r w:rsidRPr="00377CC4">
        <w:t>differences between analysis methods.</w:t>
      </w:r>
      <w:r w:rsidR="003C4600">
        <w:t xml:space="preserve"> </w:t>
      </w:r>
      <w:r w:rsidRPr="00377CC4">
        <w:t>Within the FRM4VEG project, LAI is reported as the mean of several different analysis methods</w:t>
      </w:r>
      <w:r>
        <w:t xml:space="preserve"> implemented within CAN-EYE (i.e. CE 6.1, CE 5.1 and Miller for ‘effective’ LAI, and CE 6.1 and CE 5.1 only for ‘true’ LAI)</w:t>
      </w:r>
      <w:r w:rsidRPr="00377CC4">
        <w:t>.</w:t>
      </w:r>
      <w:r w:rsidR="003C4600">
        <w:t xml:space="preserve"> </w:t>
      </w:r>
      <w:r>
        <w:t>T</w:t>
      </w:r>
      <w:r w:rsidRPr="00377CC4">
        <w:t xml:space="preserve">o represent </w:t>
      </w:r>
      <w:r>
        <w:t>this source of uncertainty, the</w:t>
      </w:r>
      <w:r w:rsidRPr="00377CC4">
        <w:t xml:space="preserve"> standard error of the mean is </w:t>
      </w:r>
      <w:r>
        <w:t>calculated over the considered analysis methods.</w:t>
      </w:r>
    </w:p>
    <w:p w14:paraId="1B10C1D0" w14:textId="77777777" w:rsidR="00957467" w:rsidRDefault="00957467" w:rsidP="00957467">
      <w:pPr>
        <w:spacing w:line="360" w:lineRule="auto"/>
        <w:jc w:val="both"/>
      </w:pPr>
      <w:r>
        <w:t xml:space="preserve">To obtain the combined standard </w:t>
      </w:r>
      <w:r w:rsidRPr="00793618">
        <w:t xml:space="preserve">uncertainty in </w:t>
      </w:r>
      <w:r>
        <w:t xml:space="preserve">LAI </w:t>
      </w:r>
      <w:r w:rsidRPr="00793618">
        <w:t xml:space="preserve">all considered components </w:t>
      </w:r>
      <w:r>
        <w:t xml:space="preserve">are added </w:t>
      </w:r>
      <w:r w:rsidRPr="00793618">
        <w:t>in quadrature, such that</w:t>
      </w:r>
    </w:p>
    <w:p w14:paraId="6CE813CA" w14:textId="77777777" w:rsidR="00957467" w:rsidRPr="004B66FD" w:rsidRDefault="00957467" w:rsidP="00957467">
      <w:pPr>
        <w:spacing w:line="360" w:lineRule="auto"/>
        <w:jc w:val="both"/>
        <w:rPr>
          <w:rFonts w:eastAsiaTheme="minorEastAsia"/>
        </w:rPr>
      </w:pPr>
      <w:r>
        <w:rPr>
          <w:rFonts w:eastAsiaTheme="minorEastAsia"/>
        </w:rPr>
        <w:br/>
      </w:r>
      <m:oMathPara>
        <m:oMath>
          <m:r>
            <w:rPr>
              <w:rFonts w:ascii="Cambria Math" w:hAnsi="Cambria Math"/>
            </w:rPr>
            <m:t>u</m:t>
          </m:r>
          <m:d>
            <m:dPr>
              <m:ctrlPr>
                <w:rPr>
                  <w:rFonts w:ascii="Cambria Math" w:hAnsi="Cambria Math"/>
                  <w:i/>
                </w:rPr>
              </m:ctrlPr>
            </m:dPr>
            <m:e>
              <m:r>
                <w:rPr>
                  <w:rFonts w:ascii="Cambria Math" w:hAnsi="Cambria Math"/>
                </w:rPr>
                <m:t>LAI</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u(level)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u(class)</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u(samp)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u(method)</m:t>
                  </m:r>
                </m:e>
                <m:sup>
                  <m:r>
                    <w:rPr>
                      <w:rFonts w:ascii="Cambria Math" w:hAnsi="Cambria Math"/>
                    </w:rPr>
                    <m:t>2</m:t>
                  </m:r>
                </m:sup>
              </m:sSup>
            </m:e>
          </m:rad>
        </m:oMath>
      </m:oMathPara>
    </w:p>
    <w:p w14:paraId="1E4C1450" w14:textId="6E77A875" w:rsidR="00957467" w:rsidRDefault="00957467" w:rsidP="00957467">
      <w:pPr>
        <w:spacing w:line="360" w:lineRule="auto"/>
        <w:jc w:val="both"/>
      </w:pPr>
      <w:r>
        <w:rPr>
          <w:rFonts w:eastAsiaTheme="minorEastAsia"/>
        </w:rPr>
        <w:br/>
        <w:t xml:space="preserve">where </w:t>
      </w:r>
      <m:oMath>
        <m:r>
          <w:rPr>
            <w:rFonts w:ascii="Cambria Math" w:hAnsi="Cambria Math"/>
          </w:rPr>
          <m:t>u(level)</m:t>
        </m:r>
      </m:oMath>
      <w:r>
        <w:rPr>
          <w:rFonts w:eastAsiaTheme="minorEastAsia"/>
        </w:rPr>
        <w:t xml:space="preserve">, </w:t>
      </w:r>
      <m:oMath>
        <m:r>
          <w:rPr>
            <w:rFonts w:ascii="Cambria Math" w:hAnsi="Cambria Math"/>
          </w:rPr>
          <m:t>u(class)</m:t>
        </m:r>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samp</m:t>
            </m:r>
          </m:e>
        </m:d>
      </m:oMath>
      <w:r>
        <w:rPr>
          <w:rFonts w:eastAsiaTheme="minorEastAsia"/>
        </w:rPr>
        <w:t xml:space="preserve">, and </w:t>
      </w:r>
      <m:oMath>
        <m:r>
          <w:rPr>
            <w:rFonts w:ascii="Cambria Math" w:hAnsi="Cambria Math"/>
          </w:rPr>
          <m:t>u(method)</m:t>
        </m:r>
      </m:oMath>
      <w:r>
        <w:rPr>
          <w:rFonts w:eastAsiaTheme="minorEastAsia"/>
        </w:rPr>
        <w:t xml:space="preserve"> are the standard uncertainties in LAI due to instrument levelling, image classification, sampling, and differences between analysis methods, respectively.</w:t>
      </w:r>
      <w:r w:rsidR="003C4600">
        <w:rPr>
          <w:rFonts w:eastAsiaTheme="minorEastAsia"/>
        </w:rPr>
        <w:t xml:space="preserve"> </w:t>
      </w:r>
      <w:r>
        <w:t>When LAI is derived using both upwards and downwards facing DHP, the standard uncertainty in total LAI should be calculated as</w:t>
      </w:r>
    </w:p>
    <w:p w14:paraId="67B3F223" w14:textId="77777777" w:rsidR="00957467" w:rsidRPr="004B66FD" w:rsidRDefault="00957467" w:rsidP="00957467">
      <w:pPr>
        <w:spacing w:line="360" w:lineRule="auto"/>
        <w:jc w:val="both"/>
        <w:rPr>
          <w:rFonts w:eastAsiaTheme="minorEastAsia"/>
        </w:rPr>
      </w:pPr>
      <w:r>
        <w:rPr>
          <w:rFonts w:eastAsiaTheme="minorEastAsia"/>
        </w:rPr>
        <w:br/>
      </w:r>
      <m:oMathPara>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LAI</m:t>
                  </m:r>
                </m:e>
                <m:sub>
                  <m:r>
                    <w:rPr>
                      <w:rFonts w:ascii="Cambria Math" w:hAnsi="Cambria Math"/>
                    </w:rPr>
                    <m:t>total</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m:t>
                  </m:r>
                  <m:sSub>
                    <m:sSubPr>
                      <m:ctrlPr>
                        <w:rPr>
                          <w:rFonts w:ascii="Cambria Math" w:hAnsi="Cambria Math"/>
                          <w:i/>
                        </w:rPr>
                      </m:ctrlPr>
                    </m:sSubPr>
                    <m:e>
                      <m:r>
                        <w:rPr>
                          <w:rFonts w:ascii="Cambria Math" w:hAnsi="Cambria Math"/>
                        </w:rPr>
                        <m:t>LAI</m:t>
                      </m:r>
                    </m:e>
                    <m:sub>
                      <m:r>
                        <w:rPr>
                          <w:rFonts w:ascii="Cambria Math" w:hAnsi="Cambria Math"/>
                        </w:rPr>
                        <m:t>up</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sSub>
                    <m:sSubPr>
                      <m:ctrlPr>
                        <w:rPr>
                          <w:rFonts w:ascii="Cambria Math" w:hAnsi="Cambria Math"/>
                          <w:i/>
                        </w:rPr>
                      </m:ctrlPr>
                    </m:sSubPr>
                    <m:e>
                      <m:r>
                        <w:rPr>
                          <w:rFonts w:ascii="Cambria Math" w:hAnsi="Cambria Math"/>
                        </w:rPr>
                        <m:t>LAI</m:t>
                      </m:r>
                    </m:e>
                    <m:sub>
                      <m:r>
                        <w:rPr>
                          <w:rFonts w:ascii="Cambria Math" w:hAnsi="Cambria Math"/>
                        </w:rPr>
                        <m:t>down</m:t>
                      </m:r>
                    </m:sub>
                  </m:sSub>
                  <m:r>
                    <w:rPr>
                      <w:rFonts w:ascii="Cambria Math" w:hAnsi="Cambria Math"/>
                    </w:rPr>
                    <m:t>)</m:t>
                  </m:r>
                </m:e>
                <m:sup>
                  <m:r>
                    <w:rPr>
                      <w:rFonts w:ascii="Cambria Math" w:hAnsi="Cambria Math"/>
                    </w:rPr>
                    <m:t>2</m:t>
                  </m:r>
                </m:sup>
              </m:sSup>
            </m:e>
          </m:rad>
        </m:oMath>
      </m:oMathPara>
    </w:p>
    <w:p w14:paraId="7D5D27F1" w14:textId="77777777" w:rsidR="00957467" w:rsidRDefault="00957467" w:rsidP="00957467">
      <w:pPr>
        <w:spacing w:line="360" w:lineRule="auto"/>
        <w:jc w:val="both"/>
        <w:rPr>
          <w:rFonts w:eastAsiaTheme="minorEastAsia"/>
        </w:rPr>
      </w:pPr>
    </w:p>
    <w:p w14:paraId="79D232B9" w14:textId="77777777" w:rsidR="00957467" w:rsidRDefault="00957467" w:rsidP="00957467">
      <w:pPr>
        <w:spacing w:line="360" w:lineRule="auto"/>
        <w:jc w:val="both"/>
        <w:rPr>
          <w:rFonts w:eastAsiaTheme="minorEastAsia"/>
        </w:rPr>
      </w:pPr>
      <w:r>
        <w:rPr>
          <w:rFonts w:eastAsiaTheme="minorEastAsia"/>
        </w:rPr>
        <w:t xml:space="preserve">where </w:t>
      </w:r>
      <m:oMath>
        <m:r>
          <w:rPr>
            <w:rFonts w:ascii="Cambria Math" w:hAnsi="Cambria Math"/>
          </w:rPr>
          <m:t>u(</m:t>
        </m:r>
        <m:sSub>
          <m:sSubPr>
            <m:ctrlPr>
              <w:rPr>
                <w:rFonts w:ascii="Cambria Math" w:hAnsi="Cambria Math"/>
                <w:i/>
              </w:rPr>
            </m:ctrlPr>
          </m:sSubPr>
          <m:e>
            <m:r>
              <w:rPr>
                <w:rFonts w:ascii="Cambria Math" w:hAnsi="Cambria Math"/>
              </w:rPr>
              <m:t>LAI</m:t>
            </m:r>
          </m:e>
          <m:sub>
            <m:r>
              <w:rPr>
                <w:rFonts w:ascii="Cambria Math" w:hAnsi="Cambria Math"/>
              </w:rPr>
              <m:t>up</m:t>
            </m:r>
          </m:sub>
        </m:sSub>
        <m:r>
          <w:rPr>
            <w:rFonts w:ascii="Cambria Math" w:hAnsi="Cambria Math"/>
          </w:rPr>
          <m:t>)</m:t>
        </m:r>
      </m:oMath>
      <w:r>
        <w:rPr>
          <w:rFonts w:eastAsiaTheme="minorEastAsia"/>
        </w:rPr>
        <w:t xml:space="preserve"> and </w:t>
      </w:r>
      <m:oMath>
        <m:r>
          <w:rPr>
            <w:rFonts w:ascii="Cambria Math" w:hAnsi="Cambria Math"/>
          </w:rPr>
          <m:t>u(</m:t>
        </m:r>
        <m:sSub>
          <m:sSubPr>
            <m:ctrlPr>
              <w:rPr>
                <w:rFonts w:ascii="Cambria Math" w:hAnsi="Cambria Math"/>
                <w:i/>
              </w:rPr>
            </m:ctrlPr>
          </m:sSubPr>
          <m:e>
            <m:r>
              <w:rPr>
                <w:rFonts w:ascii="Cambria Math" w:hAnsi="Cambria Math"/>
              </w:rPr>
              <m:t>LAI</m:t>
            </m:r>
          </m:e>
          <m:sub>
            <m:r>
              <w:rPr>
                <w:rFonts w:ascii="Cambria Math" w:hAnsi="Cambria Math"/>
              </w:rPr>
              <m:t>down</m:t>
            </m:r>
          </m:sub>
        </m:sSub>
        <m:r>
          <w:rPr>
            <w:rFonts w:ascii="Cambria Math" w:hAnsi="Cambria Math"/>
          </w:rPr>
          <m:t>)</m:t>
        </m:r>
      </m:oMath>
      <w:r>
        <w:rPr>
          <w:rFonts w:eastAsiaTheme="minorEastAsia"/>
        </w:rPr>
        <w:t xml:space="preserve"> are the standard uncertainties in LAI derived using upwards and downwards facing DHP, respectively.</w:t>
      </w:r>
    </w:p>
    <w:p w14:paraId="0660DE2A" w14:textId="651D2785" w:rsidR="00EC5896" w:rsidRPr="000043E3" w:rsidRDefault="00957467" w:rsidP="000043E3">
      <w:pPr>
        <w:spacing w:line="360" w:lineRule="auto"/>
        <w:jc w:val="both"/>
        <w:rPr>
          <w:rFonts w:eastAsiaTheme="minorEastAsia"/>
        </w:rPr>
      </w:pPr>
      <w:r>
        <w:rPr>
          <w:rFonts w:eastAsiaTheme="minorEastAsia"/>
        </w:rPr>
        <w:lastRenderedPageBreak/>
        <w:t>In addition to the uncertainty sources considered above, it should be noted that uncertainty may arise due to differences in the definition of the considered quantity.</w:t>
      </w:r>
      <w:r w:rsidR="003C4600">
        <w:rPr>
          <w:rFonts w:eastAsiaTheme="minorEastAsia"/>
        </w:rPr>
        <w:t xml:space="preserve"> </w:t>
      </w:r>
      <w:r>
        <w:rPr>
          <w:rFonts w:eastAsiaTheme="minorEastAsia"/>
        </w:rPr>
        <w:t>As discussed in Sectio</w:t>
      </w:r>
      <w:r w:rsidR="0035328A">
        <w:rPr>
          <w:rFonts w:eastAsiaTheme="minorEastAsia"/>
        </w:rPr>
        <w:t>n 2.2.1</w:t>
      </w:r>
      <w:r>
        <w:rPr>
          <w:rFonts w:eastAsiaTheme="minorEastAsia"/>
        </w:rPr>
        <w:t>, both ‘effective’ and ‘true’ LAI may be defined, and either quantity may refer to all elements of the canopy (i.e. PAI), or in the case of downwards facing DHP, green elements only</w:t>
      </w:r>
      <w:r w:rsidR="00F1023F">
        <w:rPr>
          <w:rFonts w:eastAsiaTheme="minorEastAsia"/>
        </w:rPr>
        <w:t xml:space="preserve"> (i.e. GAI)</w:t>
      </w:r>
      <w:r>
        <w:rPr>
          <w:rFonts w:eastAsiaTheme="minorEastAsia"/>
        </w:rPr>
        <w:t>.</w:t>
      </w:r>
    </w:p>
    <w:p w14:paraId="256DC8D6" w14:textId="73B729A5" w:rsidR="008510A7" w:rsidRDefault="008510A7" w:rsidP="008510A7">
      <w:pPr>
        <w:spacing w:line="360" w:lineRule="auto"/>
        <w:jc w:val="both"/>
      </w:pPr>
      <w:r>
        <w:t>The uncertainty in individual in</w:t>
      </w:r>
      <w:r w:rsidR="00C70376">
        <w:t xml:space="preserve"> </w:t>
      </w:r>
      <w:r>
        <w:t>situ LCC measurements includes contributions from two main sources: those uncertainties inherent to the optical chlorophyll meter itself, and those related to the calibration function.</w:t>
      </w:r>
      <w:r w:rsidR="003C4600">
        <w:t xml:space="preserve"> </w:t>
      </w:r>
      <w:r>
        <w:t>The uncertainties inherent to the optical chlorophyll meter are easily assessed using ‘Type B’ evaluation, and include accuracy, repeatability, reproducibility, temperature drift, and resolution</w:t>
      </w:r>
      <w:r w:rsidR="00B10DCA">
        <w:t xml:space="preserve"> (Figure 1</w:t>
      </w:r>
      <w:r w:rsidR="005A17B3">
        <w:t>3</w:t>
      </w:r>
      <w:r w:rsidR="00B10DCA">
        <w:t>)</w:t>
      </w:r>
      <w:r>
        <w:t>.</w:t>
      </w:r>
      <w:r w:rsidR="003C4600">
        <w:t xml:space="preserve"> </w:t>
      </w:r>
      <w:r>
        <w:t>The standard uncertainty in the SPAD values provided by the optical chlorophyll meter can therefore be determined as</w:t>
      </w:r>
    </w:p>
    <w:p w14:paraId="7FBE7921" w14:textId="77777777" w:rsidR="008510A7" w:rsidRDefault="008510A7" w:rsidP="008510A7">
      <w:pPr>
        <w:spacing w:line="360" w:lineRule="auto"/>
        <w:jc w:val="both"/>
      </w:pPr>
      <m:oMathPara>
        <m:oMath>
          <m:r>
            <m:rPr>
              <m:sty m:val="p"/>
            </m:rPr>
            <w:rPr>
              <w:rFonts w:ascii="Cambria Math" w:hAnsi="Cambria Math"/>
            </w:rPr>
            <w:br/>
          </m:r>
        </m:oMath>
        <m:oMath>
          <m:r>
            <w:rPr>
              <w:rFonts w:ascii="Cambria Math" w:hAnsi="Cambria Math"/>
            </w:rPr>
            <m:t>u</m:t>
          </m:r>
          <m:d>
            <m:dPr>
              <m:ctrlPr>
                <w:rPr>
                  <w:rFonts w:ascii="Cambria Math" w:hAnsi="Cambria Math"/>
                  <w:i/>
                </w:rPr>
              </m:ctrlPr>
            </m:dPr>
            <m:e>
              <m:r>
                <w:rPr>
                  <w:rFonts w:ascii="Cambria Math" w:hAnsi="Cambria Math"/>
                </w:rPr>
                <m:t>M</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acc</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repeat</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repro</m:t>
                      </m: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temp</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u(res)</m:t>
                  </m:r>
                </m:e>
                <m:sup>
                  <m:r>
                    <w:rPr>
                      <w:rFonts w:ascii="Cambria Math" w:hAnsi="Cambria Math"/>
                    </w:rPr>
                    <m:t>2</m:t>
                  </m:r>
                </m:sup>
              </m:sSup>
            </m:e>
          </m:rad>
          <m:r>
            <m:rPr>
              <m:sty m:val="p"/>
            </m:rPr>
            <w:rPr>
              <w:rFonts w:eastAsiaTheme="minorEastAsia"/>
            </w:rPr>
            <w:br/>
          </m:r>
        </m:oMath>
      </m:oMathPara>
    </w:p>
    <w:p w14:paraId="4939DA74" w14:textId="77777777" w:rsidR="008510A7" w:rsidRDefault="008510A7" w:rsidP="008510A7">
      <w:pPr>
        <w:spacing w:line="360" w:lineRule="auto"/>
        <w:jc w:val="both"/>
        <w:rPr>
          <w:rFonts w:eastAsiaTheme="minorEastAsia"/>
        </w:rPr>
      </w:pPr>
      <w:r>
        <w:t xml:space="preserve">where </w:t>
      </w:r>
      <m:oMath>
        <m:r>
          <w:rPr>
            <w:rFonts w:ascii="Cambria Math" w:hAnsi="Cambria Math"/>
          </w:rPr>
          <m:t>u</m:t>
        </m:r>
        <m:d>
          <m:dPr>
            <m:ctrlPr>
              <w:rPr>
                <w:rFonts w:ascii="Cambria Math" w:hAnsi="Cambria Math"/>
                <w:i/>
              </w:rPr>
            </m:ctrlPr>
          </m:dPr>
          <m:e>
            <m:r>
              <w:rPr>
                <w:rFonts w:ascii="Cambria Math" w:hAnsi="Cambria Math"/>
              </w:rPr>
              <m:t>acc</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repeat</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repro</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temp</m:t>
            </m:r>
          </m:e>
        </m:d>
      </m:oMath>
      <w:r>
        <w:rPr>
          <w:rFonts w:eastAsiaTheme="minorEastAsia"/>
        </w:rPr>
        <w:t xml:space="preserve">, and </w:t>
      </w:r>
      <m:oMath>
        <m:r>
          <w:rPr>
            <w:rFonts w:ascii="Cambria Math" w:hAnsi="Cambria Math"/>
          </w:rPr>
          <m:t>u(res)</m:t>
        </m:r>
      </m:oMath>
      <w:r>
        <w:rPr>
          <w:rFonts w:eastAsiaTheme="minorEastAsia"/>
        </w:rPr>
        <w:t xml:space="preserve"> are the standard uncertainties in SPAD values due to </w:t>
      </w:r>
      <w:r w:rsidRPr="00960A2A">
        <w:rPr>
          <w:rFonts w:eastAsiaTheme="minorEastAsia"/>
        </w:rPr>
        <w:t>accuracy, repeatability, reproducibility, temperature drift, and resolution</w:t>
      </w:r>
      <w:r>
        <w:rPr>
          <w:rFonts w:eastAsiaTheme="minorEastAsia"/>
        </w:rPr>
        <w:t>, respectively.</w:t>
      </w:r>
    </w:p>
    <w:p w14:paraId="4B7E6A88" w14:textId="68B4F615" w:rsidR="008510A7" w:rsidRDefault="008510A7" w:rsidP="008510A7">
      <w:pPr>
        <w:spacing w:line="360" w:lineRule="auto"/>
        <w:jc w:val="both"/>
      </w:pPr>
      <w:r>
        <w:t>In addition to the uncertainties inherent to the optical chlorophyll meter, the uncertainties related to calibration function also incorporate those associated with the instruments and apparatus used to determine LCC spectrophotometrically.</w:t>
      </w:r>
      <w:r w:rsidR="003C4600">
        <w:t xml:space="preserve"> </w:t>
      </w:r>
      <w:r>
        <w:t>These include various uncertainty sources related to the spectrophotometer (i.e. photometric accuracy, repeatability, noise, drift, stray light, baseline flatness, and resolution), in addition to the volume of extraction solvent released by the dispenser, and the area of the leaf disc extracted by the cork borer</w:t>
      </w:r>
      <w:r w:rsidR="00B10DCA">
        <w:t xml:space="preserve"> (Figure 1</w:t>
      </w:r>
      <w:r w:rsidR="005A17B3">
        <w:t>4</w:t>
      </w:r>
      <w:r w:rsidR="00B10DCA">
        <w:t>)</w:t>
      </w:r>
      <w:r>
        <w:t xml:space="preserve">. </w:t>
      </w:r>
      <w:proofErr w:type="gramStart"/>
      <w:r>
        <w:t>With the exception of</w:t>
      </w:r>
      <w:proofErr w:type="gramEnd"/>
      <w:r>
        <w:t xml:space="preserve"> the latter term, which must be evaluated by ‘Type A’ evaluation, these uncertainties can be assessed using ‘Type B’ evaluation.</w:t>
      </w:r>
      <w:r w:rsidR="003C4600">
        <w:t xml:space="preserve"> </w:t>
      </w:r>
      <w:r>
        <w:t>Within the project, the uncertainty in leaf disc area was assessed by removing discs from a subset of 60 leaves and measuring their area using a flatbed scanner.</w:t>
      </w:r>
      <w:r w:rsidR="003C4600">
        <w:t xml:space="preserve"> </w:t>
      </w:r>
      <w:r>
        <w:t>The uncertainty was determined as the standard error of the mean (0.11 mm</w:t>
      </w:r>
      <w:r>
        <w:rPr>
          <w:vertAlign w:val="superscript"/>
        </w:rPr>
        <w:t>2</w:t>
      </w:r>
      <w:r>
        <w:t>).</w:t>
      </w:r>
    </w:p>
    <w:p w14:paraId="4BC9CDCE" w14:textId="0A95142B" w:rsidR="008510A7" w:rsidRDefault="008510A7" w:rsidP="000043E3">
      <w:pPr>
        <w:spacing w:line="360" w:lineRule="auto"/>
        <w:jc w:val="center"/>
      </w:pPr>
      <w:r>
        <w:lastRenderedPageBreak/>
        <w:br/>
      </w:r>
      <w:r w:rsidR="000043E3">
        <w:rPr>
          <w:noProof/>
        </w:rPr>
        <w:object w:dxaOrig="13455" w:dyaOrig="5581" w14:anchorId="2493D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75pt;height:163.5pt;mso-width-percent:0;mso-height-percent:0;mso-width-percent:0;mso-height-percent:0" o:ole="">
            <v:imagedata r:id="rId33" o:title=""/>
          </v:shape>
          <o:OLEObject Type="Embed" ProgID="Visio.Drawing.15" ShapeID="_x0000_i1025" DrawAspect="Content" ObjectID="_1655128709" r:id="rId34"/>
        </w:object>
      </w:r>
    </w:p>
    <w:p w14:paraId="17E92EFB" w14:textId="0D85A2A5" w:rsidR="008510A7" w:rsidRDefault="008510A7" w:rsidP="008510A7">
      <w:pPr>
        <w:pStyle w:val="Caption"/>
        <w:spacing w:line="360" w:lineRule="auto"/>
        <w:jc w:val="center"/>
      </w:pPr>
      <w:bookmarkStart w:id="161" w:name="_Ref1660431"/>
      <w:bookmarkStart w:id="162" w:name="_Toc37082483"/>
      <w:bookmarkStart w:id="163" w:name="_Toc41595348"/>
      <w:r>
        <w:t xml:space="preserve">Figure </w:t>
      </w:r>
      <w:r>
        <w:rPr>
          <w:noProof/>
        </w:rPr>
        <w:fldChar w:fldCharType="begin"/>
      </w:r>
      <w:r>
        <w:rPr>
          <w:noProof/>
        </w:rPr>
        <w:instrText xml:space="preserve"> SEQ Figure \* ARABIC </w:instrText>
      </w:r>
      <w:r>
        <w:rPr>
          <w:noProof/>
        </w:rPr>
        <w:fldChar w:fldCharType="separate"/>
      </w:r>
      <w:r w:rsidR="0035328A">
        <w:rPr>
          <w:noProof/>
        </w:rPr>
        <w:t>13</w:t>
      </w:r>
      <w:r>
        <w:rPr>
          <w:noProof/>
        </w:rPr>
        <w:fldChar w:fldCharType="end"/>
      </w:r>
      <w:bookmarkEnd w:id="161"/>
      <w:r>
        <w:t>: Fish-bone diagram illustrating the components contributing to uncertainty in the SPAD values provided by the optical chlorophyll meter.</w:t>
      </w:r>
      <w:bookmarkEnd w:id="162"/>
      <w:bookmarkEnd w:id="163"/>
    </w:p>
    <w:p w14:paraId="67BC102C" w14:textId="77777777" w:rsidR="008510A7" w:rsidRDefault="008510A7" w:rsidP="008510A7">
      <w:pPr>
        <w:spacing w:line="360" w:lineRule="auto"/>
        <w:jc w:val="both"/>
      </w:pPr>
      <w:r>
        <w:br/>
      </w:r>
      <w:proofErr w:type="gramStart"/>
      <w:r>
        <w:t>Taking into account</w:t>
      </w:r>
      <w:proofErr w:type="gramEnd"/>
      <w:r>
        <w:t xml:space="preserve"> the uncertainty sources related to the spectrophotometer, the standard uncertainty in absorbance measured at a given wavelength can be obtained as</w:t>
      </w:r>
    </w:p>
    <w:p w14:paraId="34C562A5" w14:textId="77777777" w:rsidR="008510A7" w:rsidRPr="00700BDC" w:rsidRDefault="008510A7" w:rsidP="008510A7">
      <w:pPr>
        <w:spacing w:line="360" w:lineRule="auto"/>
        <w:jc w:val="both"/>
        <w:rPr>
          <w:rFonts w:eastAsiaTheme="minorEastAsia"/>
        </w:rPr>
      </w:pPr>
      <m:oMathPara>
        <m:oMath>
          <m:r>
            <m:rPr>
              <m:sty m:val="p"/>
            </m:rPr>
            <w:rPr>
              <w:rFonts w:ascii="Cambria Math" w:hAnsi="Cambria Math"/>
            </w:rPr>
            <w:br/>
          </m:r>
        </m:oMath>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lang w:val="el-GR"/>
                    </w:rPr>
                    <m:t>λ</m:t>
                  </m:r>
                </m:sub>
              </m:sSub>
            </m:e>
          </m:d>
          <m:r>
            <w:rPr>
              <w:rFonts w:ascii="Cambria Math" w:hAnsi="Cambria Math"/>
            </w:rPr>
            <m:t>=</m:t>
          </m:r>
          <m:rad>
            <m:radPr>
              <m:degHide m:val="1"/>
              <m:ctrlPr>
                <w:rPr>
                  <w:rFonts w:ascii="Cambria Math" w:hAnsi="Cambria Math"/>
                  <w:i/>
                </w:rPr>
              </m:ctrlPr>
            </m:radPr>
            <m:deg/>
            <m:e>
              <m:eqArr>
                <m:eqArrPr>
                  <m:ctrlPr>
                    <w:rPr>
                      <w:rFonts w:ascii="Cambria Math" w:hAnsi="Cambria Math"/>
                      <w:i/>
                    </w:rPr>
                  </m:ctrlPr>
                </m:eqArrPr>
                <m:e>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acc</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rep</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nosie</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d>
                        <m:dPr>
                          <m:ctrlPr>
                            <w:rPr>
                              <w:rFonts w:ascii="Cambria Math" w:hAnsi="Cambria Math"/>
                              <w:i/>
                            </w:rPr>
                          </m:ctrlPr>
                        </m:dPr>
                        <m:e>
                          <m:r>
                            <w:rPr>
                              <w:rFonts w:ascii="Cambria Math" w:hAnsi="Cambria Math"/>
                            </w:rPr>
                            <m:t>drift</m:t>
                          </m:r>
                        </m:e>
                      </m:d>
                    </m:e>
                    <m:sup>
                      <m:r>
                        <w:rPr>
                          <w:rFonts w:ascii="Cambria Math" w:hAnsi="Cambria Math"/>
                        </w:rPr>
                        <m:t>2</m:t>
                      </m:r>
                    </m:sup>
                  </m:sSup>
                </m:e>
                <m:e>
                  <m:r>
                    <w:rPr>
                      <w:rFonts w:ascii="Cambria Math" w:hAnsi="Cambria Math"/>
                    </w:rPr>
                    <m:t xml:space="preserve">+ </m:t>
                  </m:r>
                  <m:sSup>
                    <m:sSupPr>
                      <m:ctrlPr>
                        <w:rPr>
                          <w:rFonts w:ascii="Cambria Math" w:hAnsi="Cambria Math"/>
                          <w:i/>
                        </w:rPr>
                      </m:ctrlPr>
                    </m:sSupPr>
                    <m:e>
                      <m:r>
                        <w:rPr>
                          <w:rFonts w:ascii="Cambria Math" w:hAnsi="Cambria Math"/>
                        </w:rPr>
                        <m:t>u(stray)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u(flat)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u(res)</m:t>
                      </m:r>
                    </m:e>
                    <m:sup>
                      <m:r>
                        <w:rPr>
                          <w:rFonts w:ascii="Cambria Math" w:hAnsi="Cambria Math"/>
                        </w:rPr>
                        <m:t>2</m:t>
                      </m:r>
                    </m:sup>
                  </m:sSup>
                </m:e>
              </m:eqArr>
            </m:e>
          </m:rad>
        </m:oMath>
      </m:oMathPara>
    </w:p>
    <w:p w14:paraId="136614AF" w14:textId="77777777" w:rsidR="008510A7" w:rsidRDefault="008510A7" w:rsidP="008510A7">
      <w:pPr>
        <w:spacing w:line="360" w:lineRule="auto"/>
        <w:jc w:val="both"/>
        <w:rPr>
          <w:rFonts w:eastAsiaTheme="minorEastAsia"/>
        </w:rPr>
      </w:pPr>
      <w:r>
        <w:rPr>
          <w:rFonts w:eastAsiaTheme="minorEastAsia"/>
        </w:rPr>
        <w:br/>
        <w:t xml:space="preserve">where </w:t>
      </w:r>
      <m:oMath>
        <m:r>
          <w:rPr>
            <w:rFonts w:ascii="Cambria Math" w:hAnsi="Cambria Math"/>
          </w:rPr>
          <m:t>u</m:t>
        </m:r>
        <m:d>
          <m:dPr>
            <m:ctrlPr>
              <w:rPr>
                <w:rFonts w:ascii="Cambria Math" w:hAnsi="Cambria Math"/>
                <w:i/>
              </w:rPr>
            </m:ctrlPr>
          </m:dPr>
          <m:e>
            <m:r>
              <w:rPr>
                <w:rFonts w:ascii="Cambria Math" w:hAnsi="Cambria Math"/>
              </w:rPr>
              <m:t>acc</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rep</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noise</m:t>
            </m:r>
          </m:e>
        </m:d>
      </m:oMath>
      <w:r>
        <w:rPr>
          <w:rFonts w:eastAsiaTheme="minorEastAsia"/>
        </w:rPr>
        <w:t xml:space="preserve">, </w:t>
      </w:r>
      <m:oMath>
        <m:r>
          <w:rPr>
            <w:rFonts w:ascii="Cambria Math" w:hAnsi="Cambria Math"/>
          </w:rPr>
          <m:t>u</m:t>
        </m:r>
        <m:d>
          <m:dPr>
            <m:ctrlPr>
              <w:rPr>
                <w:rFonts w:ascii="Cambria Math" w:hAnsi="Cambria Math"/>
                <w:i/>
              </w:rPr>
            </m:ctrlPr>
          </m:dPr>
          <m:e>
            <m:r>
              <w:rPr>
                <w:rFonts w:ascii="Cambria Math" w:hAnsi="Cambria Math"/>
              </w:rPr>
              <m:t>drift</m:t>
            </m:r>
          </m:e>
        </m:d>
      </m:oMath>
      <w:r>
        <w:rPr>
          <w:rFonts w:eastAsiaTheme="minorEastAsia"/>
        </w:rPr>
        <w:t xml:space="preserve">, </w:t>
      </w:r>
      <m:oMath>
        <m:r>
          <w:rPr>
            <w:rFonts w:ascii="Cambria Math" w:eastAsiaTheme="minorEastAsia" w:hAnsi="Cambria Math"/>
          </w:rPr>
          <m:t>u</m:t>
        </m:r>
        <m:r>
          <w:rPr>
            <w:rFonts w:ascii="Cambria Math" w:hAnsi="Cambria Math"/>
          </w:rPr>
          <m:t>(stray)</m:t>
        </m:r>
      </m:oMath>
      <w:r>
        <w:rPr>
          <w:rFonts w:eastAsiaTheme="minorEastAsia"/>
        </w:rPr>
        <w:t xml:space="preserve">, </w:t>
      </w:r>
      <m:oMath>
        <m:r>
          <w:rPr>
            <w:rFonts w:ascii="Cambria Math" w:hAnsi="Cambria Math"/>
          </w:rPr>
          <m:t>u(flat)</m:t>
        </m:r>
      </m:oMath>
      <w:r>
        <w:rPr>
          <w:rFonts w:eastAsiaTheme="minorEastAsia"/>
        </w:rPr>
        <w:t xml:space="preserve">, and </w:t>
      </w:r>
      <m:oMath>
        <m:r>
          <w:rPr>
            <w:rFonts w:ascii="Cambria Math" w:hAnsi="Cambria Math"/>
          </w:rPr>
          <m:t>u(res)</m:t>
        </m:r>
      </m:oMath>
      <w:r>
        <w:rPr>
          <w:rFonts w:eastAsiaTheme="minorEastAsia"/>
        </w:rPr>
        <w:t xml:space="preserve"> are the standard uncertainties in absorbance at wavelength </w:t>
      </w:r>
      <m:oMath>
        <m:r>
          <m:rPr>
            <m:sty m:val="p"/>
          </m:rPr>
          <w:rPr>
            <w:rFonts w:ascii="Cambria Math" w:hAnsi="Cambria Math"/>
            <w:lang w:val="el-GR"/>
          </w:rPr>
          <m:t>λ</m:t>
        </m:r>
      </m:oMath>
      <w:r>
        <w:rPr>
          <w:rFonts w:eastAsiaTheme="minorEastAsia"/>
        </w:rPr>
        <w:t xml:space="preserve"> due to </w:t>
      </w:r>
      <w:r w:rsidRPr="00700BDC">
        <w:rPr>
          <w:rFonts w:eastAsiaTheme="minorEastAsia"/>
        </w:rPr>
        <w:t>photometric accuracy, repeatability, noise, drift, stray light, b</w:t>
      </w:r>
      <w:r>
        <w:rPr>
          <w:rFonts w:eastAsiaTheme="minorEastAsia"/>
        </w:rPr>
        <w:t>aseline flatness, and resolution, respectively.</w:t>
      </w:r>
    </w:p>
    <w:p w14:paraId="4E342EA7" w14:textId="26FA3C67" w:rsidR="008510A7" w:rsidRPr="00F62D61" w:rsidRDefault="008510A7" w:rsidP="008510A7">
      <w:pPr>
        <w:spacing w:line="360" w:lineRule="auto"/>
        <w:jc w:val="both"/>
        <w:rPr>
          <w:rFonts w:eastAsiaTheme="minorEastAsia"/>
        </w:rPr>
      </w:pPr>
      <w:r>
        <w:t>It is worth noting that some terms, such as photometric accuracy, noise, and stray light, are dependent on the measured absorbance itself.</w:t>
      </w:r>
      <w:r w:rsidR="003C4600">
        <w:t xml:space="preserve"> </w:t>
      </w:r>
      <w:r>
        <w:t>For these terms, the corresponding uncertainty is best determined by interpolating between specifications provided by the manufacturer at different absorbance values.</w:t>
      </w:r>
      <w:r w:rsidR="003C4600">
        <w:t xml:space="preserve"> </w:t>
      </w:r>
      <w:r>
        <w:t>An additional source of uncertainty is related to the accuracy and repeatability of wavelength selection.</w:t>
      </w:r>
      <w:r w:rsidR="003C4600">
        <w:t xml:space="preserve"> </w:t>
      </w:r>
      <w:r>
        <w:t xml:space="preserve">Experiments in which the measured wavelength was adjusted by </w:t>
      </w:r>
      <w:r>
        <w:rPr>
          <w:rStyle w:val="st"/>
        </w:rPr>
        <w:t>±</w:t>
      </w:r>
      <w:r>
        <w:t xml:space="preserve"> 1 nm were carried out over a range of samples to assess the influence of these components.</w:t>
      </w:r>
      <w:r w:rsidR="003C4600">
        <w:t xml:space="preserve"> </w:t>
      </w:r>
      <w:r>
        <w:t>As the resulting error in absorbance was found to lie within the overall photometric uncertainty, these wavelength related components are not considered further.</w:t>
      </w:r>
    </w:p>
    <w:p w14:paraId="42EE9588" w14:textId="77777777" w:rsidR="008510A7" w:rsidRDefault="008510A7" w:rsidP="008510A7">
      <w:pPr>
        <w:spacing w:line="360" w:lineRule="auto"/>
        <w:jc w:val="both"/>
        <w:rPr>
          <w:rFonts w:eastAsiaTheme="minorEastAsia"/>
        </w:rPr>
      </w:pPr>
    </w:p>
    <w:p w14:paraId="55EB6C94" w14:textId="77777777" w:rsidR="008510A7" w:rsidRDefault="008510A7" w:rsidP="008510A7">
      <w:pPr>
        <w:keepNext/>
        <w:spacing w:line="360" w:lineRule="auto"/>
        <w:jc w:val="both"/>
      </w:pPr>
      <w:r>
        <w:rPr>
          <w:noProof/>
        </w:rPr>
        <w:object w:dxaOrig="16605" w:dyaOrig="6466" w14:anchorId="56B0B5D3">
          <v:shape id="_x0000_i1026" type="#_x0000_t75" alt="" style="width:450.75pt;height:174.75pt;mso-width-percent:0;mso-height-percent:0;mso-width-percent:0;mso-height-percent:0" o:ole="">
            <v:imagedata r:id="rId35" o:title=""/>
          </v:shape>
          <o:OLEObject Type="Embed" ProgID="Visio.Drawing.15" ShapeID="_x0000_i1026" DrawAspect="Content" ObjectID="_1655128710" r:id="rId36"/>
        </w:object>
      </w:r>
    </w:p>
    <w:p w14:paraId="43B1525E" w14:textId="3F078F8D" w:rsidR="008510A7" w:rsidRDefault="008510A7" w:rsidP="008510A7">
      <w:pPr>
        <w:pStyle w:val="Caption"/>
        <w:spacing w:line="360" w:lineRule="auto"/>
        <w:jc w:val="center"/>
      </w:pPr>
      <w:bookmarkStart w:id="164" w:name="_Ref1660566"/>
      <w:bookmarkStart w:id="165" w:name="_Toc37082484"/>
      <w:bookmarkStart w:id="166" w:name="_Toc41595349"/>
      <w:r>
        <w:t xml:space="preserve">Figure </w:t>
      </w:r>
      <w:r>
        <w:rPr>
          <w:noProof/>
        </w:rPr>
        <w:fldChar w:fldCharType="begin"/>
      </w:r>
      <w:r>
        <w:rPr>
          <w:noProof/>
        </w:rPr>
        <w:instrText xml:space="preserve"> SEQ Figure \* ARABIC </w:instrText>
      </w:r>
      <w:r>
        <w:rPr>
          <w:noProof/>
        </w:rPr>
        <w:fldChar w:fldCharType="separate"/>
      </w:r>
      <w:r w:rsidR="005A17B3">
        <w:rPr>
          <w:noProof/>
        </w:rPr>
        <w:t>14</w:t>
      </w:r>
      <w:r>
        <w:rPr>
          <w:noProof/>
        </w:rPr>
        <w:fldChar w:fldCharType="end"/>
      </w:r>
      <w:bookmarkEnd w:id="164"/>
      <w:r>
        <w:t>: Fish-bone diagram illustrating the components contributing to uncertainty in the spectrophotometric determination of LCC.</w:t>
      </w:r>
      <w:r w:rsidR="003C4600">
        <w:t xml:space="preserve"> </w:t>
      </w:r>
      <w:r>
        <w:t>Greyed out components are not considered due to their minimal influence on overall uncertainty.</w:t>
      </w:r>
      <w:bookmarkEnd w:id="165"/>
      <w:bookmarkEnd w:id="166"/>
    </w:p>
    <w:p w14:paraId="04B1A982" w14:textId="62BDBBEC" w:rsidR="008510A7" w:rsidRDefault="008510A7" w:rsidP="008510A7">
      <w:pPr>
        <w:spacing w:line="360" w:lineRule="auto"/>
        <w:jc w:val="both"/>
        <w:rPr>
          <w:rFonts w:eastAsiaTheme="minorEastAsia"/>
        </w:rPr>
      </w:pPr>
      <w:r>
        <w:rPr>
          <w:rFonts w:eastAsiaTheme="minorEastAsia"/>
        </w:rPr>
        <w:br/>
        <w:t xml:space="preserve">Using the standard </w:t>
      </w:r>
      <w:r w:rsidRPr="00F62D61">
        <w:rPr>
          <w:rFonts w:eastAsiaTheme="minorEastAsia"/>
        </w:rPr>
        <w:t>uncertaint</w:t>
      </w:r>
      <w:r>
        <w:rPr>
          <w:rFonts w:eastAsiaTheme="minorEastAsia"/>
        </w:rPr>
        <w:t>ies</w:t>
      </w:r>
      <w:r w:rsidRPr="00F62D61">
        <w:rPr>
          <w:rFonts w:eastAsiaTheme="minorEastAsia"/>
        </w:rPr>
        <w:t xml:space="preserve"> in absorbance</w:t>
      </w:r>
      <w:r>
        <w:rPr>
          <w:rFonts w:eastAsiaTheme="minorEastAsia"/>
        </w:rPr>
        <w:t xml:space="preserve"> values,</w:t>
      </w:r>
      <w:r w:rsidRPr="00F62D61">
        <w:rPr>
          <w:rFonts w:eastAsiaTheme="minorEastAsia"/>
        </w:rPr>
        <w:t xml:space="preserve"> </w:t>
      </w:r>
      <w:r>
        <w:rPr>
          <w:rFonts w:eastAsiaTheme="minorEastAsia"/>
        </w:rPr>
        <w:t xml:space="preserve">the standard uncertainties in chlorophyll-a and -b values derived using the spectrophotometric equations of </w:t>
      </w:r>
      <w:r>
        <w:fldChar w:fldCharType="begin" w:fldLock="1"/>
      </w:r>
      <w:r w:rsidR="00485E1A">
        <w:instrText>ADDIN CSL_CITATION {"citationItems":[{"id":"ITEM-1","itemData":{"DOI":"10.1016/S0176-1617(11)81192-2","ISBN":"0176-1617","ISSN":"01761617","PMID":"862","author":[{"dropping-particle":"","family":"Wellburn","given":"Alan R","non-dropping-particle":"","parse-names":false,"suffix":""}],"container-title":"Journal of Plant Physiology","id":"ITEM-1","issue":"3","issued":{"date-parts":[["1994"]]},"page":"307-313","title":"The Spectral Determination of Chlorophylls a and b, as well as Total Carotenoids, Using Various Solvents with Spectrophotometers of Different Resolution","type":"article-journal","volume":"144"},"uris":["http://www.mendeley.com/documents/?uuid=4fb4e0c4-8b03-4fc6-9edc-3a66eed93dde"]}],"mendeley":{"formattedCitation":"[20]","plainTextFormattedCitation":"[20]","previouslyFormattedCitation":"[20]"},"properties":{"noteIndex":0},"schema":"https://github.com/citation-style-language/schema/raw/master/csl-citation.json"}</w:instrText>
      </w:r>
      <w:r>
        <w:fldChar w:fldCharType="separate"/>
      </w:r>
      <w:r w:rsidR="00132903" w:rsidRPr="00132903">
        <w:rPr>
          <w:noProof/>
        </w:rPr>
        <w:t>[20]</w:t>
      </w:r>
      <w:r>
        <w:fldChar w:fldCharType="end"/>
      </w:r>
      <w:r>
        <w:t xml:space="preserve"> can be determined as</w:t>
      </w:r>
    </w:p>
    <w:p w14:paraId="2EC08D09" w14:textId="77777777" w:rsidR="008510A7" w:rsidRPr="00700BDC" w:rsidRDefault="008510A7" w:rsidP="008510A7">
      <w:pPr>
        <w:spacing w:line="360" w:lineRule="auto"/>
        <w:jc w:val="both"/>
        <w:rPr>
          <w:rFonts w:eastAsiaTheme="minorEastAsia"/>
        </w:rPr>
      </w:pPr>
      <m:oMathPara>
        <m:oMath>
          <m:r>
            <m:rPr>
              <m:sty m:val="p"/>
            </m:rPr>
            <w:rPr>
              <w:rFonts w:ascii="Cambria Math" w:eastAsiaTheme="minorEastAsia" w:hAnsi="Cambria Math"/>
            </w:rPr>
            <w:br/>
          </m:r>
        </m:oMath>
        <m:oMath>
          <m:r>
            <w:rPr>
              <w:rFonts w:ascii="Cambria Math" w:eastAsiaTheme="minorEastAsia" w:hAnsi="Cambria Math"/>
            </w:rPr>
            <m:t>u</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e>
          </m:d>
          <m:r>
            <w:rPr>
              <w:rFonts w:ascii="Cambria Math" w:eastAsiaTheme="minorEastAsia"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12.19 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665</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3.45 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649</m:t>
                              </m:r>
                            </m:sub>
                          </m:sSub>
                        </m:e>
                      </m:d>
                    </m:e>
                  </m:d>
                </m:e>
                <m:sup>
                  <m:r>
                    <w:rPr>
                      <w:rFonts w:ascii="Cambria Math" w:hAnsi="Cambria Math"/>
                    </w:rPr>
                    <m:t>2</m:t>
                  </m:r>
                </m:sup>
              </m:sSup>
            </m:e>
          </m:rad>
          <m:r>
            <m:rPr>
              <m:sty m:val="p"/>
            </m:rPr>
            <w:rPr>
              <w:rFonts w:eastAsiaTheme="minorEastAsia"/>
            </w:rPr>
            <w:br/>
          </m:r>
        </m:oMath>
        <m:oMath>
          <m:r>
            <m:rPr>
              <m:sty m:val="p"/>
            </m:rPr>
            <w:rPr>
              <w:rFonts w:ascii="Cambria Math" w:hAnsi="Cambria Math"/>
            </w:rPr>
            <w:br/>
          </m:r>
        </m:oMath>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b</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21.99 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649</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5.32 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665</m:t>
                              </m:r>
                            </m:sub>
                          </m:sSub>
                        </m:e>
                      </m:d>
                    </m:e>
                  </m:d>
                </m:e>
                <m:sup>
                  <m:r>
                    <w:rPr>
                      <w:rFonts w:ascii="Cambria Math" w:hAnsi="Cambria Math"/>
                    </w:rPr>
                    <m:t>2</m:t>
                  </m:r>
                </m:sup>
              </m:sSup>
            </m:e>
          </m:rad>
        </m:oMath>
      </m:oMathPara>
    </w:p>
    <w:p w14:paraId="2BEF5D93" w14:textId="45A15CAC" w:rsidR="008510A7" w:rsidRDefault="008510A7" w:rsidP="008510A7">
      <w:pPr>
        <w:spacing w:line="360" w:lineRule="auto"/>
        <w:jc w:val="both"/>
        <w:rPr>
          <w:rFonts w:eastAsiaTheme="minorEastAsia"/>
        </w:rPr>
      </w:pPr>
      <w:r>
        <w:rPr>
          <w:rFonts w:eastAsiaTheme="minorEastAsia"/>
        </w:rPr>
        <w:br/>
        <w:t xml:space="preserve">where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665</m:t>
                </m:r>
              </m:sub>
            </m:sSub>
          </m:e>
        </m:d>
      </m:oMath>
      <w:r>
        <w:rPr>
          <w:rFonts w:eastAsiaTheme="minorEastAsia"/>
        </w:rPr>
        <w:t xml:space="preserve"> and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649</m:t>
                </m:r>
              </m:sub>
            </m:sSub>
          </m:e>
        </m:d>
      </m:oMath>
      <w:r>
        <w:rPr>
          <w:rFonts w:eastAsiaTheme="minorEastAsia"/>
        </w:rPr>
        <w:t xml:space="preserve"> are the standard uncertainties in absorbance at 665 nm and 649 nm, respectively.</w:t>
      </w:r>
      <w:r w:rsidR="003C4600">
        <w:rPr>
          <w:rFonts w:eastAsiaTheme="minorEastAsia"/>
        </w:rPr>
        <w:t xml:space="preserve"> </w:t>
      </w:r>
      <w:r>
        <w:rPr>
          <w:rFonts w:eastAsiaTheme="minorEastAsia"/>
        </w:rPr>
        <w:t>Finally, the combined uncertainty in spectrophotometrically determined LCC (expressed on a mass per unit area basis) can be derived as</w:t>
      </w:r>
    </w:p>
    <w:p w14:paraId="18E598F0" w14:textId="77777777" w:rsidR="008510A7" w:rsidRPr="00236245" w:rsidRDefault="008510A7" w:rsidP="008510A7">
      <w:pPr>
        <w:spacing w:line="360" w:lineRule="auto"/>
        <w:jc w:val="both"/>
        <w:rPr>
          <w:rFonts w:eastAsiaTheme="minorEastAsia"/>
        </w:rPr>
      </w:pPr>
      <m:oMathPara>
        <m:oMath>
          <m:r>
            <m:rPr>
              <m:sty m:val="p"/>
            </m:rPr>
            <w:rPr>
              <w:rFonts w:ascii="Cambria Math" w:hAnsi="Cambria Math"/>
            </w:rPr>
            <w:br/>
          </m:r>
        </m:oMath>
        <m:oMath>
          <m:r>
            <w:rPr>
              <w:rFonts w:ascii="Cambria Math" w:eastAsiaTheme="minorEastAsia" w:hAnsi="Cambria Math"/>
            </w:rPr>
            <m:t>u</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LCC</m:t>
                  </m:r>
                </m:e>
                <m:sub>
                  <m:r>
                    <w:rPr>
                      <w:rFonts w:ascii="Cambria Math" w:eastAsiaTheme="minorEastAsia" w:hAnsi="Cambria Math"/>
                    </w:rPr>
                    <m:t>spec</m:t>
                  </m:r>
                </m:sub>
              </m:sSub>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e>
              </m:d>
              <m:r>
                <w:rPr>
                  <w:rFonts w:ascii="Cambria Math" w:eastAsiaTheme="minorEastAsia" w:hAnsi="Cambria Math"/>
                </w:rPr>
                <m:t xml:space="preserve"> V]</m:t>
              </m:r>
            </m:num>
            <m:den>
              <m:r>
                <w:rPr>
                  <w:rFonts w:ascii="Cambria Math" w:eastAsiaTheme="minorEastAsia" w:hAnsi="Cambria Math"/>
                </w:rPr>
                <m:t>A</m:t>
              </m:r>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e>
                          </m:d>
                          <m:r>
                            <w:rPr>
                              <w:rFonts w:ascii="Cambria Math" w:eastAsiaTheme="minorEastAsia" w:hAnsi="Cambria Math"/>
                            </w:rPr>
                            <m:t xml:space="preserve"> V</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r>
                                                    <w:rPr>
                                                      <w:rFonts w:ascii="Cambria Math" w:eastAsiaTheme="minorEastAsia" w:hAnsi="Cambria Math"/>
                                                    </w:rPr>
                                                    <m:t>)</m:t>
                                                  </m:r>
                                                </m:e>
                                                <m:sup>
                                                  <m:r>
                                                    <w:rPr>
                                                      <w:rFonts w:ascii="Cambria Math" w:eastAsiaTheme="minorEastAsia" w:hAnsi="Cambria Math"/>
                                                    </w:rPr>
                                                    <m:t>2</m:t>
                                                  </m:r>
                                                </m:sup>
                                              </m:sSup>
                                            </m:e>
                                          </m:rad>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u(V)</m:t>
                                          </m:r>
                                        </m:num>
                                        <m:den>
                                          <m:r>
                                            <w:rPr>
                                              <w:rFonts w:ascii="Cambria Math" w:eastAsiaTheme="minorEastAsia" w:hAnsi="Cambria Math"/>
                                            </w:rPr>
                                            <m:t>V</m:t>
                                          </m:r>
                                        </m:den>
                                      </m:f>
                                    </m:e>
                                  </m:d>
                                </m:e>
                                <m:sup>
                                  <m:r>
                                    <w:rPr>
                                      <w:rFonts w:ascii="Cambria Math" w:eastAsiaTheme="minorEastAsia" w:hAnsi="Cambria Math"/>
                                    </w:rPr>
                                    <m:t>2</m:t>
                                  </m:r>
                                </m:sup>
                              </m:sSup>
                            </m:e>
                          </m:rad>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b</m:t>
                                  </m:r>
                                </m:sub>
                              </m:sSub>
                            </m:e>
                          </m:d>
                          <m:r>
                            <w:rPr>
                              <w:rFonts w:ascii="Cambria Math" w:eastAsiaTheme="minorEastAsia" w:hAnsi="Cambria Math"/>
                            </w:rPr>
                            <m:t xml:space="preserve"> V</m:t>
                          </m:r>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u(A)</m:t>
                          </m:r>
                        </m:num>
                        <m:den>
                          <m:r>
                            <w:rPr>
                              <w:rFonts w:ascii="Cambria Math" w:eastAsiaTheme="minorEastAsia" w:hAnsi="Cambria Math"/>
                            </w:rPr>
                            <m:t>A</m:t>
                          </m:r>
                        </m:den>
                      </m:f>
                    </m:e>
                  </m:d>
                </m:e>
                <m:sup>
                  <m:r>
                    <w:rPr>
                      <w:rFonts w:ascii="Cambria Math" w:eastAsiaTheme="minorEastAsia" w:hAnsi="Cambria Math"/>
                    </w:rPr>
                    <m:t>2</m:t>
                  </m:r>
                </m:sup>
              </m:sSup>
            </m:e>
          </m:rad>
        </m:oMath>
      </m:oMathPara>
    </w:p>
    <w:p w14:paraId="3B28DC12" w14:textId="77777777" w:rsidR="008510A7" w:rsidRDefault="008510A7" w:rsidP="008510A7">
      <w:pPr>
        <w:spacing w:line="360" w:lineRule="auto"/>
        <w:jc w:val="both"/>
        <w:rPr>
          <w:rFonts w:eastAsiaTheme="minorEastAsia"/>
        </w:rPr>
      </w:pPr>
      <w:r>
        <w:rPr>
          <w:rFonts w:eastAsiaTheme="minorEastAsia"/>
        </w:rPr>
        <w:br/>
        <w:t xml:space="preserve">where </w:t>
      </w:r>
      <m:oMath>
        <m:r>
          <w:rPr>
            <w:rFonts w:ascii="Cambria Math" w:hAnsi="Cambria Math"/>
          </w:rPr>
          <m:t>u</m:t>
        </m:r>
        <m:d>
          <m:dPr>
            <m:ctrlPr>
              <w:rPr>
                <w:rFonts w:ascii="Cambria Math" w:hAnsi="Cambria Math"/>
                <w:i/>
              </w:rPr>
            </m:ctrlPr>
          </m:dPr>
          <m:e>
            <m:r>
              <w:rPr>
                <w:rFonts w:ascii="Cambria Math" w:hAnsi="Cambria Math"/>
              </w:rPr>
              <m:t>V</m:t>
            </m:r>
          </m:e>
        </m:d>
      </m:oMath>
      <w:r>
        <w:rPr>
          <w:rFonts w:eastAsiaTheme="minorEastAsia"/>
        </w:rPr>
        <w:t xml:space="preserve"> and </w:t>
      </w:r>
      <m:oMath>
        <m:r>
          <w:rPr>
            <w:rFonts w:ascii="Cambria Math" w:hAnsi="Cambria Math"/>
          </w:rPr>
          <m:t>u(A)</m:t>
        </m:r>
      </m:oMath>
      <w:r>
        <w:rPr>
          <w:rFonts w:eastAsiaTheme="minorEastAsia"/>
        </w:rPr>
        <w:t xml:space="preserve"> are the uncertainties in the volume of solvent dispensed and area of the leaf disc, respectively.</w:t>
      </w:r>
    </w:p>
    <w:p w14:paraId="298F70D0" w14:textId="7FEC13A7" w:rsidR="008510A7" w:rsidRDefault="008510A7" w:rsidP="008510A7">
      <w:pPr>
        <w:spacing w:line="360" w:lineRule="auto"/>
        <w:jc w:val="both"/>
      </w:pPr>
      <w:r w:rsidRPr="00960A2A">
        <w:lastRenderedPageBreak/>
        <w:t>Within the FRM4VEG project, it is recommended that calibration functions are</w:t>
      </w:r>
      <w:r>
        <w:t xml:space="preserve"> established</w:t>
      </w:r>
      <w:r w:rsidRPr="00960A2A">
        <w:t xml:space="preserve"> using orthogon</w:t>
      </w:r>
      <w:r>
        <w:t>al distance regression (ODR), as u</w:t>
      </w:r>
      <w:r w:rsidRPr="00960A2A">
        <w:t>nlike other methods, ODR enables uncertainties in both the predictor and response to be accounted for in the fitting procedure.</w:t>
      </w:r>
      <w:r w:rsidR="003C4600">
        <w:t xml:space="preserve"> </w:t>
      </w:r>
      <w:r>
        <w:t>Once the</w:t>
      </w:r>
      <w:r w:rsidRPr="00960A2A">
        <w:t xml:space="preserve"> appropriate calibration function is established</w:t>
      </w:r>
      <w:r w:rsidR="00B10DCA">
        <w:t xml:space="preserve"> (Figure 1</w:t>
      </w:r>
      <w:r w:rsidR="005A17B3">
        <w:t>5</w:t>
      </w:r>
      <w:r w:rsidR="00B10DCA">
        <w:t>)</w:t>
      </w:r>
      <w:r w:rsidRPr="00960A2A">
        <w:t>, LCC can be obtained by applying it to the SPAD values provided by the optical chlorophyll meter.</w:t>
      </w:r>
      <w:r w:rsidR="003C4600">
        <w:t xml:space="preserve"> </w:t>
      </w:r>
      <w:r w:rsidRPr="00960A2A">
        <w:t xml:space="preserve">The </w:t>
      </w:r>
      <w:r>
        <w:t xml:space="preserve">standard </w:t>
      </w:r>
      <w:r w:rsidRPr="00960A2A">
        <w:t xml:space="preserve">uncertainty </w:t>
      </w:r>
      <w:r>
        <w:t>is then</w:t>
      </w:r>
      <w:r w:rsidRPr="00960A2A">
        <w:t xml:space="preserve"> determined by propagating the uncertainties in</w:t>
      </w:r>
      <w:r>
        <w:t xml:space="preserve"> both</w:t>
      </w:r>
      <w:r w:rsidRPr="00960A2A">
        <w:t xml:space="preserve"> </w:t>
      </w:r>
      <w:r>
        <w:t xml:space="preserve">the </w:t>
      </w:r>
      <w:r w:rsidRPr="00960A2A">
        <w:t>SPAD valu</w:t>
      </w:r>
      <w:r>
        <w:t>es and calibration coefficients t</w:t>
      </w:r>
      <w:r w:rsidRPr="00960A2A">
        <w:t>hrough the calibration function</w:t>
      </w:r>
      <w:r w:rsidR="00B10DCA">
        <w:t xml:space="preserve"> (Figure 1</w:t>
      </w:r>
      <w:r w:rsidR="005A17B3">
        <w:t>6</w:t>
      </w:r>
      <w:r w:rsidR="00B10DCA">
        <w:t>)</w:t>
      </w:r>
      <w:r>
        <w:t>. Correlation between the calibration coefficients is accounted for, such that</w:t>
      </w:r>
    </w:p>
    <w:p w14:paraId="7EE79FF8" w14:textId="77777777" w:rsidR="008510A7" w:rsidRDefault="008510A7" w:rsidP="008510A7">
      <w:pPr>
        <w:spacing w:line="360" w:lineRule="auto"/>
        <w:jc w:val="both"/>
      </w:pPr>
      <m:oMathPara>
        <m:oMath>
          <m:r>
            <m:rPr>
              <m:sty m:val="p"/>
            </m:rPr>
            <w:rPr>
              <w:rFonts w:ascii="Cambria Math" w:hAnsi="Cambria Math"/>
            </w:rPr>
            <w:br/>
          </m:r>
        </m:oMath>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LCC</m:t>
                  </m:r>
                </m:e>
                <m:sub>
                  <m:r>
                    <w:rPr>
                      <w:rFonts w:ascii="Cambria Math" w:hAnsi="Cambria Math"/>
                    </w:rPr>
                    <m:t>SPAD</m:t>
                  </m:r>
                </m:sub>
              </m:sSub>
            </m:e>
          </m:d>
          <m:r>
            <w:rPr>
              <w:rFonts w:ascii="Cambria Math" w:hAnsi="Cambria Math"/>
            </w:rPr>
            <m:t>=</m:t>
          </m:r>
          <m:rad>
            <m:radPr>
              <m:degHide m:val="1"/>
              <m:ctrlPr>
                <w:rPr>
                  <w:rFonts w:ascii="Cambria Math" w:hAnsi="Cambria Math"/>
                  <w:i/>
                </w:rPr>
              </m:ctrlPr>
            </m:radPr>
            <m:deg/>
            <m:e>
              <m:eqArr>
                <m:eqArrPr>
                  <m:ctrlPr>
                    <w:rPr>
                      <w:rFonts w:ascii="Cambria Math" w:hAnsi="Cambria Math"/>
                      <w:i/>
                    </w:rPr>
                  </m:ctrlPr>
                </m:eqArrPr>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∂a</m:t>
                              </m:r>
                            </m:den>
                          </m:f>
                          <m:r>
                            <w:rPr>
                              <w:rFonts w:ascii="Cambria Math" w:hAnsi="Cambria Math"/>
                            </w:rPr>
                            <m:t xml:space="preserve"> u</m:t>
                          </m:r>
                          <m:d>
                            <m:dPr>
                              <m:ctrlPr>
                                <w:rPr>
                                  <w:rFonts w:ascii="Cambria Math" w:hAnsi="Cambria Math"/>
                                  <w:i/>
                                </w:rPr>
                              </m:ctrlPr>
                            </m:dPr>
                            <m:e>
                              <m:r>
                                <w:rPr>
                                  <w:rFonts w:ascii="Cambria Math" w:hAnsi="Cambria Math"/>
                                </w:rPr>
                                <m:t>a</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∂M</m:t>
                              </m:r>
                            </m:den>
                          </m:f>
                          <m:r>
                            <w:rPr>
                              <w:rFonts w:ascii="Cambria Math" w:hAnsi="Cambria Math"/>
                            </w:rPr>
                            <m:t>u</m:t>
                          </m:r>
                          <m:d>
                            <m:dPr>
                              <m:ctrlPr>
                                <w:rPr>
                                  <w:rFonts w:ascii="Cambria Math" w:hAnsi="Cambria Math"/>
                                  <w:i/>
                                </w:rPr>
                              </m:ctrlPr>
                            </m:dPr>
                            <m:e>
                              <m:r>
                                <w:rPr>
                                  <w:rFonts w:ascii="Cambria Math" w:hAnsi="Cambria Math"/>
                                </w:rPr>
                                <m:t>M</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∂b</m:t>
                              </m:r>
                            </m:den>
                          </m:f>
                          <m:r>
                            <w:rPr>
                              <w:rFonts w:ascii="Cambria Math" w:hAnsi="Cambria Math"/>
                            </w:rPr>
                            <m:t>u</m:t>
                          </m:r>
                          <m:d>
                            <m:dPr>
                              <m:ctrlPr>
                                <w:rPr>
                                  <w:rFonts w:ascii="Cambria Math" w:hAnsi="Cambria Math"/>
                                  <w:i/>
                                </w:rPr>
                              </m:ctrlPr>
                            </m:dPr>
                            <m:e>
                              <m:r>
                                <w:rPr>
                                  <w:rFonts w:ascii="Cambria Math" w:hAnsi="Cambria Math"/>
                                </w:rPr>
                                <m:t>b</m:t>
                              </m:r>
                            </m:e>
                          </m:d>
                        </m:e>
                      </m:d>
                    </m:e>
                    <m:sup>
                      <m:r>
                        <w:rPr>
                          <w:rFonts w:ascii="Cambria Math" w:hAnsi="Cambria Math"/>
                        </w:rPr>
                        <m:t>2</m:t>
                      </m:r>
                    </m:sup>
                  </m:sSup>
                </m:e>
                <m:e>
                  <m:r>
                    <w:rPr>
                      <w:rFonts w:ascii="Cambria Math" w:hAnsi="Cambria Math"/>
                    </w:rPr>
                    <m:t>+2</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∂M</m:t>
                              </m:r>
                            </m:den>
                          </m:f>
                          <m:r>
                            <w:rPr>
                              <w:rFonts w:ascii="Cambria Math" w:hAnsi="Cambria Math"/>
                            </w:rPr>
                            <m:t xml:space="preserve"> u</m:t>
                          </m:r>
                          <m:d>
                            <m:dPr>
                              <m:ctrlPr>
                                <w:rPr>
                                  <w:rFonts w:ascii="Cambria Math" w:hAnsi="Cambria Math"/>
                                  <w:i/>
                                </w:rPr>
                              </m:ctrlPr>
                            </m:dPr>
                            <m:e>
                              <m:r>
                                <w:rPr>
                                  <w:rFonts w:ascii="Cambria Math" w:hAnsi="Cambria Math"/>
                                </w:rPr>
                                <m:t>a, M</m:t>
                              </m:r>
                            </m:e>
                          </m:d>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∂b</m:t>
                              </m:r>
                            </m:den>
                          </m:f>
                          <m:r>
                            <w:rPr>
                              <w:rFonts w:ascii="Cambria Math" w:hAnsi="Cambria Math"/>
                            </w:rPr>
                            <m:t xml:space="preserve"> u</m:t>
                          </m:r>
                          <m:d>
                            <m:dPr>
                              <m:ctrlPr>
                                <w:rPr>
                                  <w:rFonts w:ascii="Cambria Math" w:hAnsi="Cambria Math"/>
                                  <w:i/>
                                </w:rPr>
                              </m:ctrlPr>
                            </m:dPr>
                            <m:e>
                              <m:r>
                                <w:rPr>
                                  <w:rFonts w:ascii="Cambria Math" w:hAnsi="Cambria Math"/>
                                </w:rPr>
                                <m:t>a,b</m:t>
                              </m:r>
                            </m:e>
                          </m:d>
                        </m:e>
                        <m:e>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∂M</m:t>
                              </m:r>
                            </m:den>
                          </m:f>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LCC</m:t>
                                  </m:r>
                                </m:e>
                                <m:sub>
                                  <m:r>
                                    <w:rPr>
                                      <w:rFonts w:ascii="Cambria Math" w:hAnsi="Cambria Math"/>
                                    </w:rPr>
                                    <m:t>SPAD</m:t>
                                  </m:r>
                                </m:sub>
                              </m:sSub>
                            </m:num>
                            <m:den>
                              <m:r>
                                <w:rPr>
                                  <w:rFonts w:ascii="Cambria Math" w:hAnsi="Cambria Math"/>
                                </w:rPr>
                                <m:t>∂b</m:t>
                              </m:r>
                            </m:den>
                          </m:f>
                          <m:r>
                            <w:rPr>
                              <w:rFonts w:ascii="Cambria Math" w:hAnsi="Cambria Math"/>
                            </w:rPr>
                            <m:t xml:space="preserve"> u(M,b)</m:t>
                          </m:r>
                        </m:e>
                      </m:eqArr>
                    </m:e>
                  </m:d>
                </m:e>
              </m:eqArr>
            </m:e>
          </m:rad>
        </m:oMath>
      </m:oMathPara>
    </w:p>
    <w:p w14:paraId="16F0E714" w14:textId="77777777" w:rsidR="008510A7" w:rsidRDefault="008510A7" w:rsidP="008510A7">
      <w:pPr>
        <w:spacing w:line="360" w:lineRule="auto"/>
        <w:jc w:val="both"/>
      </w:pPr>
    </w:p>
    <w:p w14:paraId="32DDB904" w14:textId="77777777" w:rsidR="008510A7" w:rsidRDefault="008510A7" w:rsidP="008510A7">
      <w:pPr>
        <w:spacing w:line="360" w:lineRule="auto"/>
        <w:jc w:val="both"/>
        <w:rPr>
          <w:rFonts w:eastAsiaTheme="minorEastAsia"/>
        </w:rPr>
      </w:pPr>
      <w:r>
        <w:t xml:space="preserve">where </w:t>
      </w:r>
      <m:oMath>
        <m:r>
          <w:rPr>
            <w:rFonts w:ascii="Cambria Math" w:hAnsi="Cambria Math"/>
          </w:rPr>
          <m:t>u</m:t>
        </m:r>
        <m:d>
          <m:dPr>
            <m:ctrlPr>
              <w:rPr>
                <w:rFonts w:ascii="Cambria Math" w:hAnsi="Cambria Math"/>
                <w:i/>
              </w:rPr>
            </m:ctrlPr>
          </m:dPr>
          <m:e>
            <m:r>
              <w:rPr>
                <w:rFonts w:ascii="Cambria Math" w:hAnsi="Cambria Math"/>
              </w:rPr>
              <m:t>a</m:t>
            </m:r>
          </m:e>
        </m:d>
      </m:oMath>
      <w:r>
        <w:rPr>
          <w:rFonts w:eastAsiaTheme="minorEastAsia"/>
        </w:rPr>
        <w:t xml:space="preserve"> and </w:t>
      </w:r>
      <m:oMath>
        <m:r>
          <w:rPr>
            <w:rFonts w:ascii="Cambria Math" w:hAnsi="Cambria Math"/>
          </w:rPr>
          <m:t>u</m:t>
        </m:r>
        <m:d>
          <m:dPr>
            <m:ctrlPr>
              <w:rPr>
                <w:rFonts w:ascii="Cambria Math" w:hAnsi="Cambria Math"/>
                <w:i/>
              </w:rPr>
            </m:ctrlPr>
          </m:dPr>
          <m:e>
            <m:r>
              <w:rPr>
                <w:rFonts w:ascii="Cambria Math" w:hAnsi="Cambria Math"/>
              </w:rPr>
              <m:t>b</m:t>
            </m:r>
          </m:e>
        </m:d>
      </m:oMath>
      <w:r>
        <w:rPr>
          <w:rFonts w:eastAsiaTheme="minorEastAsia"/>
        </w:rPr>
        <w:t xml:space="preserve"> are the standard uncertainties of the calibration coefficients.</w:t>
      </w:r>
    </w:p>
    <w:p w14:paraId="7F0FA49E" w14:textId="77777777" w:rsidR="008510A7" w:rsidRDefault="008510A7" w:rsidP="008510A7">
      <w:pPr>
        <w:keepNext/>
        <w:spacing w:line="360" w:lineRule="auto"/>
        <w:jc w:val="center"/>
      </w:pPr>
      <w:r>
        <w:br/>
      </w:r>
      <w:r>
        <w:rPr>
          <w:noProof/>
          <w:lang w:eastAsia="en-GB"/>
        </w:rPr>
        <w:drawing>
          <wp:inline distT="0" distB="0" distL="0" distR="0" wp14:anchorId="22FF2B83" wp14:editId="3234F69D">
            <wp:extent cx="3240000" cy="3073688"/>
            <wp:effectExtent l="0" t="0" r="0" b="0"/>
            <wp:docPr id="1" name="Picture 1" descr="C:\Users\lab1c17\AppData\Local\Microsoft\Windows\INetCache\Content.Word\ha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1c17\AppData\Local\Microsoft\Windows\INetCache\Content.Word\haze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3073688"/>
                    </a:xfrm>
                    <a:prstGeom prst="rect">
                      <a:avLst/>
                    </a:prstGeom>
                    <a:noFill/>
                    <a:ln>
                      <a:noFill/>
                    </a:ln>
                  </pic:spPr>
                </pic:pic>
              </a:graphicData>
            </a:graphic>
          </wp:inline>
        </w:drawing>
      </w:r>
    </w:p>
    <w:p w14:paraId="162B3D42" w14:textId="019274CD" w:rsidR="008510A7" w:rsidRDefault="008510A7" w:rsidP="008510A7">
      <w:pPr>
        <w:pStyle w:val="Caption"/>
        <w:spacing w:line="360" w:lineRule="auto"/>
        <w:jc w:val="center"/>
      </w:pPr>
      <w:bookmarkStart w:id="167" w:name="_Ref3141229"/>
      <w:bookmarkStart w:id="168" w:name="_Ref3141204"/>
      <w:bookmarkStart w:id="169" w:name="_Toc37082485"/>
      <w:bookmarkStart w:id="170" w:name="_Toc41595350"/>
      <w:r>
        <w:t xml:space="preserve">Figure </w:t>
      </w:r>
      <w:r>
        <w:rPr>
          <w:noProof/>
        </w:rPr>
        <w:fldChar w:fldCharType="begin"/>
      </w:r>
      <w:r>
        <w:rPr>
          <w:noProof/>
        </w:rPr>
        <w:instrText xml:space="preserve"> SEQ Figure \* ARABIC </w:instrText>
      </w:r>
      <w:r>
        <w:rPr>
          <w:noProof/>
        </w:rPr>
        <w:fldChar w:fldCharType="separate"/>
      </w:r>
      <w:r w:rsidR="005A17B3">
        <w:rPr>
          <w:noProof/>
        </w:rPr>
        <w:t>15</w:t>
      </w:r>
      <w:r>
        <w:rPr>
          <w:noProof/>
        </w:rPr>
        <w:fldChar w:fldCharType="end"/>
      </w:r>
      <w:bookmarkEnd w:id="167"/>
      <w:r>
        <w:t>: Example SPAD calibration function for Hazel, derived using ODR.</w:t>
      </w:r>
      <w:bookmarkEnd w:id="168"/>
      <w:r w:rsidR="003C4600">
        <w:t xml:space="preserve"> </w:t>
      </w:r>
      <w:r>
        <w:t>Error bars represent expanded uncertainties (k = 2).</w:t>
      </w:r>
      <w:bookmarkEnd w:id="169"/>
      <w:bookmarkEnd w:id="170"/>
      <w:r>
        <w:rPr>
          <w:rFonts w:eastAsiaTheme="minorEastAsia"/>
        </w:rPr>
        <w:br/>
      </w:r>
    </w:p>
    <w:p w14:paraId="13D9CA32" w14:textId="77777777" w:rsidR="008510A7" w:rsidRDefault="008510A7" w:rsidP="008510A7">
      <w:pPr>
        <w:pStyle w:val="Caption"/>
        <w:spacing w:line="360" w:lineRule="auto"/>
        <w:jc w:val="center"/>
      </w:pPr>
      <w:r>
        <w:rPr>
          <w:noProof/>
        </w:rPr>
        <w:object w:dxaOrig="13681" w:dyaOrig="5280" w14:anchorId="543C3944">
          <v:shape id="_x0000_i1027" type="#_x0000_t75" alt="" style="width:450.75pt;height:174pt;mso-width-percent:0;mso-height-percent:0;mso-width-percent:0;mso-height-percent:0" o:ole="">
            <v:imagedata r:id="rId38" o:title=""/>
          </v:shape>
          <o:OLEObject Type="Embed" ProgID="Visio.Drawing.15" ShapeID="_x0000_i1027" DrawAspect="Content" ObjectID="_1655128711" r:id="rId39"/>
        </w:object>
      </w:r>
    </w:p>
    <w:p w14:paraId="252EA301" w14:textId="386A90D1" w:rsidR="008510A7" w:rsidRDefault="008510A7" w:rsidP="008510A7">
      <w:pPr>
        <w:pStyle w:val="Caption"/>
        <w:spacing w:line="360" w:lineRule="auto"/>
        <w:jc w:val="center"/>
      </w:pPr>
      <w:bookmarkStart w:id="171" w:name="_Ref1675955"/>
      <w:bookmarkStart w:id="172" w:name="_Toc37082486"/>
      <w:bookmarkStart w:id="173" w:name="_Toc41595351"/>
      <w:r>
        <w:t xml:space="preserve">Figure </w:t>
      </w:r>
      <w:r>
        <w:rPr>
          <w:noProof/>
        </w:rPr>
        <w:fldChar w:fldCharType="begin"/>
      </w:r>
      <w:r>
        <w:rPr>
          <w:noProof/>
        </w:rPr>
        <w:instrText xml:space="preserve"> SEQ Figure \* ARABIC </w:instrText>
      </w:r>
      <w:r>
        <w:rPr>
          <w:noProof/>
        </w:rPr>
        <w:fldChar w:fldCharType="separate"/>
      </w:r>
      <w:r w:rsidR="005A17B3">
        <w:rPr>
          <w:noProof/>
        </w:rPr>
        <w:t>16</w:t>
      </w:r>
      <w:r>
        <w:rPr>
          <w:noProof/>
        </w:rPr>
        <w:fldChar w:fldCharType="end"/>
      </w:r>
      <w:bookmarkEnd w:id="171"/>
      <w:r>
        <w:t>: Fish-bone diagram illustrating how the uncertainty in an individual in</w:t>
      </w:r>
      <w:r w:rsidR="00C70376">
        <w:t xml:space="preserve"> </w:t>
      </w:r>
      <w:r>
        <w:t>situ LCC measurement is derived.</w:t>
      </w:r>
      <w:bookmarkEnd w:id="172"/>
      <w:bookmarkEnd w:id="173"/>
    </w:p>
    <w:p w14:paraId="093011BE" w14:textId="77777777" w:rsidR="008510A7" w:rsidRDefault="008510A7" w:rsidP="008510A7">
      <w:pPr>
        <w:spacing w:line="360" w:lineRule="auto"/>
      </w:pPr>
    </w:p>
    <w:p w14:paraId="1425583A" w14:textId="5332522F" w:rsidR="008510A7" w:rsidRPr="00304FF5" w:rsidRDefault="008510A7" w:rsidP="008510A7">
      <w:pPr>
        <w:spacing w:line="360" w:lineRule="auto"/>
        <w:jc w:val="both"/>
        <w:rPr>
          <w:rFonts w:eastAsiaTheme="minorEastAsia"/>
        </w:rPr>
      </w:pPr>
      <w:r w:rsidRPr="00304FF5">
        <w:rPr>
          <w:rFonts w:eastAsiaTheme="minorEastAsia"/>
        </w:rPr>
        <w:t>When the mean of multiple in</w:t>
      </w:r>
      <w:r w:rsidR="00C70376">
        <w:rPr>
          <w:rFonts w:eastAsiaTheme="minorEastAsia"/>
        </w:rPr>
        <w:t xml:space="preserve"> </w:t>
      </w:r>
      <w:r w:rsidRPr="00304FF5">
        <w:rPr>
          <w:rFonts w:eastAsiaTheme="minorEastAsia"/>
        </w:rPr>
        <w:t>situ measurements are taken to represent an ESU, their individual uncertainties should be propagated through the calculation of the mean, whilst the standard error of the mean should be calculated to reflect uncertainty due to sampling.</w:t>
      </w:r>
      <w:r w:rsidR="003C4600">
        <w:rPr>
          <w:rFonts w:eastAsiaTheme="minorEastAsia"/>
        </w:rPr>
        <w:t xml:space="preserve"> </w:t>
      </w:r>
      <w:r w:rsidRPr="00304FF5">
        <w:rPr>
          <w:rFonts w:eastAsiaTheme="minorEastAsia"/>
        </w:rPr>
        <w:t xml:space="preserve">The combined standard uncertainty in </w:t>
      </w:r>
      <w:r>
        <w:rPr>
          <w:rFonts w:eastAsiaTheme="minorEastAsia"/>
        </w:rPr>
        <w:t xml:space="preserve">SPAD derived </w:t>
      </w:r>
      <w:r w:rsidRPr="00304FF5">
        <w:rPr>
          <w:rFonts w:eastAsiaTheme="minorEastAsia"/>
        </w:rPr>
        <w:t>LCC at the ESU level can then be determined by adding these two terms in quadrature, such that</w:t>
      </w:r>
    </w:p>
    <w:p w14:paraId="77B6775E" w14:textId="77777777" w:rsidR="008510A7" w:rsidRPr="00304FF5" w:rsidRDefault="008510A7" w:rsidP="008510A7">
      <w:pPr>
        <w:spacing w:line="360" w:lineRule="auto"/>
        <w:rPr>
          <w:rFonts w:eastAsiaTheme="minorEastAsia"/>
        </w:rPr>
      </w:pPr>
      <m:oMathPara>
        <m:oMath>
          <m:r>
            <m:rPr>
              <m:sty m:val="p"/>
            </m:rPr>
            <w:rPr>
              <w:rFonts w:ascii="Cambria Math" w:hAnsi="Cambria Math"/>
            </w:rPr>
            <w:br/>
          </m:r>
        </m:oMath>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LCC</m:t>
                  </m:r>
                </m:e>
                <m:sub>
                  <m:r>
                    <w:rPr>
                      <w:rFonts w:ascii="Cambria Math" w:hAnsi="Cambria Math"/>
                    </w:rPr>
                    <m:t>ESU</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u(</m:t>
                                      </m:r>
                                      <m:sSub>
                                        <m:sSubPr>
                                          <m:ctrlPr>
                                            <w:rPr>
                                              <w:rFonts w:ascii="Cambria Math" w:hAnsi="Cambria Math"/>
                                              <w:i/>
                                            </w:rPr>
                                          </m:ctrlPr>
                                        </m:sSubPr>
                                        <m:e>
                                          <m:sSub>
                                            <m:sSubPr>
                                              <m:ctrlPr>
                                                <w:rPr>
                                                  <w:rFonts w:ascii="Cambria Math" w:hAnsi="Cambria Math"/>
                                                  <w:i/>
                                                </w:rPr>
                                              </m:ctrlPr>
                                            </m:sSubPr>
                                            <m:e>
                                              <m:r>
                                                <w:rPr>
                                                  <w:rFonts w:ascii="Cambria Math" w:hAnsi="Cambria Math"/>
                                                </w:rPr>
                                                <m:t>LCC</m:t>
                                              </m:r>
                                            </m:e>
                                            <m:sub>
                                              <m:r>
                                                <w:rPr>
                                                  <w:rFonts w:ascii="Cambria Math" w:hAnsi="Cambria Math"/>
                                                </w:rPr>
                                                <m:t>SPAD</m:t>
                                              </m:r>
                                            </m:sub>
                                          </m:sSub>
                                        </m:e>
                                        <m:sub>
                                          <m:r>
                                            <w:rPr>
                                              <w:rFonts w:ascii="Cambria Math" w:hAnsi="Cambria Math"/>
                                            </w:rPr>
                                            <m:t>i</m:t>
                                          </m:r>
                                        </m:sub>
                                      </m:sSub>
                                      <m:r>
                                        <w:rPr>
                                          <w:rFonts w:ascii="Cambria Math" w:hAnsi="Cambria Math"/>
                                        </w:rPr>
                                        <m:t>)</m:t>
                                      </m:r>
                                    </m:e>
                                    <m:sup>
                                      <m:r>
                                        <w:rPr>
                                          <w:rFonts w:ascii="Cambria Math" w:hAnsi="Cambria Math"/>
                                        </w:rPr>
                                        <m:t>2</m:t>
                                      </m:r>
                                    </m:sup>
                                  </m:sSup>
                                </m:e>
                              </m:nary>
                            </m:e>
                          </m:rad>
                        </m:num>
                        <m:den>
                          <m:r>
                            <w:rPr>
                              <w:rFonts w:ascii="Cambria Math" w:hAnsi="Cambria Math"/>
                            </w:rPr>
                            <m:t>n</m:t>
                          </m:r>
                        </m:den>
                      </m:f>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u(samp)</m:t>
                  </m:r>
                </m:e>
                <m:sup>
                  <m:r>
                    <w:rPr>
                      <w:rFonts w:ascii="Cambria Math" w:hAnsi="Cambria Math"/>
                    </w:rPr>
                    <m:t>2</m:t>
                  </m:r>
                </m:sup>
              </m:sSup>
            </m:e>
          </m:rad>
        </m:oMath>
      </m:oMathPara>
    </w:p>
    <w:p w14:paraId="2E0E4A3C" w14:textId="77777777" w:rsidR="008510A7" w:rsidRPr="00304FF5" w:rsidRDefault="008510A7" w:rsidP="008510A7">
      <w:pPr>
        <w:spacing w:line="360" w:lineRule="auto"/>
        <w:rPr>
          <w:rFonts w:eastAsiaTheme="minorEastAsia"/>
        </w:rPr>
      </w:pPr>
    </w:p>
    <w:p w14:paraId="7542A7A6" w14:textId="77777777" w:rsidR="008510A7" w:rsidRDefault="008510A7" w:rsidP="008510A7">
      <w:pPr>
        <w:spacing w:line="360" w:lineRule="auto"/>
      </w:pPr>
    </w:p>
    <w:p w14:paraId="192692ED" w14:textId="77777777" w:rsidR="008510A7" w:rsidRDefault="008510A7" w:rsidP="008510A7">
      <w:pPr>
        <w:spacing w:line="360" w:lineRule="auto"/>
      </w:pPr>
    </w:p>
    <w:p w14:paraId="77DF5F3E" w14:textId="77777777" w:rsidR="008510A7" w:rsidRDefault="008510A7" w:rsidP="008510A7">
      <w:pPr>
        <w:spacing w:line="360" w:lineRule="auto"/>
      </w:pPr>
    </w:p>
    <w:p w14:paraId="4F55C2DC" w14:textId="77777777" w:rsidR="008510A7" w:rsidRDefault="008510A7" w:rsidP="008510A7">
      <w:pPr>
        <w:spacing w:line="360" w:lineRule="auto"/>
      </w:pPr>
    </w:p>
    <w:p w14:paraId="28215D25" w14:textId="77777777" w:rsidR="008510A7" w:rsidRDefault="008510A7" w:rsidP="008510A7">
      <w:pPr>
        <w:spacing w:line="360" w:lineRule="auto"/>
      </w:pPr>
    </w:p>
    <w:p w14:paraId="0EC33D14" w14:textId="730AF032" w:rsidR="005523A6" w:rsidRDefault="005523A6" w:rsidP="005523A6"/>
    <w:p w14:paraId="05AD9665" w14:textId="77777777" w:rsidR="005523A6" w:rsidRPr="005523A6" w:rsidRDefault="005523A6" w:rsidP="005523A6"/>
    <w:p w14:paraId="446F33CE" w14:textId="77777777" w:rsidR="000C496A" w:rsidRPr="00AF75C5" w:rsidRDefault="000C496A" w:rsidP="00AF75C5"/>
    <w:p w14:paraId="053FC918" w14:textId="29B6D607" w:rsidR="000E54E1" w:rsidRPr="00247619" w:rsidRDefault="008131EB" w:rsidP="00C51520">
      <w:pPr>
        <w:pStyle w:val="Heading1"/>
      </w:pPr>
      <w:bookmarkStart w:id="174" w:name="_Toc44515987"/>
      <w:r>
        <w:lastRenderedPageBreak/>
        <w:t>References</w:t>
      </w:r>
      <w:bookmarkEnd w:id="174"/>
    </w:p>
    <w:p w14:paraId="7B125EAE" w14:textId="77777777" w:rsidR="000E54E1" w:rsidRPr="00BD626B" w:rsidRDefault="000E54E1" w:rsidP="0069303D">
      <w:pPr>
        <w:spacing w:after="0"/>
      </w:pPr>
    </w:p>
    <w:p w14:paraId="5E4740C2" w14:textId="0612D89B" w:rsidR="002A5CA0" w:rsidRPr="002A5CA0" w:rsidRDefault="000E54E1" w:rsidP="002A5CA0">
      <w:pPr>
        <w:widowControl w:val="0"/>
        <w:autoSpaceDE w:val="0"/>
        <w:autoSpaceDN w:val="0"/>
        <w:adjustRightInd w:val="0"/>
        <w:spacing w:line="240" w:lineRule="auto"/>
        <w:ind w:left="640" w:hanging="640"/>
        <w:rPr>
          <w:rFonts w:ascii="Calibri" w:hAnsi="Calibri" w:cs="Calibri"/>
          <w:noProof/>
          <w:szCs w:val="24"/>
        </w:rPr>
      </w:pPr>
      <w:r>
        <w:rPr>
          <w:rFonts w:ascii="Calibri" w:hAnsi="Calibri" w:cs="Calibri"/>
          <w:noProof/>
          <w:szCs w:val="24"/>
        </w:rPr>
        <w:fldChar w:fldCharType="begin" w:fldLock="1"/>
      </w:r>
      <w:r>
        <w:rPr>
          <w:rFonts w:ascii="Calibri" w:hAnsi="Calibri" w:cs="Calibri"/>
          <w:noProof/>
          <w:szCs w:val="24"/>
        </w:rPr>
        <w:instrText xml:space="preserve">ADDIN Mendeley Bibliography CSL_BIBLIOGRAPHY </w:instrText>
      </w:r>
      <w:r>
        <w:rPr>
          <w:rFonts w:ascii="Calibri" w:hAnsi="Calibri" w:cs="Calibri"/>
          <w:noProof/>
          <w:szCs w:val="24"/>
        </w:rPr>
        <w:fldChar w:fldCharType="separate"/>
      </w:r>
      <w:r w:rsidR="002A5CA0" w:rsidRPr="002A5CA0">
        <w:rPr>
          <w:rFonts w:ascii="Calibri" w:hAnsi="Calibri" w:cs="Calibri"/>
          <w:noProof/>
          <w:szCs w:val="24"/>
        </w:rPr>
        <w:t>[1]</w:t>
      </w:r>
      <w:r w:rsidR="002A5CA0" w:rsidRPr="002A5CA0">
        <w:rPr>
          <w:rFonts w:ascii="Calibri" w:hAnsi="Calibri" w:cs="Calibri"/>
          <w:noProof/>
          <w:szCs w:val="24"/>
        </w:rPr>
        <w:tab/>
        <w:t xml:space="preserve">J. L. Widlowski </w:t>
      </w:r>
      <w:r w:rsidR="002A5CA0" w:rsidRPr="002A5CA0">
        <w:rPr>
          <w:rFonts w:ascii="Calibri" w:hAnsi="Calibri" w:cs="Calibri"/>
          <w:i/>
          <w:iCs/>
          <w:noProof/>
          <w:szCs w:val="24"/>
        </w:rPr>
        <w:t>et al.</w:t>
      </w:r>
      <w:r w:rsidR="002A5CA0" w:rsidRPr="002A5CA0">
        <w:rPr>
          <w:rFonts w:ascii="Calibri" w:hAnsi="Calibri" w:cs="Calibri"/>
          <w:noProof/>
          <w:szCs w:val="24"/>
        </w:rPr>
        <w:t xml:space="preserve">, “The fourth phase of the radiative transfer model intercomparison (RAMI) exercise: Actual canopy scenarios and conformity testing,” </w:t>
      </w:r>
      <w:r w:rsidR="002A5CA0" w:rsidRPr="002A5CA0">
        <w:rPr>
          <w:rFonts w:ascii="Calibri" w:hAnsi="Calibri" w:cs="Calibri"/>
          <w:i/>
          <w:iCs/>
          <w:noProof/>
          <w:szCs w:val="24"/>
        </w:rPr>
        <w:t>Remote Sens. Environ.</w:t>
      </w:r>
      <w:r w:rsidR="002A5CA0" w:rsidRPr="002A5CA0">
        <w:rPr>
          <w:rFonts w:ascii="Calibri" w:hAnsi="Calibri" w:cs="Calibri"/>
          <w:noProof/>
          <w:szCs w:val="24"/>
        </w:rPr>
        <w:t>, vol. 169, pp. 418–437, 2015.</w:t>
      </w:r>
    </w:p>
    <w:p w14:paraId="6E8C371A"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w:t>
      </w:r>
      <w:r w:rsidRPr="002A5CA0">
        <w:rPr>
          <w:rFonts w:ascii="Calibri" w:hAnsi="Calibri" w:cs="Calibri"/>
          <w:noProof/>
          <w:szCs w:val="24"/>
        </w:rPr>
        <w:tab/>
        <w:t>E. Theocharous and N. P. Fox, “NPL REPORT OP 4 CEOS comparison of IR brightness temperature measurements in support of satellite validation. Part II: Laboratory comparison of the brightness temperature of blackbodies,” 2010.</w:t>
      </w:r>
    </w:p>
    <w:p w14:paraId="142ADE7A"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w:t>
      </w:r>
      <w:r w:rsidRPr="002A5CA0">
        <w:rPr>
          <w:rFonts w:ascii="Calibri" w:hAnsi="Calibri" w:cs="Calibri"/>
          <w:noProof/>
          <w:szCs w:val="24"/>
        </w:rPr>
        <w:tab/>
        <w:t>N. Fox, “QA4EO: A guide to comparisons – organisation, operation and analysis to establish measurement equivalence to underpin the Quality Assurance requirements of GEO (QA4EO-QAEO-GEN-DQK-004) Version 4.0,” 2010.</w:t>
      </w:r>
    </w:p>
    <w:p w14:paraId="4BA5B5E0"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[4]</w:t>
      </w:r>
      <w:r w:rsidRPr="002A5CA0">
        <w:rPr>
          <w:rFonts w:ascii="Calibri" w:hAnsi="Calibri" w:cs="Calibri"/>
          <w:noProof/>
          <w:szCs w:val="24"/>
        </w:rPr>
        <w:tab/>
        <w:t xml:space="preserve">Working Group 1 of the Joint Committee for Guides in Metrology, </w:t>
      </w:r>
      <w:r w:rsidRPr="002A5CA0">
        <w:rPr>
          <w:rFonts w:ascii="Calibri" w:hAnsi="Calibri" w:cs="Calibri"/>
          <w:i/>
          <w:iCs/>
          <w:noProof/>
          <w:szCs w:val="24"/>
        </w:rPr>
        <w:t>Evaluation of measurement data — Guide to the expression of uncertainty in measurement</w:t>
      </w:r>
      <w:r w:rsidRPr="002A5CA0">
        <w:rPr>
          <w:rFonts w:ascii="Calibri" w:hAnsi="Calibri" w:cs="Calibri"/>
          <w:noProof/>
          <w:szCs w:val="24"/>
        </w:rPr>
        <w:t>. Paris, France: Bureau International des Poids et Mesures, 2008.</w:t>
      </w:r>
    </w:p>
    <w:p w14:paraId="2F3F3E20"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[5]</w:t>
      </w:r>
      <w:r w:rsidRPr="002A5CA0">
        <w:rPr>
          <w:rFonts w:ascii="Calibri" w:hAnsi="Calibri" w:cs="Calibri"/>
          <w:noProof/>
          <w:szCs w:val="24"/>
        </w:rPr>
        <w:tab/>
        <w:t>ESA, “Fiducial Reference Measurements: FRM,” 2019. [Online]. Available: https://earth.esa.int/web/sppa/activities/frm. [Accessed: 08-Mar-2019].</w:t>
      </w:r>
    </w:p>
    <w:p w14:paraId="283F0CBF"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[6]</w:t>
      </w:r>
      <w:r w:rsidRPr="002A5CA0">
        <w:rPr>
          <w:rFonts w:ascii="Calibri" w:hAnsi="Calibri" w:cs="Calibri"/>
          <w:noProof/>
          <w:szCs w:val="24"/>
        </w:rPr>
        <w:tab/>
        <w:t xml:space="preserve">H. P. Schmid, “Experimental design for flux measurements: matching scales of observations and fluxes,” </w:t>
      </w:r>
      <w:r w:rsidRPr="002A5CA0">
        <w:rPr>
          <w:rFonts w:ascii="Calibri" w:hAnsi="Calibri" w:cs="Calibri"/>
          <w:i/>
          <w:iCs/>
          <w:noProof/>
          <w:szCs w:val="24"/>
        </w:rPr>
        <w:t>Agric. For. Meteorol.</w:t>
      </w:r>
      <w:r w:rsidRPr="002A5CA0">
        <w:rPr>
          <w:rFonts w:ascii="Calibri" w:hAnsi="Calibri" w:cs="Calibri"/>
          <w:noProof/>
          <w:szCs w:val="24"/>
        </w:rPr>
        <w:t>, vol. 87, no. 2–3, pp. 179–200, 1997.</w:t>
      </w:r>
    </w:p>
    <w:p w14:paraId="15D8BAEE"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[7]</w:t>
      </w:r>
      <w:r w:rsidRPr="002A5CA0">
        <w:rPr>
          <w:rFonts w:ascii="Calibri" w:hAnsi="Calibri" w:cs="Calibri"/>
          <w:noProof/>
          <w:szCs w:val="24"/>
        </w:rPr>
        <w:tab/>
        <w:t xml:space="preserve">G. Schaepman-Strub, M. E. Schaepman, T. H. Painter, S. Dangel, and V. J. Martonchik, “Reflectance quantities in optical remote sensing — definitions and case studies,” </w:t>
      </w:r>
      <w:r w:rsidRPr="002A5CA0">
        <w:rPr>
          <w:rFonts w:ascii="Calibri" w:hAnsi="Calibri" w:cs="Calibri"/>
          <w:i/>
          <w:iCs/>
          <w:noProof/>
          <w:szCs w:val="24"/>
        </w:rPr>
        <w:t>Remote Sens. Environ.</w:t>
      </w:r>
      <w:r w:rsidRPr="002A5CA0">
        <w:rPr>
          <w:rFonts w:ascii="Calibri" w:hAnsi="Calibri" w:cs="Calibri"/>
          <w:noProof/>
          <w:szCs w:val="24"/>
        </w:rPr>
        <w:t>, vol. 103, pp. 27–42, 2006.</w:t>
      </w:r>
    </w:p>
    <w:p w14:paraId="3687F123"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[8]</w:t>
      </w:r>
      <w:r w:rsidRPr="002A5CA0">
        <w:rPr>
          <w:rFonts w:ascii="Calibri" w:hAnsi="Calibri" w:cs="Calibri"/>
          <w:noProof/>
          <w:szCs w:val="24"/>
        </w:rPr>
        <w:tab/>
        <w:t xml:space="preserve">F. E. Nicodemus, J. C. Richmond, and J. J. Hsia, </w:t>
      </w:r>
      <w:r w:rsidRPr="002A5CA0">
        <w:rPr>
          <w:rFonts w:ascii="Calibri" w:hAnsi="Calibri" w:cs="Calibri"/>
          <w:i/>
          <w:iCs/>
          <w:noProof/>
          <w:szCs w:val="24"/>
        </w:rPr>
        <w:t>Geometrical considerations and nomenclature for reflectance</w:t>
      </w:r>
      <w:r w:rsidRPr="002A5CA0">
        <w:rPr>
          <w:rFonts w:ascii="Calibri" w:hAnsi="Calibri" w:cs="Calibri"/>
          <w:noProof/>
          <w:szCs w:val="24"/>
        </w:rPr>
        <w:t>. Washington D.C., United States: Department of Commerce National Bureau of Standards, 1977.</w:t>
      </w:r>
    </w:p>
    <w:p w14:paraId="183A99CB"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[9]</w:t>
      </w:r>
      <w:r w:rsidRPr="002A5CA0">
        <w:rPr>
          <w:rFonts w:ascii="Calibri" w:hAnsi="Calibri" w:cs="Calibri"/>
          <w:noProof/>
          <w:szCs w:val="24"/>
        </w:rPr>
        <w:tab/>
        <w:t xml:space="preserve">F. Baret and R. Fernandes, </w:t>
      </w:r>
      <w:r w:rsidRPr="002A5CA0">
        <w:rPr>
          <w:rFonts w:ascii="Calibri" w:hAnsi="Calibri" w:cs="Calibri"/>
          <w:i/>
          <w:iCs/>
          <w:noProof/>
          <w:szCs w:val="24"/>
        </w:rPr>
        <w:t>VALSE-2 Validation Concept</w:t>
      </w:r>
      <w:r w:rsidRPr="002A5CA0">
        <w:rPr>
          <w:rFonts w:ascii="Calibri" w:hAnsi="Calibri" w:cs="Calibri"/>
          <w:noProof/>
          <w:szCs w:val="24"/>
        </w:rPr>
        <w:t>. Avignon, France: Institut National de la Recherche Agronomique, 2012.</w:t>
      </w:r>
    </w:p>
    <w:p w14:paraId="1B2ABE91"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[10]</w:t>
      </w:r>
      <w:r w:rsidRPr="002A5CA0">
        <w:rPr>
          <w:rFonts w:ascii="Calibri" w:hAnsi="Calibri" w:cs="Calibri"/>
          <w:noProof/>
          <w:szCs w:val="24"/>
        </w:rPr>
        <w:tab/>
        <w:t xml:space="preserve">F. Baret and G. Guyot, “Potentials and limits of vegetation indices for LAI and APAR assessment,” </w:t>
      </w:r>
      <w:r w:rsidRPr="002A5CA0">
        <w:rPr>
          <w:rFonts w:ascii="Calibri" w:hAnsi="Calibri" w:cs="Calibri"/>
          <w:i/>
          <w:iCs/>
          <w:noProof/>
          <w:szCs w:val="24"/>
        </w:rPr>
        <w:t>Remote Sens. Environ.</w:t>
      </w:r>
      <w:r w:rsidRPr="002A5CA0">
        <w:rPr>
          <w:rFonts w:ascii="Calibri" w:hAnsi="Calibri" w:cs="Calibri"/>
          <w:noProof/>
          <w:szCs w:val="24"/>
        </w:rPr>
        <w:t>, vol. 35, no. 2–3, pp. 161–173, 1991.</w:t>
      </w:r>
    </w:p>
    <w:p w14:paraId="51DD6E88"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[11]</w:t>
      </w:r>
      <w:r w:rsidRPr="002A5CA0">
        <w:rPr>
          <w:rFonts w:ascii="Calibri" w:hAnsi="Calibri" w:cs="Calibri"/>
          <w:noProof/>
          <w:szCs w:val="24"/>
        </w:rPr>
        <w:tab/>
        <w:t xml:space="preserve">N. Gobron </w:t>
      </w:r>
      <w:r w:rsidRPr="002A5CA0">
        <w:rPr>
          <w:rFonts w:ascii="Calibri" w:hAnsi="Calibri" w:cs="Calibri"/>
          <w:i/>
          <w:iCs/>
          <w:noProof/>
          <w:szCs w:val="24"/>
        </w:rPr>
        <w:t>et al.</w:t>
      </w:r>
      <w:r w:rsidRPr="002A5CA0">
        <w:rPr>
          <w:rFonts w:ascii="Calibri" w:hAnsi="Calibri" w:cs="Calibri"/>
          <w:noProof/>
          <w:szCs w:val="24"/>
        </w:rPr>
        <w:t xml:space="preserve">, “Evaluation of fraction of absorbed photosynthetically active radiation products for different canopy radiation transfer regimes: Methodology and results using Joint Research Center products derived from SeaWiFS against ground-based estimations,” </w:t>
      </w:r>
      <w:r w:rsidRPr="002A5CA0">
        <w:rPr>
          <w:rFonts w:ascii="Calibri" w:hAnsi="Calibri" w:cs="Calibri"/>
          <w:i/>
          <w:iCs/>
          <w:noProof/>
          <w:szCs w:val="24"/>
        </w:rPr>
        <w:t>J. Geophys. Res.</w:t>
      </w:r>
      <w:r w:rsidRPr="002A5CA0">
        <w:rPr>
          <w:rFonts w:ascii="Calibri" w:hAnsi="Calibri" w:cs="Calibri"/>
          <w:noProof/>
          <w:szCs w:val="24"/>
        </w:rPr>
        <w:t>, vol. 111, no. D13, p. D13110, 2006.</w:t>
      </w:r>
    </w:p>
    <w:p w14:paraId="36E6378A"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[12]</w:t>
      </w:r>
      <w:r w:rsidRPr="002A5CA0">
        <w:rPr>
          <w:rFonts w:ascii="Calibri" w:hAnsi="Calibri" w:cs="Calibri"/>
          <w:noProof/>
          <w:szCs w:val="24"/>
        </w:rPr>
        <w:tab/>
        <w:t>LI-COR, “LAI-2200C Optical Sensor,” 2017. [Online]. Available: https://www.licor.com/env/products/leaf_area/LAI-2200C/optical-sensor.html. [Accessed: 10-May-2017].</w:t>
      </w:r>
    </w:p>
    <w:p w14:paraId="38ED84B2"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[13]</w:t>
      </w:r>
      <w:r w:rsidRPr="002A5CA0">
        <w:rPr>
          <w:rFonts w:ascii="Calibri" w:hAnsi="Calibri" w:cs="Calibri"/>
          <w:noProof/>
          <w:szCs w:val="24"/>
        </w:rPr>
        <w:tab/>
        <w:t xml:space="preserve">F. Baret </w:t>
      </w:r>
      <w:r w:rsidRPr="002A5CA0">
        <w:rPr>
          <w:rFonts w:ascii="Calibri" w:hAnsi="Calibri" w:cs="Calibri"/>
          <w:i/>
          <w:iCs/>
          <w:noProof/>
          <w:szCs w:val="24"/>
        </w:rPr>
        <w:t>et al.</w:t>
      </w:r>
      <w:r w:rsidRPr="002A5CA0">
        <w:rPr>
          <w:rFonts w:ascii="Calibri" w:hAnsi="Calibri" w:cs="Calibri"/>
          <w:noProof/>
          <w:szCs w:val="24"/>
        </w:rPr>
        <w:t xml:space="preserve">, </w:t>
      </w:r>
      <w:r w:rsidRPr="002A5CA0">
        <w:rPr>
          <w:rFonts w:ascii="Calibri" w:hAnsi="Calibri" w:cs="Calibri"/>
          <w:i/>
          <w:iCs/>
          <w:noProof/>
          <w:szCs w:val="24"/>
        </w:rPr>
        <w:t>VALERI: a network of sites and a methodology for the validation of medium spatial resolution land satellite products</w:t>
      </w:r>
      <w:r w:rsidRPr="002A5CA0">
        <w:rPr>
          <w:rFonts w:ascii="Calibri" w:hAnsi="Calibri" w:cs="Calibri"/>
          <w:noProof/>
          <w:szCs w:val="24"/>
        </w:rPr>
        <w:t>. Avignon, France: Institut National de la Recherche Agronomique, 2005.</w:t>
      </w:r>
    </w:p>
    <w:p w14:paraId="0B087928"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[14]</w:t>
      </w:r>
      <w:r w:rsidRPr="002A5CA0">
        <w:rPr>
          <w:rFonts w:ascii="Calibri" w:hAnsi="Calibri" w:cs="Calibri"/>
          <w:noProof/>
          <w:szCs w:val="24"/>
        </w:rPr>
        <w:tab/>
        <w:t xml:space="preserve">J. Miller, “A formula for average foliage density,” </w:t>
      </w:r>
      <w:r w:rsidRPr="002A5CA0">
        <w:rPr>
          <w:rFonts w:ascii="Calibri" w:hAnsi="Calibri" w:cs="Calibri"/>
          <w:i/>
          <w:iCs/>
          <w:noProof/>
          <w:szCs w:val="24"/>
        </w:rPr>
        <w:t>Aust. J. Bot.</w:t>
      </w:r>
      <w:r w:rsidRPr="002A5CA0">
        <w:rPr>
          <w:rFonts w:ascii="Calibri" w:hAnsi="Calibri" w:cs="Calibri"/>
          <w:noProof/>
          <w:szCs w:val="24"/>
        </w:rPr>
        <w:t>, vol. 15, no. 1, pp. 141–144, Apr. 1967.</w:t>
      </w:r>
    </w:p>
    <w:p w14:paraId="5F1CBADD"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[15]</w:t>
      </w:r>
      <w:r w:rsidRPr="002A5CA0">
        <w:rPr>
          <w:rFonts w:ascii="Calibri" w:hAnsi="Calibri" w:cs="Calibri"/>
          <w:noProof/>
          <w:szCs w:val="24"/>
        </w:rPr>
        <w:tab/>
        <w:t xml:space="preserve">Meter Group, </w:t>
      </w:r>
      <w:r w:rsidRPr="002A5CA0">
        <w:rPr>
          <w:rFonts w:ascii="Calibri" w:hAnsi="Calibri" w:cs="Calibri"/>
          <w:i/>
          <w:iCs/>
          <w:noProof/>
          <w:szCs w:val="24"/>
        </w:rPr>
        <w:t>AccuPAR PAR/LAI Ceptometer: Model LP-80</w:t>
      </w:r>
      <w:r w:rsidRPr="002A5CA0">
        <w:rPr>
          <w:rFonts w:ascii="Calibri" w:hAnsi="Calibri" w:cs="Calibri"/>
          <w:noProof/>
          <w:szCs w:val="24"/>
        </w:rPr>
        <w:t>. Pullman, Washington, United States: Meter Group, 2018.</w:t>
      </w:r>
    </w:p>
    <w:p w14:paraId="6C398720"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lastRenderedPageBreak/>
        <w:t>[16]</w:t>
      </w:r>
      <w:r w:rsidRPr="002A5CA0">
        <w:rPr>
          <w:rFonts w:ascii="Calibri" w:hAnsi="Calibri" w:cs="Calibri"/>
          <w:noProof/>
          <w:szCs w:val="24"/>
        </w:rPr>
        <w:tab/>
        <w:t xml:space="preserve">J. Warren-Wilson, “Estimation of foliage denseness and foliage angle by inclined point quadrats,” </w:t>
      </w:r>
      <w:r w:rsidRPr="002A5CA0">
        <w:rPr>
          <w:rFonts w:ascii="Calibri" w:hAnsi="Calibri" w:cs="Calibri"/>
          <w:i/>
          <w:iCs/>
          <w:noProof/>
          <w:szCs w:val="24"/>
        </w:rPr>
        <w:t>Aust. J. Bot.</w:t>
      </w:r>
      <w:r w:rsidRPr="002A5CA0">
        <w:rPr>
          <w:rFonts w:ascii="Calibri" w:hAnsi="Calibri" w:cs="Calibri"/>
          <w:noProof/>
          <w:szCs w:val="24"/>
        </w:rPr>
        <w:t>, vol. 11, no. 1, pp. 95–105, 1963.</w:t>
      </w:r>
    </w:p>
    <w:p w14:paraId="7601C478"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[17]</w:t>
      </w:r>
      <w:r w:rsidRPr="002A5CA0">
        <w:rPr>
          <w:rFonts w:ascii="Calibri" w:hAnsi="Calibri" w:cs="Calibri"/>
          <w:noProof/>
          <w:szCs w:val="24"/>
        </w:rPr>
        <w:tab/>
        <w:t xml:space="preserve">A. R. G. Lang and X. Yueqin, “Estimation of leaf area index from transmission of direct sunlight in discontinuous canopies,” </w:t>
      </w:r>
      <w:r w:rsidRPr="002A5CA0">
        <w:rPr>
          <w:rFonts w:ascii="Calibri" w:hAnsi="Calibri" w:cs="Calibri"/>
          <w:i/>
          <w:iCs/>
          <w:noProof/>
          <w:szCs w:val="24"/>
        </w:rPr>
        <w:t>Agric. For. Meteorol.</w:t>
      </w:r>
      <w:r w:rsidRPr="002A5CA0">
        <w:rPr>
          <w:rFonts w:ascii="Calibri" w:hAnsi="Calibri" w:cs="Calibri"/>
          <w:noProof/>
          <w:szCs w:val="24"/>
        </w:rPr>
        <w:t>, vol. 37, no. 3, pp. 229–243, 1986.</w:t>
      </w:r>
    </w:p>
    <w:p w14:paraId="3CDB1486"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[18]</w:t>
      </w:r>
      <w:r w:rsidRPr="002A5CA0">
        <w:rPr>
          <w:rFonts w:ascii="Calibri" w:hAnsi="Calibri" w:cs="Calibri"/>
          <w:noProof/>
          <w:szCs w:val="24"/>
        </w:rPr>
        <w:tab/>
        <w:t xml:space="preserve">M. Weiss and F. Baret, </w:t>
      </w:r>
      <w:r w:rsidRPr="002A5CA0">
        <w:rPr>
          <w:rFonts w:ascii="Calibri" w:hAnsi="Calibri" w:cs="Calibri"/>
          <w:i/>
          <w:iCs/>
          <w:noProof/>
          <w:szCs w:val="24"/>
        </w:rPr>
        <w:t>CAN-EYE V6.4.91 User Manual</w:t>
      </w:r>
      <w:r w:rsidRPr="002A5CA0">
        <w:rPr>
          <w:rFonts w:ascii="Calibri" w:hAnsi="Calibri" w:cs="Calibri"/>
          <w:noProof/>
          <w:szCs w:val="24"/>
        </w:rPr>
        <w:t>. Avignon, France: Institut National de la Recherche Agronomique, 2017.</w:t>
      </w:r>
    </w:p>
    <w:p w14:paraId="3BAF25EE"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[19]</w:t>
      </w:r>
      <w:r w:rsidRPr="002A5CA0">
        <w:rPr>
          <w:rFonts w:ascii="Calibri" w:hAnsi="Calibri" w:cs="Calibri"/>
          <w:noProof/>
          <w:szCs w:val="24"/>
        </w:rPr>
        <w:tab/>
        <w:t xml:space="preserve">C. Parry, J. M. Blonquist, and B. Bugbee, “In situ measurement of leaf chlorophyll concentration: analysis of the optical/absolute relationship,” </w:t>
      </w:r>
      <w:r w:rsidRPr="002A5CA0">
        <w:rPr>
          <w:rFonts w:ascii="Calibri" w:hAnsi="Calibri" w:cs="Calibri"/>
          <w:i/>
          <w:iCs/>
          <w:noProof/>
          <w:szCs w:val="24"/>
        </w:rPr>
        <w:t>Plant. Cell Environ.</w:t>
      </w:r>
      <w:r w:rsidRPr="002A5CA0">
        <w:rPr>
          <w:rFonts w:ascii="Calibri" w:hAnsi="Calibri" w:cs="Calibri"/>
          <w:noProof/>
          <w:szCs w:val="24"/>
        </w:rPr>
        <w:t>, vol. 37, no. 11, pp. 2508–2520, 2014.</w:t>
      </w:r>
    </w:p>
    <w:p w14:paraId="494EFFB7"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[20]</w:t>
      </w:r>
      <w:r w:rsidRPr="002A5CA0">
        <w:rPr>
          <w:rFonts w:ascii="Calibri" w:hAnsi="Calibri" w:cs="Calibri"/>
          <w:noProof/>
          <w:szCs w:val="24"/>
        </w:rPr>
        <w:tab/>
        <w:t xml:space="preserve">A. R. Wellburn, “The Spectral Determination of Chlorophylls a and b, as well as Total Carotenoids, Using Various Solvents with Spectrophotometers of Different Resolution,” </w:t>
      </w:r>
      <w:r w:rsidRPr="002A5CA0">
        <w:rPr>
          <w:rFonts w:ascii="Calibri" w:hAnsi="Calibri" w:cs="Calibri"/>
          <w:i/>
          <w:iCs/>
          <w:noProof/>
          <w:szCs w:val="24"/>
        </w:rPr>
        <w:t>J. Plant Physiol.</w:t>
      </w:r>
      <w:r w:rsidRPr="002A5CA0">
        <w:rPr>
          <w:rFonts w:ascii="Calibri" w:hAnsi="Calibri" w:cs="Calibri"/>
          <w:noProof/>
          <w:szCs w:val="24"/>
        </w:rPr>
        <w:t>, vol. 144, no. 3, pp. 307–313, 1994.</w:t>
      </w:r>
    </w:p>
    <w:p w14:paraId="76B4EAAA"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[21]</w:t>
      </w:r>
      <w:r w:rsidRPr="002A5CA0">
        <w:rPr>
          <w:rFonts w:ascii="Calibri" w:hAnsi="Calibri" w:cs="Calibri"/>
          <w:noProof/>
          <w:szCs w:val="24"/>
        </w:rPr>
        <w:tab/>
        <w:t xml:space="preserve">LI-COR, </w:t>
      </w:r>
      <w:r w:rsidRPr="002A5CA0">
        <w:rPr>
          <w:rFonts w:ascii="Calibri" w:hAnsi="Calibri" w:cs="Calibri"/>
          <w:i/>
          <w:iCs/>
          <w:noProof/>
          <w:szCs w:val="24"/>
        </w:rPr>
        <w:t>LAI-2200C Plant Canopy Analyser Instruction Manual</w:t>
      </w:r>
      <w:r w:rsidRPr="002A5CA0">
        <w:rPr>
          <w:rFonts w:ascii="Calibri" w:hAnsi="Calibri" w:cs="Calibri"/>
          <w:noProof/>
          <w:szCs w:val="24"/>
        </w:rPr>
        <w:t>. Lincoln, Nebraska, United States: LI-COR, 2013.</w:t>
      </w:r>
    </w:p>
    <w:p w14:paraId="159B7E23"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[22]</w:t>
      </w:r>
      <w:r w:rsidRPr="002A5CA0">
        <w:rPr>
          <w:rFonts w:ascii="Calibri" w:hAnsi="Calibri" w:cs="Calibri"/>
          <w:noProof/>
          <w:szCs w:val="24"/>
        </w:rPr>
        <w:tab/>
        <w:t>Canon, “Canon EOS 6D Specification.” [Online]. Available: https://www.canon.co.uk/for_home/product_finder/cameras/digital_slr/eos_6d/specification.aspx. [Accessed: 24-Aug-2018].</w:t>
      </w:r>
    </w:p>
    <w:p w14:paraId="0942BA4B"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[23]</w:t>
      </w:r>
      <w:r w:rsidRPr="002A5CA0">
        <w:rPr>
          <w:rFonts w:ascii="Calibri" w:hAnsi="Calibri" w:cs="Calibri"/>
          <w:noProof/>
          <w:szCs w:val="24"/>
        </w:rPr>
        <w:tab/>
        <w:t xml:space="preserve">Canon, </w:t>
      </w:r>
      <w:r w:rsidRPr="002A5CA0">
        <w:rPr>
          <w:rFonts w:ascii="Calibri" w:hAnsi="Calibri" w:cs="Calibri"/>
          <w:i/>
          <w:iCs/>
          <w:noProof/>
          <w:szCs w:val="24"/>
        </w:rPr>
        <w:t>EOS 6D Instruction Manual</w:t>
      </w:r>
      <w:r w:rsidRPr="002A5CA0">
        <w:rPr>
          <w:rFonts w:ascii="Calibri" w:hAnsi="Calibri" w:cs="Calibri"/>
          <w:noProof/>
          <w:szCs w:val="24"/>
        </w:rPr>
        <w:t>. Tokyo, Japan: Canon, 2017.</w:t>
      </w:r>
    </w:p>
    <w:p w14:paraId="5FF17DDA"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[24]</w:t>
      </w:r>
      <w:r w:rsidRPr="002A5CA0">
        <w:rPr>
          <w:rFonts w:ascii="Calibri" w:hAnsi="Calibri" w:cs="Calibri"/>
          <w:noProof/>
          <w:szCs w:val="24"/>
        </w:rPr>
        <w:tab/>
        <w:t xml:space="preserve">Minolta, </w:t>
      </w:r>
      <w:r w:rsidRPr="002A5CA0">
        <w:rPr>
          <w:rFonts w:ascii="Calibri" w:hAnsi="Calibri" w:cs="Calibri"/>
          <w:i/>
          <w:iCs/>
          <w:noProof/>
          <w:szCs w:val="24"/>
        </w:rPr>
        <w:t>Chlorophyll Meter SPAD-502</w:t>
      </w:r>
      <w:r w:rsidRPr="002A5CA0">
        <w:rPr>
          <w:rFonts w:ascii="Calibri" w:hAnsi="Calibri" w:cs="Calibri"/>
          <w:noProof/>
          <w:szCs w:val="24"/>
        </w:rPr>
        <w:t>. Osaka, Japan: Minolta.</w:t>
      </w:r>
    </w:p>
    <w:p w14:paraId="4E75ED49"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[25]</w:t>
      </w:r>
      <w:r w:rsidRPr="002A5CA0">
        <w:rPr>
          <w:rFonts w:ascii="Calibri" w:hAnsi="Calibri" w:cs="Calibri"/>
          <w:noProof/>
          <w:szCs w:val="24"/>
        </w:rPr>
        <w:tab/>
        <w:t>Konica Minolta, “Chlorophyll Meter SPAD-502.” [Online]. Available: https://www.konicaminolta.eu/en/measuring-instruments/products/colour-measurement/discontinued-products/spad-502.html. [Accessed: 24-Aug-2018].</w:t>
      </w:r>
    </w:p>
    <w:p w14:paraId="1D1CE23D"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[26]</w:t>
      </w:r>
      <w:r w:rsidRPr="002A5CA0">
        <w:rPr>
          <w:rFonts w:ascii="Calibri" w:hAnsi="Calibri" w:cs="Calibri"/>
          <w:noProof/>
          <w:szCs w:val="24"/>
        </w:rPr>
        <w:tab/>
        <w:t>Apogee Instruments, “Quantum Sensor Owner’s Manual.” Utah, USA, 2020.</w:t>
      </w:r>
    </w:p>
    <w:p w14:paraId="781FF408"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[27]</w:t>
      </w:r>
      <w:r w:rsidRPr="002A5CA0">
        <w:rPr>
          <w:rFonts w:ascii="Calibri" w:hAnsi="Calibri" w:cs="Calibri"/>
          <w:noProof/>
          <w:szCs w:val="24"/>
        </w:rPr>
        <w:tab/>
        <w:t xml:space="preserve">C. D. Ehrlich and S. D. Rasberry, “Metrological timelines in traceability,” </w:t>
      </w:r>
      <w:r w:rsidRPr="002A5CA0">
        <w:rPr>
          <w:rFonts w:ascii="Calibri" w:hAnsi="Calibri" w:cs="Calibri"/>
          <w:i/>
          <w:iCs/>
          <w:noProof/>
          <w:szCs w:val="24"/>
        </w:rPr>
        <w:t>Metrologia</w:t>
      </w:r>
      <w:r w:rsidRPr="002A5CA0">
        <w:rPr>
          <w:rFonts w:ascii="Calibri" w:hAnsi="Calibri" w:cs="Calibri"/>
          <w:noProof/>
          <w:szCs w:val="24"/>
        </w:rPr>
        <w:t>, vol. 34, no. 6, pp. 503–514, 1997.</w:t>
      </w:r>
    </w:p>
    <w:p w14:paraId="7CE1C7BF"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[28]</w:t>
      </w:r>
      <w:r w:rsidRPr="002A5CA0">
        <w:rPr>
          <w:rFonts w:ascii="Calibri" w:hAnsi="Calibri" w:cs="Calibri"/>
          <w:noProof/>
          <w:szCs w:val="24"/>
        </w:rPr>
        <w:tab/>
        <w:t xml:space="preserve">J. T. Morisette </w:t>
      </w:r>
      <w:r w:rsidRPr="002A5CA0">
        <w:rPr>
          <w:rFonts w:ascii="Calibri" w:hAnsi="Calibri" w:cs="Calibri"/>
          <w:i/>
          <w:iCs/>
          <w:noProof/>
          <w:szCs w:val="24"/>
        </w:rPr>
        <w:t>et al.</w:t>
      </w:r>
      <w:r w:rsidRPr="002A5CA0">
        <w:rPr>
          <w:rFonts w:ascii="Calibri" w:hAnsi="Calibri" w:cs="Calibri"/>
          <w:noProof/>
          <w:szCs w:val="24"/>
        </w:rPr>
        <w:t xml:space="preserve">, “Validation of global moderate-resolution LAI products: a framework proposed within the CEOS land product validation subgroup,” </w:t>
      </w:r>
      <w:r w:rsidRPr="002A5CA0">
        <w:rPr>
          <w:rFonts w:ascii="Calibri" w:hAnsi="Calibri" w:cs="Calibri"/>
          <w:i/>
          <w:iCs/>
          <w:noProof/>
          <w:szCs w:val="24"/>
        </w:rPr>
        <w:t>IEEE Trans. Geosci. Remote Sens.</w:t>
      </w:r>
      <w:r w:rsidRPr="002A5CA0">
        <w:rPr>
          <w:rFonts w:ascii="Calibri" w:hAnsi="Calibri" w:cs="Calibri"/>
          <w:noProof/>
          <w:szCs w:val="24"/>
        </w:rPr>
        <w:t>, vol. 44, no. 7, pp. 1804–1817, 2006.</w:t>
      </w:r>
    </w:p>
    <w:p w14:paraId="7CB8D981"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[29]</w:t>
      </w:r>
      <w:r w:rsidRPr="002A5CA0">
        <w:rPr>
          <w:rFonts w:ascii="Calibri" w:hAnsi="Calibri" w:cs="Calibri"/>
          <w:noProof/>
          <w:szCs w:val="24"/>
        </w:rPr>
        <w:tab/>
        <w:t xml:space="preserve">M. G. De Kauwe, M. I. Disney, T. Quaife, P. Lewis, and M. Williams, “An assessment of the MODIS collection 5 leaf area index product for a region of mixed coniferous forest,” </w:t>
      </w:r>
      <w:r w:rsidRPr="002A5CA0">
        <w:rPr>
          <w:rFonts w:ascii="Calibri" w:hAnsi="Calibri" w:cs="Calibri"/>
          <w:i/>
          <w:iCs/>
          <w:noProof/>
          <w:szCs w:val="24"/>
        </w:rPr>
        <w:t>Remote Sens. Environ.</w:t>
      </w:r>
      <w:r w:rsidRPr="002A5CA0">
        <w:rPr>
          <w:rFonts w:ascii="Calibri" w:hAnsi="Calibri" w:cs="Calibri"/>
          <w:noProof/>
          <w:szCs w:val="24"/>
        </w:rPr>
        <w:t>, vol. 115, no. 2, pp. 767–780, Feb. 2011.</w:t>
      </w:r>
    </w:p>
    <w:p w14:paraId="5A7D1216"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[30]</w:t>
      </w:r>
      <w:r w:rsidRPr="002A5CA0">
        <w:rPr>
          <w:rFonts w:ascii="Calibri" w:hAnsi="Calibri" w:cs="Calibri"/>
          <w:noProof/>
          <w:szCs w:val="24"/>
        </w:rPr>
        <w:tab/>
        <w:t>O. Gutierrez, “Towards a complete spectral reflectance uncertainty model for Field Spectroscopy Towards a complete spectral reflectance uncertainty model for Field Spectroscopy,” no. October, 2018.</w:t>
      </w:r>
    </w:p>
    <w:p w14:paraId="0B2BC94F"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[31]</w:t>
      </w:r>
      <w:r w:rsidRPr="002A5CA0">
        <w:rPr>
          <w:rFonts w:ascii="Calibri" w:hAnsi="Calibri" w:cs="Calibri"/>
          <w:noProof/>
          <w:szCs w:val="24"/>
        </w:rPr>
        <w:tab/>
        <w:t>Z. Grkov and F. Consultant, “International Vocabulary of Basic and General Terms in Metrology ( VIM ) Skopje , septemvri 1998 Zoran Grkov avtor na makedonskoto izdanie,” no. March, pp. 15–19, 2015.</w:t>
      </w:r>
    </w:p>
    <w:p w14:paraId="29D6A415"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[32]</w:t>
      </w:r>
      <w:r w:rsidRPr="002A5CA0">
        <w:rPr>
          <w:rFonts w:ascii="Calibri" w:hAnsi="Calibri" w:cs="Calibri"/>
          <w:noProof/>
          <w:szCs w:val="24"/>
        </w:rPr>
        <w:tab/>
        <w:t xml:space="preserve">N. Origo, K. Calders, J. Nightingale, and M. Disney, “Influence of levelling technique on the retrieval of canopy structural parameters from digital hemispherical photography,” </w:t>
      </w:r>
      <w:r w:rsidRPr="002A5CA0">
        <w:rPr>
          <w:rFonts w:ascii="Calibri" w:hAnsi="Calibri" w:cs="Calibri"/>
          <w:i/>
          <w:iCs/>
          <w:noProof/>
          <w:szCs w:val="24"/>
        </w:rPr>
        <w:t>Agric. For. Meteorol.</w:t>
      </w:r>
      <w:r w:rsidRPr="002A5CA0">
        <w:rPr>
          <w:rFonts w:ascii="Calibri" w:hAnsi="Calibri" w:cs="Calibri"/>
          <w:noProof/>
          <w:szCs w:val="24"/>
        </w:rPr>
        <w:t>, vol. 237–238, pp. 143–149, 2017.</w:t>
      </w:r>
    </w:p>
    <w:p w14:paraId="2A617EF0"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[33]</w:t>
      </w:r>
      <w:r w:rsidRPr="002A5CA0">
        <w:rPr>
          <w:rFonts w:ascii="Calibri" w:hAnsi="Calibri" w:cs="Calibri"/>
          <w:noProof/>
          <w:szCs w:val="24"/>
        </w:rPr>
        <w:tab/>
        <w:t xml:space="preserve">Y. Zhang, J. M. Chen, and J. R. Miller, “Determining digital hemispherical photograph </w:t>
      </w:r>
      <w:r w:rsidRPr="002A5CA0">
        <w:rPr>
          <w:rFonts w:ascii="Calibri" w:hAnsi="Calibri" w:cs="Calibri"/>
          <w:noProof/>
          <w:szCs w:val="24"/>
        </w:rPr>
        <w:lastRenderedPageBreak/>
        <w:t xml:space="preserve">exposure for leaf area index estimation,” </w:t>
      </w:r>
      <w:r w:rsidRPr="002A5CA0">
        <w:rPr>
          <w:rFonts w:ascii="Calibri" w:hAnsi="Calibri" w:cs="Calibri"/>
          <w:i/>
          <w:iCs/>
          <w:noProof/>
          <w:szCs w:val="24"/>
        </w:rPr>
        <w:t>Agric. For. Meteorol.</w:t>
      </w:r>
      <w:r w:rsidRPr="002A5CA0">
        <w:rPr>
          <w:rFonts w:ascii="Calibri" w:hAnsi="Calibri" w:cs="Calibri"/>
          <w:noProof/>
          <w:szCs w:val="24"/>
        </w:rPr>
        <w:t>, vol. 133, no. 1–4, pp. 166–181, 2005.</w:t>
      </w:r>
    </w:p>
    <w:p w14:paraId="794F97B3"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[34]</w:t>
      </w:r>
      <w:r w:rsidRPr="002A5CA0">
        <w:rPr>
          <w:rFonts w:ascii="Calibri" w:hAnsi="Calibri" w:cs="Calibri"/>
          <w:noProof/>
          <w:szCs w:val="24"/>
        </w:rPr>
        <w:tab/>
        <w:t xml:space="preserve">J. M. Chen, T. A. Black, and R. S. Adams, “Evaluation of hemispherical photography for determining plant area index and geometry of a forest stand,” </w:t>
      </w:r>
      <w:r w:rsidRPr="002A5CA0">
        <w:rPr>
          <w:rFonts w:ascii="Calibri" w:hAnsi="Calibri" w:cs="Calibri"/>
          <w:i/>
          <w:iCs/>
          <w:noProof/>
          <w:szCs w:val="24"/>
        </w:rPr>
        <w:t>Agric. For. Meteorol.</w:t>
      </w:r>
      <w:r w:rsidRPr="002A5CA0">
        <w:rPr>
          <w:rFonts w:ascii="Calibri" w:hAnsi="Calibri" w:cs="Calibri"/>
          <w:noProof/>
          <w:szCs w:val="24"/>
        </w:rPr>
        <w:t>, vol. 56, no. 1–2, pp. 129–143, 1991.</w:t>
      </w:r>
    </w:p>
    <w:p w14:paraId="7D7B980C"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[35]</w:t>
      </w:r>
      <w:r w:rsidRPr="002A5CA0">
        <w:rPr>
          <w:rFonts w:ascii="Calibri" w:hAnsi="Calibri" w:cs="Calibri"/>
          <w:noProof/>
          <w:szCs w:val="24"/>
        </w:rPr>
        <w:tab/>
        <w:t xml:space="preserve">P. Beckschäfer, D. Seidel, C. Kleinn, and J. Xu, “On the exposure of hemispherical photographs in forests,” </w:t>
      </w:r>
      <w:r w:rsidRPr="002A5CA0">
        <w:rPr>
          <w:rFonts w:ascii="Calibri" w:hAnsi="Calibri" w:cs="Calibri"/>
          <w:i/>
          <w:iCs/>
          <w:noProof/>
          <w:szCs w:val="24"/>
        </w:rPr>
        <w:t>iForest - Biogeosciences For.</w:t>
      </w:r>
      <w:r w:rsidRPr="002A5CA0">
        <w:rPr>
          <w:rFonts w:ascii="Calibri" w:hAnsi="Calibri" w:cs="Calibri"/>
          <w:noProof/>
          <w:szCs w:val="24"/>
        </w:rPr>
        <w:t>, vol. 6, no. 4, pp. 228–237, 2013.</w:t>
      </w:r>
    </w:p>
    <w:p w14:paraId="09850577"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[36]</w:t>
      </w:r>
      <w:r w:rsidRPr="002A5CA0">
        <w:rPr>
          <w:rFonts w:ascii="Calibri" w:hAnsi="Calibri" w:cs="Calibri"/>
          <w:noProof/>
          <w:szCs w:val="24"/>
        </w:rPr>
        <w:tab/>
        <w:t xml:space="preserve">C. Macfarlane, Y. Ryu, G. N. Ogden, and O. Sonnentag, “Digital canopy photography: Exposed and in the raw,” </w:t>
      </w:r>
      <w:r w:rsidRPr="002A5CA0">
        <w:rPr>
          <w:rFonts w:ascii="Calibri" w:hAnsi="Calibri" w:cs="Calibri"/>
          <w:i/>
          <w:iCs/>
          <w:noProof/>
          <w:szCs w:val="24"/>
        </w:rPr>
        <w:t>Agric. For. Meteorol.</w:t>
      </w:r>
      <w:r w:rsidRPr="002A5CA0">
        <w:rPr>
          <w:rFonts w:ascii="Calibri" w:hAnsi="Calibri" w:cs="Calibri"/>
          <w:noProof/>
          <w:szCs w:val="24"/>
        </w:rPr>
        <w:t>, vol. 197, pp. 244–253, 2014.</w:t>
      </w:r>
    </w:p>
    <w:p w14:paraId="4F2F5882"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[37]</w:t>
      </w:r>
      <w:r w:rsidRPr="002A5CA0">
        <w:rPr>
          <w:rFonts w:ascii="Calibri" w:hAnsi="Calibri" w:cs="Calibri"/>
          <w:noProof/>
          <w:szCs w:val="24"/>
        </w:rPr>
        <w:tab/>
        <w:t xml:space="preserve">V. Demarez, S. Duthoit, F. Baret, M. Weiss, and G. Dedieu, “Estimation of leaf area and clumping indexes of crops with hemispherical photographs,” </w:t>
      </w:r>
      <w:r w:rsidRPr="002A5CA0">
        <w:rPr>
          <w:rFonts w:ascii="Calibri" w:hAnsi="Calibri" w:cs="Calibri"/>
          <w:i/>
          <w:iCs/>
          <w:noProof/>
          <w:szCs w:val="24"/>
        </w:rPr>
        <w:t>Agric. For. Meteorol.</w:t>
      </w:r>
      <w:r w:rsidRPr="002A5CA0">
        <w:rPr>
          <w:rFonts w:ascii="Calibri" w:hAnsi="Calibri" w:cs="Calibri"/>
          <w:noProof/>
          <w:szCs w:val="24"/>
        </w:rPr>
        <w:t>, vol. 148, no. 4, pp. 644–655, 2008.</w:t>
      </w:r>
    </w:p>
    <w:p w14:paraId="6663487E"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[38]</w:t>
      </w:r>
      <w:r w:rsidRPr="002A5CA0">
        <w:rPr>
          <w:rFonts w:ascii="Calibri" w:hAnsi="Calibri" w:cs="Calibri"/>
          <w:noProof/>
          <w:szCs w:val="24"/>
        </w:rPr>
        <w:tab/>
        <w:t xml:space="preserve">S. Garrigues, N. V Shabanov, K. Swanson, J. T. Morisette, F. Baret, and R. B. Myneni, “Intercomparison and sensitivity analysis of Leaf Area Index retrievals from LAI-2000, AccuPAR, and digital hemispherical photography over croplands,” </w:t>
      </w:r>
      <w:r w:rsidRPr="002A5CA0">
        <w:rPr>
          <w:rFonts w:ascii="Calibri" w:hAnsi="Calibri" w:cs="Calibri"/>
          <w:i/>
          <w:iCs/>
          <w:noProof/>
          <w:szCs w:val="24"/>
        </w:rPr>
        <w:t>Agric. For. Meteorol.</w:t>
      </w:r>
      <w:r w:rsidRPr="002A5CA0">
        <w:rPr>
          <w:rFonts w:ascii="Calibri" w:hAnsi="Calibri" w:cs="Calibri"/>
          <w:noProof/>
          <w:szCs w:val="24"/>
        </w:rPr>
        <w:t>, vol. 148, no. 8–9, pp. 1193–1209, 2008.</w:t>
      </w:r>
    </w:p>
    <w:p w14:paraId="09E0FEBD"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[39]</w:t>
      </w:r>
      <w:r w:rsidRPr="002A5CA0">
        <w:rPr>
          <w:rFonts w:ascii="Calibri" w:hAnsi="Calibri" w:cs="Calibri"/>
          <w:noProof/>
          <w:szCs w:val="24"/>
        </w:rPr>
        <w:tab/>
        <w:t xml:space="preserve">J.-L. Widlowski, “On the bias of instantaneous FAPAR estimates in open-canopy forests,” </w:t>
      </w:r>
      <w:r w:rsidRPr="002A5CA0">
        <w:rPr>
          <w:rFonts w:ascii="Calibri" w:hAnsi="Calibri" w:cs="Calibri"/>
          <w:i/>
          <w:iCs/>
          <w:noProof/>
          <w:szCs w:val="24"/>
        </w:rPr>
        <w:t>Agric. For. Meteorol.</w:t>
      </w:r>
      <w:r w:rsidRPr="002A5CA0">
        <w:rPr>
          <w:rFonts w:ascii="Calibri" w:hAnsi="Calibri" w:cs="Calibri"/>
          <w:noProof/>
          <w:szCs w:val="24"/>
        </w:rPr>
        <w:t>, vol. 150, no. 12, pp. 1501–1522, 2010.</w:t>
      </w:r>
    </w:p>
    <w:p w14:paraId="179960E5"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szCs w:val="24"/>
        </w:rPr>
      </w:pPr>
      <w:r w:rsidRPr="002A5CA0">
        <w:rPr>
          <w:rFonts w:ascii="Calibri" w:hAnsi="Calibri" w:cs="Calibri"/>
          <w:noProof/>
          <w:szCs w:val="24"/>
        </w:rPr>
        <w:t>[40]</w:t>
      </w:r>
      <w:r w:rsidRPr="002A5CA0">
        <w:rPr>
          <w:rFonts w:ascii="Calibri" w:hAnsi="Calibri" w:cs="Calibri"/>
          <w:noProof/>
          <w:szCs w:val="24"/>
        </w:rPr>
        <w:tab/>
        <w:t xml:space="preserve">K. Calders </w:t>
      </w:r>
      <w:r w:rsidRPr="002A5CA0">
        <w:rPr>
          <w:rFonts w:ascii="Calibri" w:hAnsi="Calibri" w:cs="Calibri"/>
          <w:i/>
          <w:iCs/>
          <w:noProof/>
          <w:szCs w:val="24"/>
        </w:rPr>
        <w:t>et al.</w:t>
      </w:r>
      <w:r w:rsidRPr="002A5CA0">
        <w:rPr>
          <w:rFonts w:ascii="Calibri" w:hAnsi="Calibri" w:cs="Calibri"/>
          <w:noProof/>
          <w:szCs w:val="24"/>
        </w:rPr>
        <w:t xml:space="preserve">, “Variability and bias in active and passive ground-based measurements of effective plant, wood and leaf area index,” </w:t>
      </w:r>
      <w:r w:rsidRPr="002A5CA0">
        <w:rPr>
          <w:rFonts w:ascii="Calibri" w:hAnsi="Calibri" w:cs="Calibri"/>
          <w:i/>
          <w:iCs/>
          <w:noProof/>
          <w:szCs w:val="24"/>
        </w:rPr>
        <w:t>Agric. For. Meteorol.</w:t>
      </w:r>
      <w:r w:rsidRPr="002A5CA0">
        <w:rPr>
          <w:rFonts w:ascii="Calibri" w:hAnsi="Calibri" w:cs="Calibri"/>
          <w:noProof/>
          <w:szCs w:val="24"/>
        </w:rPr>
        <w:t>, vol. 252, no. April, pp. 231–240, 2018.</w:t>
      </w:r>
    </w:p>
    <w:p w14:paraId="7226E890" w14:textId="77777777" w:rsidR="002A5CA0" w:rsidRPr="002A5CA0" w:rsidRDefault="002A5CA0" w:rsidP="002A5CA0">
      <w:pPr>
        <w:widowControl w:val="0"/>
        <w:autoSpaceDE w:val="0"/>
        <w:autoSpaceDN w:val="0"/>
        <w:adjustRightInd w:val="0"/>
        <w:spacing w:line="240" w:lineRule="auto"/>
        <w:ind w:left="640" w:hanging="640"/>
        <w:rPr>
          <w:rFonts w:ascii="Calibri" w:hAnsi="Calibri" w:cs="Calibri"/>
          <w:noProof/>
        </w:rPr>
      </w:pPr>
      <w:r w:rsidRPr="002A5CA0">
        <w:rPr>
          <w:rFonts w:ascii="Calibri" w:hAnsi="Calibri" w:cs="Calibri"/>
          <w:noProof/>
          <w:szCs w:val="24"/>
        </w:rPr>
        <w:t>[41]</w:t>
      </w:r>
      <w:r w:rsidRPr="002A5CA0">
        <w:rPr>
          <w:rFonts w:ascii="Calibri" w:hAnsi="Calibri" w:cs="Calibri"/>
          <w:noProof/>
          <w:szCs w:val="24"/>
        </w:rPr>
        <w:tab/>
        <w:t xml:space="preserve">K. Calders </w:t>
      </w:r>
      <w:r w:rsidRPr="002A5CA0">
        <w:rPr>
          <w:rFonts w:ascii="Calibri" w:hAnsi="Calibri" w:cs="Calibri"/>
          <w:i/>
          <w:iCs/>
          <w:noProof/>
          <w:szCs w:val="24"/>
        </w:rPr>
        <w:t>et al.</w:t>
      </w:r>
      <w:r w:rsidRPr="002A5CA0">
        <w:rPr>
          <w:rFonts w:ascii="Calibri" w:hAnsi="Calibri" w:cs="Calibri"/>
          <w:noProof/>
          <w:szCs w:val="24"/>
        </w:rPr>
        <w:t xml:space="preserve">, “Realistic Forest Stand Reconstruction from Terrestrial LiDAR for Radiative Transfer Modelling,” </w:t>
      </w:r>
      <w:r w:rsidRPr="002A5CA0">
        <w:rPr>
          <w:rFonts w:ascii="Calibri" w:hAnsi="Calibri" w:cs="Calibri"/>
          <w:i/>
          <w:iCs/>
          <w:noProof/>
          <w:szCs w:val="24"/>
        </w:rPr>
        <w:t>Remote Sens.</w:t>
      </w:r>
      <w:r w:rsidRPr="002A5CA0">
        <w:rPr>
          <w:rFonts w:ascii="Calibri" w:hAnsi="Calibri" w:cs="Calibri"/>
          <w:noProof/>
          <w:szCs w:val="24"/>
        </w:rPr>
        <w:t>, vol. 10, no. 6, p. 933, Jun. 2018.</w:t>
      </w:r>
    </w:p>
    <w:p w14:paraId="7AC5596F" w14:textId="476A08CE" w:rsidR="00AF75C5" w:rsidRDefault="000E54E1" w:rsidP="000E54E1">
      <w:pPr>
        <w:spacing w:line="360" w:lineRule="auto"/>
        <w:rPr>
          <w:rFonts w:ascii="Calibri" w:hAnsi="Calibri" w:cs="Calibri"/>
          <w:noProof/>
          <w:szCs w:val="24"/>
        </w:rPr>
      </w:pPr>
      <w:r>
        <w:rPr>
          <w:rFonts w:ascii="Calibri" w:hAnsi="Calibri" w:cs="Calibri"/>
          <w:noProof/>
          <w:szCs w:val="24"/>
        </w:rPr>
        <w:fldChar w:fldCharType="end"/>
      </w:r>
    </w:p>
    <w:p w14:paraId="263497DD" w14:textId="4AB2CD5B" w:rsidR="00130E7D" w:rsidRDefault="00130E7D" w:rsidP="000E54E1">
      <w:pPr>
        <w:spacing w:line="360" w:lineRule="auto"/>
        <w:rPr>
          <w:rFonts w:ascii="Calibri" w:hAnsi="Calibri" w:cs="Calibri"/>
          <w:noProof/>
          <w:szCs w:val="24"/>
        </w:rPr>
      </w:pPr>
    </w:p>
    <w:p w14:paraId="1240AAF2" w14:textId="77777777" w:rsidR="00485E1A" w:rsidRDefault="00485E1A" w:rsidP="00C51520">
      <w:pPr>
        <w:pStyle w:val="Heading1"/>
        <w:sectPr w:rsidR="00485E1A" w:rsidSect="00C036F8">
          <w:footerReference w:type="default" r:id="rId40"/>
          <w:pgSz w:w="11906" w:h="16838"/>
          <w:pgMar w:top="1440" w:right="1440" w:bottom="1440" w:left="1440" w:header="708" w:footer="708" w:gutter="0"/>
          <w:cols w:space="708"/>
          <w:docGrid w:linePitch="360"/>
        </w:sectPr>
      </w:pPr>
    </w:p>
    <w:p w14:paraId="7BCD176A" w14:textId="51B4702F" w:rsidR="00130E7D" w:rsidRDefault="00130E7D" w:rsidP="00FC385F">
      <w:pPr>
        <w:pStyle w:val="Heading6"/>
      </w:pPr>
      <w:bookmarkStart w:id="175" w:name="_Toc44515988"/>
      <w:r>
        <w:lastRenderedPageBreak/>
        <w:t>Appendix</w:t>
      </w:r>
      <w:bookmarkEnd w:id="175"/>
    </w:p>
    <w:p w14:paraId="33A4741A" w14:textId="77777777" w:rsidR="00A12C0A" w:rsidRDefault="00A12C0A" w:rsidP="0069303D">
      <w:pPr>
        <w:spacing w:after="0" w:line="360" w:lineRule="auto"/>
      </w:pPr>
    </w:p>
    <w:p w14:paraId="15D13E26"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176" w:name="_Toc41428995"/>
      <w:bookmarkStart w:id="177" w:name="_Toc41468480"/>
      <w:bookmarkStart w:id="178" w:name="_Toc41595323"/>
      <w:bookmarkStart w:id="179" w:name="_Toc44514764"/>
      <w:bookmarkStart w:id="180" w:name="_Toc44515989"/>
      <w:bookmarkEnd w:id="176"/>
      <w:bookmarkEnd w:id="177"/>
      <w:bookmarkEnd w:id="178"/>
      <w:bookmarkEnd w:id="179"/>
      <w:bookmarkEnd w:id="180"/>
    </w:p>
    <w:p w14:paraId="08726ABD"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181" w:name="_Toc41428996"/>
      <w:bookmarkStart w:id="182" w:name="_Toc41468481"/>
      <w:bookmarkStart w:id="183" w:name="_Toc41595324"/>
      <w:bookmarkStart w:id="184" w:name="_Toc44514765"/>
      <w:bookmarkStart w:id="185" w:name="_Toc44515990"/>
      <w:bookmarkEnd w:id="181"/>
      <w:bookmarkEnd w:id="182"/>
      <w:bookmarkEnd w:id="183"/>
      <w:bookmarkEnd w:id="184"/>
      <w:bookmarkEnd w:id="185"/>
    </w:p>
    <w:p w14:paraId="411C8B11"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186" w:name="_Toc41428997"/>
      <w:bookmarkStart w:id="187" w:name="_Toc41468482"/>
      <w:bookmarkStart w:id="188" w:name="_Toc41595325"/>
      <w:bookmarkStart w:id="189" w:name="_Toc44514766"/>
      <w:bookmarkStart w:id="190" w:name="_Toc44515991"/>
      <w:bookmarkEnd w:id="186"/>
      <w:bookmarkEnd w:id="187"/>
      <w:bookmarkEnd w:id="188"/>
      <w:bookmarkEnd w:id="189"/>
      <w:bookmarkEnd w:id="190"/>
    </w:p>
    <w:p w14:paraId="1F61812C"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191" w:name="_Toc41428998"/>
      <w:bookmarkStart w:id="192" w:name="_Toc41468483"/>
      <w:bookmarkStart w:id="193" w:name="_Toc41595326"/>
      <w:bookmarkStart w:id="194" w:name="_Toc44514767"/>
      <w:bookmarkStart w:id="195" w:name="_Toc44515992"/>
      <w:bookmarkEnd w:id="191"/>
      <w:bookmarkEnd w:id="192"/>
      <w:bookmarkEnd w:id="193"/>
      <w:bookmarkEnd w:id="194"/>
      <w:bookmarkEnd w:id="195"/>
    </w:p>
    <w:p w14:paraId="2E167CA4"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196" w:name="_Toc41428999"/>
      <w:bookmarkStart w:id="197" w:name="_Toc41468484"/>
      <w:bookmarkStart w:id="198" w:name="_Toc41595327"/>
      <w:bookmarkStart w:id="199" w:name="_Toc44514768"/>
      <w:bookmarkStart w:id="200" w:name="_Toc44515993"/>
      <w:bookmarkEnd w:id="196"/>
      <w:bookmarkEnd w:id="197"/>
      <w:bookmarkEnd w:id="198"/>
      <w:bookmarkEnd w:id="199"/>
      <w:bookmarkEnd w:id="200"/>
    </w:p>
    <w:p w14:paraId="53B7C84D" w14:textId="77777777" w:rsidR="00A12C0A" w:rsidRPr="00A12C0A" w:rsidRDefault="00A12C0A" w:rsidP="00A12C0A">
      <w:pPr>
        <w:pStyle w:val="ListParagraph"/>
        <w:keepNext/>
        <w:keepLines/>
        <w:numPr>
          <w:ilvl w:val="0"/>
          <w:numId w:val="2"/>
        </w:numPr>
        <w:spacing w:before="40" w:after="0" w:line="360" w:lineRule="auto"/>
        <w:contextualSpacing w:val="0"/>
        <w:jc w:val="both"/>
        <w:outlineLvl w:val="1"/>
        <w:rPr>
          <w:rFonts w:asciiTheme="majorHAnsi" w:eastAsiaTheme="majorEastAsia" w:hAnsiTheme="majorHAnsi" w:cstheme="majorBidi"/>
          <w:vanish/>
          <w:color w:val="005596" w:themeColor="text2"/>
          <w:sz w:val="26"/>
          <w:szCs w:val="26"/>
        </w:rPr>
      </w:pPr>
      <w:bookmarkStart w:id="201" w:name="_Toc41429000"/>
      <w:bookmarkStart w:id="202" w:name="_Toc41468485"/>
      <w:bookmarkStart w:id="203" w:name="_Toc41595328"/>
      <w:bookmarkStart w:id="204" w:name="_Toc44514769"/>
      <w:bookmarkStart w:id="205" w:name="_Toc44515994"/>
      <w:bookmarkEnd w:id="201"/>
      <w:bookmarkEnd w:id="202"/>
      <w:bookmarkEnd w:id="203"/>
      <w:bookmarkEnd w:id="204"/>
      <w:bookmarkEnd w:id="205"/>
    </w:p>
    <w:p w14:paraId="523ADA64" w14:textId="7B0E83A9" w:rsidR="00A12C0A" w:rsidRDefault="00A12C0A" w:rsidP="00FC385F">
      <w:pPr>
        <w:pStyle w:val="Heading7"/>
      </w:pPr>
      <w:bookmarkStart w:id="206" w:name="_Toc44515995"/>
      <w:r w:rsidRPr="0068439A">
        <w:t>FRM4VEG Phase 1</w:t>
      </w:r>
      <w:r>
        <w:t xml:space="preserve"> FAPAR and CCC Campaign at </w:t>
      </w:r>
      <w:proofErr w:type="spellStart"/>
      <w:r>
        <w:t>Wytham</w:t>
      </w:r>
      <w:proofErr w:type="spellEnd"/>
      <w:r>
        <w:t xml:space="preserve"> Woods</w:t>
      </w:r>
      <w:bookmarkEnd w:id="206"/>
    </w:p>
    <w:p w14:paraId="36D90DB6" w14:textId="77777777" w:rsidR="00A12C0A" w:rsidRDefault="00A12C0A" w:rsidP="00A12C0A">
      <w:pPr>
        <w:spacing w:after="0" w:line="360" w:lineRule="auto"/>
        <w:jc w:val="both"/>
      </w:pPr>
    </w:p>
    <w:p w14:paraId="3FEFE1B9" w14:textId="4BA3F7B6" w:rsidR="00A12C0A" w:rsidRPr="00B2103D" w:rsidRDefault="00A12C0A" w:rsidP="00A12C0A">
      <w:pPr>
        <w:spacing w:after="0" w:line="360" w:lineRule="auto"/>
        <w:jc w:val="both"/>
      </w:pPr>
      <w:r w:rsidRPr="00B2103D">
        <w:t xml:space="preserve">The purpose of the FRM4VEG Phase 1 FAPAR and CCC campaign at </w:t>
      </w:r>
      <w:proofErr w:type="spellStart"/>
      <w:r w:rsidRPr="00B2103D">
        <w:t>Wytham</w:t>
      </w:r>
      <w:proofErr w:type="spellEnd"/>
      <w:r w:rsidRPr="00B2103D">
        <w:t xml:space="preserve"> Woods was to validate the Sentinel-3 Ocean and Land Colour Instrument (OLCI) </w:t>
      </w:r>
      <w:r>
        <w:t>L</w:t>
      </w:r>
      <w:r w:rsidRPr="00B2103D">
        <w:t>2 land products</w:t>
      </w:r>
      <w:r>
        <w:t xml:space="preserve"> over a deciduous broadleaf forest environment.</w:t>
      </w:r>
      <w:r w:rsidR="003C4600">
        <w:t xml:space="preserve"> </w:t>
      </w:r>
      <w:r>
        <w:t>The L2 land products validated were t</w:t>
      </w:r>
      <w:r w:rsidRPr="00B2103D">
        <w:t xml:space="preserve">he OLCI Global Vegetation Index (OGVI), which corresponds </w:t>
      </w:r>
      <w:r>
        <w:t>to</w:t>
      </w:r>
      <w:r w:rsidRPr="00B2103D">
        <w:t xml:space="preserve"> FAPAR, and the OLCI Terrestrial Chlorophyll index (OTCI), a surrogate of CCC.</w:t>
      </w:r>
      <w:r w:rsidR="003C4600">
        <w:t xml:space="preserve"> </w:t>
      </w:r>
    </w:p>
    <w:p w14:paraId="70B3518B" w14:textId="77777777" w:rsidR="00A12C0A" w:rsidRPr="00C173CF" w:rsidRDefault="00A12C0A" w:rsidP="00A12C0A">
      <w:pPr>
        <w:spacing w:after="0" w:line="360" w:lineRule="auto"/>
        <w:jc w:val="both"/>
      </w:pPr>
    </w:p>
    <w:p w14:paraId="6F6D8661" w14:textId="77777777" w:rsidR="00A12C0A" w:rsidRDefault="00A12C0A" w:rsidP="00FC385F">
      <w:pPr>
        <w:pStyle w:val="Heading8"/>
      </w:pPr>
      <w:bookmarkStart w:id="207" w:name="_Toc39745727"/>
      <w:bookmarkStart w:id="208" w:name="_Toc44515996"/>
      <w:r>
        <w:t>Measurement Instrumentation</w:t>
      </w:r>
      <w:bookmarkEnd w:id="207"/>
      <w:bookmarkEnd w:id="208"/>
    </w:p>
    <w:p w14:paraId="57C93C89" w14:textId="77777777" w:rsidR="00A12C0A" w:rsidRDefault="00A12C0A" w:rsidP="00A12C0A">
      <w:pPr>
        <w:spacing w:after="0" w:line="360" w:lineRule="auto"/>
        <w:jc w:val="both"/>
      </w:pPr>
    </w:p>
    <w:p w14:paraId="5E243300" w14:textId="77777777" w:rsidR="00A12C0A" w:rsidRDefault="00A12C0A" w:rsidP="00A12C0A">
      <w:pPr>
        <w:spacing w:line="360" w:lineRule="auto"/>
        <w:jc w:val="both"/>
      </w:pPr>
      <w:r>
        <w:t>The instruments used to collect data were:</w:t>
      </w:r>
    </w:p>
    <w:p w14:paraId="2DC58209" w14:textId="77777777" w:rsidR="00A12C0A" w:rsidRDefault="00A12C0A" w:rsidP="00A12C0A">
      <w:pPr>
        <w:pStyle w:val="ListParagraph"/>
        <w:numPr>
          <w:ilvl w:val="0"/>
          <w:numId w:val="40"/>
        </w:numPr>
        <w:spacing w:line="360" w:lineRule="auto"/>
        <w:jc w:val="both"/>
      </w:pPr>
      <w:r w:rsidRPr="0031025D">
        <w:rPr>
          <w:b/>
          <w:bCs/>
        </w:rPr>
        <w:t xml:space="preserve">Canon EOS 6D </w:t>
      </w:r>
      <w:r>
        <w:rPr>
          <w:b/>
          <w:bCs/>
        </w:rPr>
        <w:t xml:space="preserve">DLSR camera </w:t>
      </w:r>
      <w:r w:rsidRPr="0031025D">
        <w:rPr>
          <w:b/>
          <w:bCs/>
        </w:rPr>
        <w:t>and Sigma 8</w:t>
      </w:r>
      <w:r>
        <w:rPr>
          <w:b/>
          <w:bCs/>
        </w:rPr>
        <w:t xml:space="preserve"> </w:t>
      </w:r>
      <w:r w:rsidRPr="0031025D">
        <w:rPr>
          <w:b/>
          <w:bCs/>
        </w:rPr>
        <w:t xml:space="preserve">mm </w:t>
      </w:r>
      <w:r>
        <w:rPr>
          <w:b/>
          <w:bCs/>
        </w:rPr>
        <w:t xml:space="preserve">F3.5 EX </w:t>
      </w:r>
      <w:r w:rsidRPr="0031025D">
        <w:rPr>
          <w:b/>
          <w:bCs/>
        </w:rPr>
        <w:t>fisheye lens</w:t>
      </w:r>
      <w:r>
        <w:t>: for DHP to determine LAI and FAPAR</w:t>
      </w:r>
    </w:p>
    <w:p w14:paraId="0D1A507D" w14:textId="77777777" w:rsidR="00A12C0A" w:rsidRDefault="00A12C0A" w:rsidP="00A12C0A">
      <w:pPr>
        <w:pStyle w:val="ListParagraph"/>
        <w:numPr>
          <w:ilvl w:val="0"/>
          <w:numId w:val="40"/>
        </w:numPr>
        <w:spacing w:line="360" w:lineRule="auto"/>
        <w:jc w:val="both"/>
      </w:pPr>
      <w:r w:rsidRPr="0031025D">
        <w:rPr>
          <w:b/>
          <w:bCs/>
        </w:rPr>
        <w:t>Konica Minolta SPAD-502</w:t>
      </w:r>
      <w:r>
        <w:rPr>
          <w:b/>
          <w:bCs/>
        </w:rPr>
        <w:t xml:space="preserve"> optical chlorophyll meter</w:t>
      </w:r>
      <w:r>
        <w:t>: for the measurement of LCC</w:t>
      </w:r>
    </w:p>
    <w:p w14:paraId="458E8E3F" w14:textId="77777777" w:rsidR="00A12C0A" w:rsidRDefault="00A12C0A" w:rsidP="00A12C0A">
      <w:pPr>
        <w:pStyle w:val="ListParagraph"/>
        <w:spacing w:after="0" w:line="360" w:lineRule="auto"/>
        <w:ind w:left="360"/>
        <w:jc w:val="both"/>
      </w:pPr>
    </w:p>
    <w:p w14:paraId="08F3E1A1" w14:textId="77777777" w:rsidR="00A12C0A" w:rsidRDefault="00A12C0A" w:rsidP="00FC385F">
      <w:pPr>
        <w:pStyle w:val="Heading8"/>
      </w:pPr>
      <w:bookmarkStart w:id="209" w:name="_Toc44515997"/>
      <w:r>
        <w:t>Instrument Calibration</w:t>
      </w:r>
      <w:bookmarkEnd w:id="209"/>
    </w:p>
    <w:p w14:paraId="0F238FB2" w14:textId="77777777" w:rsidR="00A12C0A" w:rsidRPr="00866B7F" w:rsidRDefault="00A12C0A" w:rsidP="00A12C0A">
      <w:pPr>
        <w:spacing w:after="0" w:line="360" w:lineRule="auto"/>
        <w:jc w:val="both"/>
      </w:pPr>
    </w:p>
    <w:p w14:paraId="624C4799" w14:textId="53ABF58D" w:rsidR="00A12C0A" w:rsidRDefault="00A12C0A" w:rsidP="00A12C0A">
      <w:pPr>
        <w:spacing w:after="0" w:line="360" w:lineRule="auto"/>
        <w:jc w:val="both"/>
      </w:pPr>
      <w:r>
        <w:t>Prior to the campaign, the optical centre and lens projection function of the DSLR camera and fisheye lens was determined by EOLAB, using the procedures outlined in Section 4.3.</w:t>
      </w:r>
      <w:r w:rsidR="003C4600">
        <w:t xml:space="preserve"> </w:t>
      </w:r>
      <w:r>
        <w:t>Post-campaign calibration of the SPAD-502 was conducted in the laboratory by the University of Southampton, following the procedures described in Section 4.4.</w:t>
      </w:r>
      <w:r w:rsidR="003C4600">
        <w:t xml:space="preserve"> </w:t>
      </w:r>
      <w:r>
        <w:t xml:space="preserve">Separate calibration functions relating the values provided by the SPAD-502 with </w:t>
      </w:r>
      <w:proofErr w:type="gramStart"/>
      <w:r>
        <w:t>spectrophotometrically-determined</w:t>
      </w:r>
      <w:proofErr w:type="gramEnd"/>
      <w:r>
        <w:t xml:space="preserve"> LCC were developed for each species encountered.</w:t>
      </w:r>
      <w:r w:rsidR="003C4600">
        <w:t xml:space="preserve"> </w:t>
      </w:r>
      <w:r w:rsidRPr="009A5997">
        <w:t>60 leaves spanning a range of LCC values (assessed visually in terms of leaf colour) were obtained for each species.</w:t>
      </w:r>
      <w:r w:rsidR="003C4600">
        <w:t xml:space="preserve"> </w:t>
      </w:r>
      <w:r w:rsidRPr="009A5997">
        <w:t>Samples were stored under freezing conditions until analysis to prevent degradation of the leaf pigments.</w:t>
      </w:r>
    </w:p>
    <w:p w14:paraId="2363B1AB" w14:textId="77777777" w:rsidR="00A12C0A" w:rsidRDefault="00A12C0A" w:rsidP="00A12C0A">
      <w:pPr>
        <w:spacing w:after="0" w:line="360" w:lineRule="auto"/>
        <w:jc w:val="both"/>
      </w:pPr>
    </w:p>
    <w:p w14:paraId="42A3B4FA" w14:textId="77777777" w:rsidR="00A12C0A" w:rsidRDefault="00A12C0A" w:rsidP="00FC385F">
      <w:pPr>
        <w:pStyle w:val="Heading8"/>
      </w:pPr>
      <w:bookmarkStart w:id="210" w:name="_Toc44515998"/>
      <w:r>
        <w:t>Selection of the Field Site</w:t>
      </w:r>
      <w:bookmarkEnd w:id="210"/>
    </w:p>
    <w:p w14:paraId="1D62BC14" w14:textId="77777777" w:rsidR="00A12C0A" w:rsidRDefault="00A12C0A" w:rsidP="00A12C0A">
      <w:pPr>
        <w:spacing w:after="0" w:line="360" w:lineRule="auto"/>
        <w:jc w:val="both"/>
      </w:pPr>
    </w:p>
    <w:p w14:paraId="6FD61C43" w14:textId="4DFA1AF5" w:rsidR="00A12C0A" w:rsidRDefault="00A12C0A" w:rsidP="00A12C0A">
      <w:pPr>
        <w:spacing w:line="360" w:lineRule="auto"/>
        <w:jc w:val="both"/>
        <w:rPr>
          <w:lang w:eastAsia="en-GB"/>
        </w:rPr>
      </w:pPr>
      <w:proofErr w:type="spellStart"/>
      <w:r>
        <w:rPr>
          <w:lang w:eastAsia="en-GB"/>
        </w:rPr>
        <w:t>Wytham</w:t>
      </w:r>
      <w:proofErr w:type="spellEnd"/>
      <w:r>
        <w:rPr>
          <w:lang w:eastAsia="en-GB"/>
        </w:rPr>
        <w:t xml:space="preserve"> Woods (51.774 N, 1.338 W) is a research forest located outside of Oxford, United Kingdom, and is one of the most heavily monitored ecological survey sites in the world.</w:t>
      </w:r>
      <w:r w:rsidR="003C4600">
        <w:rPr>
          <w:lang w:eastAsia="en-GB"/>
        </w:rPr>
        <w:t xml:space="preserve"> </w:t>
      </w:r>
      <w:r>
        <w:rPr>
          <w:lang w:eastAsia="en-GB"/>
        </w:rPr>
        <w:t>It is a prime example of semi-natural woodland, and ecological studies have been carried out at the site for 75 years.</w:t>
      </w:r>
      <w:r w:rsidR="003C4600">
        <w:rPr>
          <w:lang w:eastAsia="en-GB"/>
        </w:rPr>
        <w:t xml:space="preserve"> </w:t>
      </w:r>
      <w:r>
        <w:rPr>
          <w:lang w:eastAsia="en-GB"/>
        </w:rPr>
        <w:t xml:space="preserve">It covers approximately 430 ha across two low hills that rise above the surrounding agricultural land of the Thames Valley: the northern </w:t>
      </w:r>
      <w:proofErr w:type="spellStart"/>
      <w:r>
        <w:rPr>
          <w:lang w:eastAsia="en-GB"/>
        </w:rPr>
        <w:t>Wytham</w:t>
      </w:r>
      <w:proofErr w:type="spellEnd"/>
      <w:r>
        <w:rPr>
          <w:lang w:eastAsia="en-GB"/>
        </w:rPr>
        <w:t xml:space="preserve"> Hill (164 m) and an unnamed hill to the south (148 m).</w:t>
      </w:r>
      <w:r w:rsidR="003C4600">
        <w:rPr>
          <w:lang w:eastAsia="en-GB"/>
        </w:rPr>
        <w:t xml:space="preserve"> </w:t>
      </w:r>
      <w:r>
        <w:rPr>
          <w:lang w:eastAsia="en-GB"/>
        </w:rPr>
        <w:t xml:space="preserve">The site </w:t>
      </w:r>
      <w:r>
        <w:rPr>
          <w:lang w:eastAsia="en-GB"/>
        </w:rPr>
        <w:lastRenderedPageBreak/>
        <w:t>is a CEOS LPV ‘supersite’, and consists of a variety of tree species, the dominant of which include oak, ash, beech, hazel and sycamore.</w:t>
      </w:r>
      <w:r w:rsidR="003C4600">
        <w:rPr>
          <w:lang w:eastAsia="en-GB"/>
        </w:rPr>
        <w:t xml:space="preserve"> </w:t>
      </w:r>
      <w:r>
        <w:rPr>
          <w:lang w:eastAsia="en-GB"/>
        </w:rPr>
        <w:t>The tree species are randomly distributed across the site.</w:t>
      </w:r>
      <w:r w:rsidR="003C4600">
        <w:rPr>
          <w:lang w:eastAsia="en-GB"/>
        </w:rPr>
        <w:t xml:space="preserve"> </w:t>
      </w:r>
      <w:r>
        <w:rPr>
          <w:lang w:eastAsia="en-GB"/>
        </w:rPr>
        <w:t>An 18 ha Smithsonian monitoring plot was initiated in 2008 that identified more than 16,000 individual trees.</w:t>
      </w:r>
      <w:r w:rsidR="003C4600">
        <w:rPr>
          <w:lang w:eastAsia="en-GB"/>
        </w:rPr>
        <w:t xml:space="preserve"> </w:t>
      </w:r>
      <w:r>
        <w:rPr>
          <w:lang w:eastAsia="en-GB"/>
        </w:rPr>
        <w:t xml:space="preserve">A canopy walkway, 15 m above the ground, </w:t>
      </w:r>
      <w:proofErr w:type="gramStart"/>
      <w:r>
        <w:rPr>
          <w:lang w:eastAsia="en-GB"/>
        </w:rPr>
        <w:t>is located in</w:t>
      </w:r>
      <w:proofErr w:type="gramEnd"/>
      <w:r>
        <w:rPr>
          <w:lang w:eastAsia="en-GB"/>
        </w:rPr>
        <w:t xml:space="preserve"> the south-western corner of the plot, and a flux tower in the north-western corner allows for direct access to the top of the canopy </w:t>
      </w:r>
      <w:r w:rsidR="00B10DCA">
        <w:rPr>
          <w:lang w:eastAsia="en-GB"/>
        </w:rPr>
        <w:t>(Figure 1</w:t>
      </w:r>
      <w:r w:rsidR="005A17B3">
        <w:rPr>
          <w:lang w:eastAsia="en-GB"/>
        </w:rPr>
        <w:t>7</w:t>
      </w:r>
      <w:r>
        <w:rPr>
          <w:lang w:eastAsia="en-GB"/>
        </w:rPr>
        <w:t>).</w:t>
      </w:r>
      <w:r w:rsidR="003C4600">
        <w:rPr>
          <w:lang w:eastAsia="en-GB"/>
        </w:rPr>
        <w:t xml:space="preserve"> </w:t>
      </w:r>
      <w:r>
        <w:rPr>
          <w:lang w:eastAsia="en-GB"/>
        </w:rPr>
        <w:t>The forest also forms part of the Environmental Change Network (ECN), which is coordinated by the Centre for Ecology and Hydrology (CEH).</w:t>
      </w:r>
    </w:p>
    <w:p w14:paraId="04071DBF" w14:textId="7CC36CFB" w:rsidR="00A12C0A" w:rsidRDefault="00A12C0A" w:rsidP="00A12C0A">
      <w:pPr>
        <w:spacing w:line="360" w:lineRule="auto"/>
        <w:jc w:val="both"/>
        <w:rPr>
          <w:lang w:eastAsia="en-GB"/>
        </w:rPr>
      </w:pPr>
      <w:r>
        <w:rPr>
          <w:lang w:eastAsia="en-GB"/>
        </w:rPr>
        <w:t>The site has previously been used for the collection of in situ measurements of various biophysical variables, including LAI and FAPAR</w:t>
      </w:r>
      <w:r w:rsidR="009611AE">
        <w:rPr>
          <w:lang w:eastAsia="en-GB"/>
        </w:rPr>
        <w:t xml:space="preserve"> </w:t>
      </w:r>
      <w:r w:rsidR="009611AE">
        <w:rPr>
          <w:lang w:eastAsia="en-GB"/>
        </w:rPr>
        <w:fldChar w:fldCharType="begin" w:fldLock="1"/>
      </w:r>
      <w:r w:rsidR="002A5CA0">
        <w:rPr>
          <w:lang w:eastAsia="en-GB"/>
        </w:rPr>
        <w:instrText>ADDIN CSL_CITATION {"citationItems":[{"id":"ITEM-1","itemData":{"DOI":"10.1016/j.agrformet.2018.01.029","ISSN":"01681923","author":[{"dropping-particle":"","family":"Calders","given":"Kim","non-dropping-particle":"","parse-names":false,"suffix":""},{"dropping-particle":"","family":"Origo","given":"Niall","non-dropping-particle":"","parse-names":false,"suffix":""},{"dropping-particle":"","family":"Disney","given":"Mathias","non-dropping-particle":"","parse-names":false,"suffix":""},{"dropping-particle":"","family":"Nightingale","given":"Joanne","non-dropping-particle":"","parse-names":false,"suffix":""},{"dropping-particle":"","family":"Woodgate","given":"William","non-dropping-particle":"","parse-names":false,"suffix":""},{"dropping-particle":"","family":"Armston","given":"John","non-dropping-particle":"","parse-names":false,"suffix":""},{"dropping-particle":"","family":"Lewis","given":"Philip","non-dropping-particle":"","parse-names":false,"suffix":""}],"container-title":"Agricultural and Forest Meteorology","id":"ITEM-1","issue":"April","issued":{"date-parts":[["2018"]]},"page":"231-240","publisher":"Elsevier","title":"Variability and bias in active and passive ground-based measurements of effective plant, wood and leaf area index","type":"article-journal","volume":"252"},"uris":["http://www.mendeley.com/documents/?uuid=3805830d-26b0-42bf-a231-0647ade1c85a"]}],"mendeley":{"formattedCitation":"[40]","plainTextFormattedCitation":"[40]","previouslyFormattedCitation":"[40]"},"properties":{"noteIndex":0},"schema":"https://github.com/citation-style-language/schema/raw/master/csl-citation.json"}</w:instrText>
      </w:r>
      <w:r w:rsidR="009611AE">
        <w:rPr>
          <w:lang w:eastAsia="en-GB"/>
        </w:rPr>
        <w:fldChar w:fldCharType="separate"/>
      </w:r>
      <w:r w:rsidR="002A5CA0" w:rsidRPr="002A5CA0">
        <w:rPr>
          <w:noProof/>
          <w:lang w:eastAsia="en-GB"/>
        </w:rPr>
        <w:t>[40]</w:t>
      </w:r>
      <w:r w:rsidR="009611AE">
        <w:rPr>
          <w:lang w:eastAsia="en-GB"/>
        </w:rPr>
        <w:fldChar w:fldCharType="end"/>
      </w:r>
      <w:r>
        <w:rPr>
          <w:lang w:eastAsia="en-GB"/>
        </w:rPr>
        <w:t>, as well as to test in situ measurement procedures</w:t>
      </w:r>
      <w:r w:rsidR="009611AE">
        <w:rPr>
          <w:lang w:eastAsia="en-GB"/>
        </w:rPr>
        <w:t xml:space="preserve"> </w:t>
      </w:r>
      <w:r w:rsidR="009611AE">
        <w:rPr>
          <w:lang w:eastAsia="en-GB"/>
        </w:rPr>
        <w:fldChar w:fldCharType="begin" w:fldLock="1"/>
      </w:r>
      <w:r w:rsidR="002A5CA0">
        <w:rPr>
          <w:lang w:eastAsia="en-GB"/>
        </w:rPr>
        <w:instrText>ADDIN CSL_CITATION {"citationItems":[{"id":"ITEM-1","itemData":{"DOI":"10.1016/j.agrformet.2017.02.004","ISSN":"01681923","author":[{"dropping-particle":"","family":"Origo","given":"Niall","non-dropping-particle":"","parse-names":false,"suffix":""},{"dropping-particle":"","family":"Calders","given":"Kim","non-dropping-particle":"","parse-names":false,"suffix":""},{"dropping-particle":"","family":"Nightingale","given":"Joanne","non-dropping-particle":"","parse-names":false,"suffix":""},{"dropping-particle":"","family":"Disney","given":"Mathias","non-dropping-particle":"","parse-names":false,"suffix":""}],"container-title":"Agricultural and Forest Meteorology","id":"ITEM-1","issued":{"date-parts":[["2017"]]},"page":"143-149","title":"Influence of levelling technique on the retrieval of canopy structural parameters from digital hemispherical photography","type":"article-journal","volume":"237-238"},"uris":["http://www.mendeley.com/documents/?uuid=e899af52-cba1-415e-8f91-5783d8dd8267"]}],"mendeley":{"formattedCitation":"[32]","plainTextFormattedCitation":"[32]","previouslyFormattedCitation":"[32]"},"properties":{"noteIndex":0},"schema":"https://github.com/citation-style-language/schema/raw/master/csl-citation.json"}</w:instrText>
      </w:r>
      <w:r w:rsidR="009611AE">
        <w:rPr>
          <w:lang w:eastAsia="en-GB"/>
        </w:rPr>
        <w:fldChar w:fldCharType="separate"/>
      </w:r>
      <w:r w:rsidR="002A5CA0" w:rsidRPr="002A5CA0">
        <w:rPr>
          <w:noProof/>
          <w:lang w:eastAsia="en-GB"/>
        </w:rPr>
        <w:t>[32]</w:t>
      </w:r>
      <w:r w:rsidR="009611AE">
        <w:rPr>
          <w:lang w:eastAsia="en-GB"/>
        </w:rPr>
        <w:fldChar w:fldCharType="end"/>
      </w:r>
      <w:r>
        <w:rPr>
          <w:lang w:eastAsia="en-GB"/>
        </w:rPr>
        <w:t>.</w:t>
      </w:r>
      <w:r w:rsidR="003C4600">
        <w:rPr>
          <w:lang w:eastAsia="en-GB"/>
        </w:rPr>
        <w:t xml:space="preserve"> </w:t>
      </w:r>
      <w:r>
        <w:rPr>
          <w:lang w:eastAsia="en-GB"/>
        </w:rPr>
        <w:t xml:space="preserve">In 2015, extensive TLS and </w:t>
      </w:r>
      <w:proofErr w:type="spellStart"/>
      <w:r>
        <w:rPr>
          <w:lang w:eastAsia="en-GB"/>
        </w:rPr>
        <w:t>spectroradiometric</w:t>
      </w:r>
      <w:proofErr w:type="spellEnd"/>
      <w:r>
        <w:rPr>
          <w:lang w:eastAsia="en-GB"/>
        </w:rPr>
        <w:t xml:space="preserve"> data were collected.</w:t>
      </w:r>
      <w:r w:rsidR="003C4600">
        <w:rPr>
          <w:lang w:eastAsia="en-GB"/>
        </w:rPr>
        <w:t xml:space="preserve"> </w:t>
      </w:r>
      <w:r>
        <w:rPr>
          <w:lang w:eastAsia="en-GB"/>
        </w:rPr>
        <w:t xml:space="preserve">This led to the creation of a detailed three-dimensional model </w:t>
      </w:r>
      <w:r>
        <w:rPr>
          <w:lang w:eastAsia="en-GB"/>
        </w:rPr>
        <w:fldChar w:fldCharType="begin" w:fldLock="1"/>
      </w:r>
      <w:r w:rsidR="002A5CA0">
        <w:rPr>
          <w:lang w:eastAsia="en-GB"/>
        </w:rPr>
        <w:instrText>ADDIN CSL_CITATION {"citationItems":[{"id":"ITEM-1","itemData":{"DOI":"10.3390/rs10060933","ISSN":"2072-4292","abstract":"Forest biophysical variables derived from remote sensing observations are vital for climate research. The combination of structurally and radiometrically accurate 3D &amp;ldquo;virtual&amp;rdquo; forests with radiative transfer (RT) models creates a powerful tool to facilitate the calibration and validation of remote sensing data and derived biophysical products by helping us understand the assumptions made in data processing algorithms. We present a workflow that uses highly detailed 3D terrestrial laser scanning (TLS) data to generate virtual forests for RT model simulations. Our approach to forest stand reconstruction from a co-registered point cloud is unique as it models each tree individually. Our approach follows three steps: (1) tree segmentation; (2) tree structure modelling and (3) leaf addition. To demonstrate this approach, we present the measurement and construction of a one hectare model of the deciduous forest in Wytham Woods (Oxford, UK). The model contains 559 individual trees. We matched the TLS data with traditional census data to determine the species of each individual tree and allocate species-specific radiometric properties. Our modelling framework is generic, highly transferable and adjustable to data collected with other TLS instruments and different ecosystems. The Wytham Woods virtual forest is made publicly available through an online repository.","author":[{"dropping-particle":"","family":"Calders","given":"Kim","non-dropping-particle":"","parse-names":false,"suffix":""},{"dropping-particle":"","family":"Origo","given":"Niall","non-dropping-particle":"","parse-names":false,"suffix":""},{"dropping-particle":"","family":"Burt","given":"Andrew","non-dropping-particle":"","parse-names":false,"suffix":""},{"dropping-particle":"","family":"Disney","given":"Mathias","non-dropping-particle":"","parse-names":false,"suffix":""},{"dropping-particle":"","family":"Nightingale","given":"Joanne","non-dropping-particle":"","parse-names":false,"suffix":""},{"dropping-particle":"","family":"Raumonen","given":"Pasi","non-dropping-particle":"","parse-names":false,"suffix":""},{"dropping-particle":"","family":"Åkerblom","given":"Markku","non-dropping-particle":"","parse-names":false,"suffix":""},{"dropping-particle":"","family":"Malhi","given":"Yadvinder","non-dropping-particle":"","parse-names":false,"suffix":""},{"dropping-particle":"","family":"Lewis","given":"Philip","non-dropping-particle":"","parse-names":false,"suffix":""}],"container-title":"Remote Sensing","id":"ITEM-1","issue":"6","issued":{"date-parts":[["2018","6","13"]]},"page":"933","title":"Realistic Forest Stand Reconstruction from Terrestrial LiDAR for Radiative Transfer Modelling","type":"article-journal","volume":"10"},"uris":["http://www.mendeley.com/documents/?uuid=1458cd22-bd53-43db-bce5-6a62272ba802","http://www.mendeley.com/documents/?uuid=917420c1-4ddb-4ddd-a2cf-dde4cf95936f"]}],"mendeley":{"formattedCitation":"[41]","plainTextFormattedCitation":"[41]","previouslyFormattedCitation":"[41]"},"properties":{"noteIndex":0},"schema":"https://github.com/citation-style-language/schema/raw/master/csl-citation.json"}</w:instrText>
      </w:r>
      <w:r>
        <w:rPr>
          <w:lang w:eastAsia="en-GB"/>
        </w:rPr>
        <w:fldChar w:fldCharType="separate"/>
      </w:r>
      <w:r w:rsidR="002A5CA0" w:rsidRPr="002A5CA0">
        <w:rPr>
          <w:noProof/>
          <w:lang w:eastAsia="en-GB"/>
        </w:rPr>
        <w:t>[41]</w:t>
      </w:r>
      <w:r>
        <w:rPr>
          <w:lang w:eastAsia="en-GB"/>
        </w:rPr>
        <w:fldChar w:fldCharType="end"/>
      </w:r>
      <w:r>
        <w:rPr>
          <w:lang w:eastAsia="en-GB"/>
        </w:rPr>
        <w:t>.</w:t>
      </w:r>
      <w:r w:rsidR="003C4600">
        <w:rPr>
          <w:lang w:eastAsia="en-GB"/>
        </w:rPr>
        <w:t xml:space="preserve"> </w:t>
      </w:r>
      <w:r>
        <w:rPr>
          <w:lang w:eastAsia="en-GB"/>
        </w:rPr>
        <w:t>In addition, a permanent four-flux wireless FAPAR sensor network has been installed around the canopy walkway, consisting of 31 pairs of below-canopy sensors, which are spread over a 150 m x 150 m area, and a pair of above-canopy sensors, which are located on the canopy walkway itself.</w:t>
      </w:r>
      <w:r w:rsidR="003C4600">
        <w:rPr>
          <w:lang w:eastAsia="en-GB"/>
        </w:rPr>
        <w:t xml:space="preserve"> </w:t>
      </w:r>
      <w:r>
        <w:rPr>
          <w:lang w:eastAsia="en-GB"/>
        </w:rPr>
        <w:t>The Traceability in Terrestrial Vegetation Sensors and Biophysical Products (TREES) group at the National Physical Laboratory (NPL) has acquired extensive experience at this site, in collaboration with various partners.</w:t>
      </w:r>
      <w:r w:rsidR="003C4600">
        <w:rPr>
          <w:lang w:eastAsia="en-GB"/>
        </w:rPr>
        <w:t xml:space="preserve"> </w:t>
      </w:r>
      <w:r>
        <w:rPr>
          <w:lang w:eastAsia="en-GB"/>
        </w:rPr>
        <w:t xml:space="preserve">In addition to its facilities, instrumentation, and characterisation, the </w:t>
      </w:r>
      <w:proofErr w:type="gramStart"/>
      <w:r>
        <w:rPr>
          <w:lang w:eastAsia="en-GB"/>
        </w:rPr>
        <w:t>close proximity</w:t>
      </w:r>
      <w:proofErr w:type="gramEnd"/>
      <w:r>
        <w:rPr>
          <w:lang w:eastAsia="en-GB"/>
        </w:rPr>
        <w:t xml:space="preserve"> of the site to Oxford makes it easily accessible by road.</w:t>
      </w:r>
    </w:p>
    <w:p w14:paraId="200CCEFA" w14:textId="77777777" w:rsidR="00A12C0A" w:rsidRDefault="00A12C0A" w:rsidP="00A12C0A">
      <w:pPr>
        <w:rPr>
          <w:lang w:eastAsia="en-GB"/>
        </w:rPr>
      </w:pPr>
    </w:p>
    <w:p w14:paraId="266D1534" w14:textId="77777777" w:rsidR="00A12C0A" w:rsidRDefault="00A12C0A" w:rsidP="00A12C0A">
      <w:pPr>
        <w:keepNext/>
        <w:jc w:val="center"/>
      </w:pPr>
      <w:r>
        <w:rPr>
          <w:noProof/>
          <w:lang w:eastAsia="en-GB"/>
        </w:rPr>
        <w:drawing>
          <wp:inline distT="0" distB="0" distL="0" distR="0" wp14:anchorId="44E3E182" wp14:editId="754F05C6">
            <wp:extent cx="432435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1628775"/>
                    </a:xfrm>
                    <a:prstGeom prst="rect">
                      <a:avLst/>
                    </a:prstGeom>
                    <a:noFill/>
                    <a:ln>
                      <a:noFill/>
                    </a:ln>
                  </pic:spPr>
                </pic:pic>
              </a:graphicData>
            </a:graphic>
          </wp:inline>
        </w:drawing>
      </w:r>
    </w:p>
    <w:p w14:paraId="41D33133" w14:textId="50423BE9" w:rsidR="00A12C0A" w:rsidRDefault="00A12C0A" w:rsidP="00A12C0A">
      <w:pPr>
        <w:pStyle w:val="Caption"/>
        <w:jc w:val="center"/>
      </w:pPr>
      <w:bookmarkStart w:id="211" w:name="_Ref523329775"/>
      <w:bookmarkStart w:id="212" w:name="_Toc41595352"/>
      <w:r>
        <w:t xml:space="preserve">Figure </w:t>
      </w:r>
      <w:r>
        <w:fldChar w:fldCharType="begin"/>
      </w:r>
      <w:r>
        <w:rPr>
          <w:noProof/>
        </w:rPr>
        <w:instrText xml:space="preserve"> SEQ Figure \* ARABIC </w:instrText>
      </w:r>
      <w:r>
        <w:fldChar w:fldCharType="separate"/>
      </w:r>
      <w:r w:rsidR="005A17B3">
        <w:rPr>
          <w:noProof/>
        </w:rPr>
        <w:t>17</w:t>
      </w:r>
      <w:r>
        <w:fldChar w:fldCharType="end"/>
      </w:r>
      <w:bookmarkEnd w:id="211"/>
      <w:r>
        <w:t xml:space="preserve">: </w:t>
      </w:r>
      <w:proofErr w:type="spellStart"/>
      <w:r>
        <w:t>Wytham</w:t>
      </w:r>
      <w:proofErr w:type="spellEnd"/>
      <w:r>
        <w:t xml:space="preserve"> Woods canopy walkway (a) and during leaf-on (b) and leaf-off (c) conditions.</w:t>
      </w:r>
      <w:bookmarkEnd w:id="212"/>
    </w:p>
    <w:p w14:paraId="5E134C0A" w14:textId="77777777" w:rsidR="00A12C0A" w:rsidRPr="00E9746A" w:rsidRDefault="00A12C0A" w:rsidP="00A12C0A"/>
    <w:p w14:paraId="255905A9" w14:textId="77777777" w:rsidR="00A12C0A" w:rsidRDefault="00A12C0A" w:rsidP="00FC385F">
      <w:pPr>
        <w:pStyle w:val="Heading8"/>
      </w:pPr>
      <w:bookmarkStart w:id="213" w:name="_Toc44515999"/>
      <w:r>
        <w:t>Field Sampling Strategy</w:t>
      </w:r>
      <w:bookmarkEnd w:id="213"/>
    </w:p>
    <w:p w14:paraId="633AD8B1" w14:textId="77777777" w:rsidR="00A12C0A" w:rsidRDefault="00A12C0A" w:rsidP="00A12C0A">
      <w:pPr>
        <w:spacing w:after="0" w:line="360" w:lineRule="auto"/>
        <w:jc w:val="both"/>
      </w:pPr>
    </w:p>
    <w:p w14:paraId="6397F642" w14:textId="7CE449CC" w:rsidR="00A12C0A" w:rsidRDefault="00A12C0A" w:rsidP="00A12C0A">
      <w:pPr>
        <w:spacing w:line="360" w:lineRule="auto"/>
        <w:jc w:val="both"/>
      </w:pPr>
      <w:r>
        <w:t>The sampling scheme was driven by the need to capture variability at the scale of the Sentinel-2 MSI data used for upscaling.</w:t>
      </w:r>
      <w:r w:rsidR="003C4600">
        <w:t xml:space="preserve"> </w:t>
      </w:r>
      <w:r>
        <w:t xml:space="preserve">As a result of its homogeneity, the majority of ESUs were established randomly within the forest at </w:t>
      </w:r>
      <w:proofErr w:type="spellStart"/>
      <w:r>
        <w:t>Wytham</w:t>
      </w:r>
      <w:proofErr w:type="spellEnd"/>
      <w:r>
        <w:t xml:space="preserve"> Woods, driven by accessibility via roads and paths.</w:t>
      </w:r>
      <w:r w:rsidR="003C4600">
        <w:t xml:space="preserve"> </w:t>
      </w:r>
      <w:r>
        <w:t>However, several ESUs were also established in locations containing nodes of the permanent wireless FAPAR sensor network located at the site, to facilitate inter</w:t>
      </w:r>
      <w:r w:rsidR="008131EB">
        <w:t>-</w:t>
      </w:r>
      <w:r>
        <w:t>comparison (</w:t>
      </w:r>
      <w:r w:rsidRPr="00B10DCA">
        <w:t>Figure 1</w:t>
      </w:r>
      <w:r w:rsidR="005A17B3">
        <w:t>8</w:t>
      </w:r>
      <w:r>
        <w:t xml:space="preserve">). </w:t>
      </w:r>
    </w:p>
    <w:p w14:paraId="57CF3AC3" w14:textId="77777777" w:rsidR="00A12C0A" w:rsidRDefault="00A12C0A" w:rsidP="00A12C0A">
      <w:pPr>
        <w:spacing w:line="360" w:lineRule="auto"/>
        <w:jc w:val="both"/>
      </w:pPr>
    </w:p>
    <w:p w14:paraId="440E1D30" w14:textId="77777777" w:rsidR="00A12C0A" w:rsidRDefault="00A12C0A" w:rsidP="00A12C0A">
      <w:pPr>
        <w:keepNext/>
        <w:spacing w:line="240" w:lineRule="auto"/>
        <w:jc w:val="center"/>
      </w:pPr>
      <w:r>
        <w:rPr>
          <w:noProof/>
          <w:lang w:eastAsia="en-GB"/>
        </w:rPr>
        <w:drawing>
          <wp:inline distT="0" distB="0" distL="0" distR="0" wp14:anchorId="739D7D0E" wp14:editId="7BD3734D">
            <wp:extent cx="3600000" cy="2228194"/>
            <wp:effectExtent l="0" t="0" r="635" b="1270"/>
            <wp:docPr id="3" name="Picture 3" descr="wytham_esus_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tham_esus_p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228194"/>
                    </a:xfrm>
                    <a:prstGeom prst="rect">
                      <a:avLst/>
                    </a:prstGeom>
                    <a:noFill/>
                    <a:ln>
                      <a:noFill/>
                    </a:ln>
                  </pic:spPr>
                </pic:pic>
              </a:graphicData>
            </a:graphic>
          </wp:inline>
        </w:drawing>
      </w:r>
    </w:p>
    <w:p w14:paraId="6C8285D0" w14:textId="0EFC1F36" w:rsidR="00A12C0A" w:rsidRDefault="00A12C0A" w:rsidP="00A12C0A">
      <w:pPr>
        <w:pStyle w:val="Caption"/>
        <w:jc w:val="center"/>
      </w:pPr>
      <w:bookmarkStart w:id="214" w:name="_Toc37836778"/>
      <w:bookmarkStart w:id="215" w:name="_Toc41595353"/>
      <w:r w:rsidRPr="00B10DCA">
        <w:t xml:space="preserve">Figure </w:t>
      </w:r>
      <w:fldSimple w:instr=" SEQ Figure \* ARABIC ">
        <w:r w:rsidR="005A17B3">
          <w:rPr>
            <w:noProof/>
          </w:rPr>
          <w:t>18</w:t>
        </w:r>
      </w:fldSimple>
      <w:r w:rsidRPr="00B10DCA">
        <w:t xml:space="preserve">: Map of </w:t>
      </w:r>
      <w:proofErr w:type="spellStart"/>
      <w:r w:rsidRPr="00B10DCA">
        <w:t>Wytham</w:t>
      </w:r>
      <w:proofErr w:type="spellEnd"/>
      <w:r w:rsidRPr="00B10DCA">
        <w:t xml:space="preserve"> Woods, indicating the locations of selected ESUs.</w:t>
      </w:r>
      <w:r w:rsidR="003C4600">
        <w:t xml:space="preserve"> </w:t>
      </w:r>
      <w:r w:rsidRPr="00B10DCA">
        <w:t>High spatial resolution image acquired in May 2017.</w:t>
      </w:r>
      <w:r w:rsidR="003C4600">
        <w:t xml:space="preserve"> </w:t>
      </w:r>
      <w:r w:rsidRPr="00B10DCA">
        <w:t xml:space="preserve">The </w:t>
      </w:r>
      <w:r w:rsidRPr="00E54F67">
        <w:t>red points represent ESUs containing nodes of the permanent wireless FAPAR sensor network.</w:t>
      </w:r>
      <w:bookmarkEnd w:id="214"/>
      <w:bookmarkEnd w:id="215"/>
    </w:p>
    <w:p w14:paraId="6654726C" w14:textId="77777777" w:rsidR="00A12C0A" w:rsidRDefault="00A12C0A" w:rsidP="00A12C0A">
      <w:pPr>
        <w:spacing w:line="360" w:lineRule="auto"/>
        <w:jc w:val="both"/>
      </w:pPr>
    </w:p>
    <w:p w14:paraId="50B68ECC" w14:textId="22431A54" w:rsidR="00A12C0A" w:rsidRPr="00866B7F" w:rsidRDefault="00A12C0A" w:rsidP="00A12C0A">
      <w:pPr>
        <w:spacing w:after="0" w:line="360" w:lineRule="auto"/>
        <w:jc w:val="both"/>
      </w:pPr>
      <w:r>
        <w:t>Within each ESU, the systematic sampling strategy described in Section 5.1.2 was followed.</w:t>
      </w:r>
      <w:r w:rsidR="003C4600">
        <w:t xml:space="preserve"> </w:t>
      </w:r>
      <w:r>
        <w:t>At each sampling point, two DHP images were acquired by the EOLAB team: one facing upwards, and another facing downwards.</w:t>
      </w:r>
      <w:r w:rsidR="003C4600">
        <w:t xml:space="preserve"> </w:t>
      </w:r>
      <w:r>
        <w:t>This enabled both the forest understory and overstory to be characterised.</w:t>
      </w:r>
      <w:r w:rsidR="003C4600">
        <w:t xml:space="preserve"> </w:t>
      </w:r>
      <w:r>
        <w:t>SPAD-502 measurements were conducted by the team from the University of Southampton.</w:t>
      </w:r>
      <w:r w:rsidR="003C4600">
        <w:t xml:space="preserve"> </w:t>
      </w:r>
      <w:r>
        <w:t>To ensure the same locations were characterised by both teams, the coordinates of the central location of each ESU were shared amongst the teams.</w:t>
      </w:r>
      <w:r w:rsidR="003C4600">
        <w:t xml:space="preserve"> </w:t>
      </w:r>
      <w:r>
        <w:t>The number of ESUs at which SPAD-502 measurements were made was reduced as a result of the homogeneity of the forest, in addition to the extra time required to remove leaves from the forest canopy.</w:t>
      </w:r>
      <w:r w:rsidR="003C4600">
        <w:t xml:space="preserve"> </w:t>
      </w:r>
      <w:r>
        <w:t>M</w:t>
      </w:r>
      <w:r>
        <w:rPr>
          <w:lang w:eastAsia="en-GB"/>
        </w:rPr>
        <w:t>easurements were carried out on three leaves at each of the thirteen systematic sampling points, and six measurements were performed per leaf.</w:t>
      </w:r>
    </w:p>
    <w:p w14:paraId="069101BA" w14:textId="77777777" w:rsidR="00A12C0A" w:rsidRDefault="00A12C0A" w:rsidP="00A12C0A">
      <w:pPr>
        <w:spacing w:line="360" w:lineRule="auto"/>
        <w:jc w:val="both"/>
      </w:pPr>
    </w:p>
    <w:p w14:paraId="03FBF957" w14:textId="77777777" w:rsidR="00A12C0A" w:rsidRDefault="00A12C0A" w:rsidP="00FC385F">
      <w:pPr>
        <w:pStyle w:val="Heading8"/>
      </w:pPr>
      <w:bookmarkStart w:id="216" w:name="_Toc44516000"/>
      <w:r>
        <w:t>Timing of the Field Campaign</w:t>
      </w:r>
      <w:bookmarkEnd w:id="216"/>
    </w:p>
    <w:p w14:paraId="74993DFE" w14:textId="77777777" w:rsidR="00A12C0A" w:rsidRDefault="00A12C0A" w:rsidP="00A12C0A">
      <w:pPr>
        <w:spacing w:after="0" w:line="360" w:lineRule="auto"/>
        <w:jc w:val="both"/>
      </w:pPr>
    </w:p>
    <w:p w14:paraId="35EC2CBD" w14:textId="3B098639" w:rsidR="00A12C0A" w:rsidRDefault="00A12C0A" w:rsidP="00A12C0A">
      <w:pPr>
        <w:spacing w:line="360" w:lineRule="auto"/>
        <w:jc w:val="both"/>
      </w:pPr>
      <w:r w:rsidRPr="00B10DCA">
        <w:t xml:space="preserve">Table 5 provides a summary of the cloud-free Sentinel-2 MSI imagery available for </w:t>
      </w:r>
      <w:proofErr w:type="spellStart"/>
      <w:r w:rsidRPr="00B10DCA">
        <w:t>Wytham</w:t>
      </w:r>
      <w:proofErr w:type="spellEnd"/>
      <w:r w:rsidRPr="00B10DCA">
        <w:t xml:space="preserve"> Woods, </w:t>
      </w:r>
      <w:r w:rsidRPr="00E9746A">
        <w:t>which was used in order to assess the suitability of the site.</w:t>
      </w:r>
      <w:r w:rsidR="003C4600">
        <w:t xml:space="preserve"> </w:t>
      </w:r>
      <w:r>
        <w:t>Based on this information and other logistical constraints, the campaign was scheduled for 02/07/2018 to 06/07/2018.</w:t>
      </w:r>
      <w:r w:rsidR="003C4600">
        <w:t xml:space="preserve"> </w:t>
      </w:r>
      <w:r>
        <w:t>Due to the</w:t>
      </w:r>
      <w:r w:rsidRPr="00E9746A">
        <w:t xml:space="preserve"> higher probability of cloud cover in the United Kingdo</w:t>
      </w:r>
      <w:r>
        <w:t>m, an additional backup period until 13/07/2018 was also put in place.</w:t>
      </w:r>
      <w:r w:rsidR="003C4600">
        <w:t xml:space="preserve"> </w:t>
      </w:r>
      <w:r>
        <w:t xml:space="preserve">The period offered several opportunities for acquisition of a cloud-free Sentinel-2 MSI image for upscaling, in addition multiple Sentinel-3 overpasses (Table </w:t>
      </w:r>
      <w:r w:rsidRPr="00B10DCA">
        <w:t>6</w:t>
      </w:r>
      <w:r>
        <w:t>).</w:t>
      </w:r>
    </w:p>
    <w:p w14:paraId="407D250E" w14:textId="77777777" w:rsidR="00A12C0A" w:rsidRDefault="00A12C0A" w:rsidP="00A12C0A">
      <w:pPr>
        <w:spacing w:line="360" w:lineRule="auto"/>
        <w:jc w:val="both"/>
      </w:pPr>
      <w:r w:rsidRPr="00E9746A">
        <w:t xml:space="preserve">A meeting was </w:t>
      </w:r>
      <w:r>
        <w:t>held</w:t>
      </w:r>
      <w:r w:rsidRPr="00E9746A">
        <w:t xml:space="preserve"> to discuss forecasts some days prior to the departure date to take into account the short-term forecasts from a) an ensemble of models and b) from the national weather forecaster </w:t>
      </w:r>
      <w:r w:rsidRPr="00E9746A">
        <w:lastRenderedPageBreak/>
        <w:t>(e.g. the Met Office), together with a more general assessment of the medium-term conditions (such as the movement and likely projection of low- and high-pressure systems).</w:t>
      </w:r>
    </w:p>
    <w:p w14:paraId="1C034E20" w14:textId="77777777" w:rsidR="00A12C0A" w:rsidRPr="00C97EBE" w:rsidRDefault="00A12C0A" w:rsidP="00A12C0A">
      <w:pPr>
        <w:spacing w:after="0"/>
        <w:jc w:val="both"/>
        <w:rPr>
          <w:rFonts w:cstheme="minorHAnsi"/>
          <w:lang w:eastAsia="en-GB"/>
        </w:rPr>
      </w:pPr>
    </w:p>
    <w:p w14:paraId="45D8D267" w14:textId="19729975" w:rsidR="00A12C0A" w:rsidRPr="00B10DCA" w:rsidRDefault="00A12C0A" w:rsidP="00A12C0A">
      <w:pPr>
        <w:pStyle w:val="Caption"/>
        <w:keepNext/>
        <w:jc w:val="center"/>
        <w:rPr>
          <w:rFonts w:cstheme="minorHAnsi"/>
        </w:rPr>
      </w:pPr>
      <w:bookmarkStart w:id="217" w:name="_Ref535504769"/>
      <w:bookmarkStart w:id="218" w:name="_Toc41595358"/>
      <w:r w:rsidRPr="00B10DCA">
        <w:rPr>
          <w:rFonts w:cstheme="minorHAnsi"/>
        </w:rPr>
        <w:t xml:space="preserve">Table </w:t>
      </w:r>
      <w:r w:rsidRPr="00B10DCA">
        <w:rPr>
          <w:rFonts w:cstheme="minorHAnsi"/>
        </w:rPr>
        <w:fldChar w:fldCharType="begin"/>
      </w:r>
      <w:r w:rsidRPr="00B10DCA">
        <w:rPr>
          <w:rFonts w:cstheme="minorHAnsi"/>
          <w:noProof/>
        </w:rPr>
        <w:instrText xml:space="preserve"> SEQ Table \* ARABIC </w:instrText>
      </w:r>
      <w:r w:rsidRPr="00B10DCA">
        <w:rPr>
          <w:rFonts w:cstheme="minorHAnsi"/>
        </w:rPr>
        <w:fldChar w:fldCharType="separate"/>
      </w:r>
      <w:r w:rsidR="00B10DCA" w:rsidRPr="00B10DCA">
        <w:rPr>
          <w:rFonts w:cstheme="minorHAnsi"/>
          <w:noProof/>
        </w:rPr>
        <w:t>5</w:t>
      </w:r>
      <w:r w:rsidRPr="00B10DCA">
        <w:rPr>
          <w:rFonts w:cstheme="minorHAnsi"/>
        </w:rPr>
        <w:fldChar w:fldCharType="end"/>
      </w:r>
      <w:bookmarkEnd w:id="217"/>
      <w:r w:rsidRPr="00B10DCA">
        <w:rPr>
          <w:rFonts w:cstheme="minorHAnsi"/>
        </w:rPr>
        <w:t xml:space="preserve">: Cloud-free availability of Sentinel-2 MSI data over </w:t>
      </w:r>
      <w:proofErr w:type="spellStart"/>
      <w:r w:rsidRPr="00B10DCA">
        <w:rPr>
          <w:rFonts w:cstheme="minorHAnsi"/>
        </w:rPr>
        <w:t>Wytham</w:t>
      </w:r>
      <w:proofErr w:type="spellEnd"/>
      <w:r w:rsidRPr="00B10DCA">
        <w:rPr>
          <w:rFonts w:cstheme="minorHAnsi"/>
        </w:rPr>
        <w:t xml:space="preserve"> Woods (red to green colour scale represents the minimum to maximum number of available scenes).</w:t>
      </w:r>
      <w:bookmarkEnd w:id="218"/>
    </w:p>
    <w:tbl>
      <w:tblPr>
        <w:tblW w:w="5000" w:type="pct"/>
        <w:tblLook w:val="04A0" w:firstRow="1" w:lastRow="0" w:firstColumn="1" w:lastColumn="0" w:noHBand="0" w:noVBand="1"/>
      </w:tblPr>
      <w:tblGrid>
        <w:gridCol w:w="2487"/>
        <w:gridCol w:w="557"/>
        <w:gridCol w:w="558"/>
        <w:gridCol w:w="459"/>
        <w:gridCol w:w="558"/>
        <w:gridCol w:w="448"/>
        <w:gridCol w:w="336"/>
        <w:gridCol w:w="415"/>
        <w:gridCol w:w="415"/>
        <w:gridCol w:w="558"/>
        <w:gridCol w:w="558"/>
        <w:gridCol w:w="558"/>
        <w:gridCol w:w="558"/>
        <w:gridCol w:w="561"/>
      </w:tblGrid>
      <w:tr w:rsidR="00A12C0A" w:rsidRPr="00C97EBE" w14:paraId="7F986DCE" w14:textId="77777777" w:rsidTr="00A12C0A">
        <w:trPr>
          <w:trHeight w:val="315"/>
        </w:trPr>
        <w:tc>
          <w:tcPr>
            <w:tcW w:w="1378" w:type="pct"/>
            <w:tcBorders>
              <w:top w:val="single" w:sz="4" w:space="0" w:color="auto"/>
              <w:left w:val="nil"/>
              <w:bottom w:val="single" w:sz="4" w:space="0" w:color="auto"/>
              <w:right w:val="nil"/>
            </w:tcBorders>
            <w:shd w:val="clear" w:color="auto" w:fill="FFFFFF"/>
            <w:noWrap/>
            <w:vAlign w:val="bottom"/>
            <w:hideMark/>
          </w:tcPr>
          <w:p w14:paraId="2A0C9CC6" w14:textId="77777777" w:rsidR="00A12C0A" w:rsidRPr="00C97EBE" w:rsidRDefault="00A12C0A" w:rsidP="00A12C0A">
            <w:pPr>
              <w:spacing w:after="0" w:line="240" w:lineRule="auto"/>
              <w:rPr>
                <w:rFonts w:eastAsia="Times New Roman" w:cstheme="minorHAnsi"/>
                <w:b/>
                <w:bCs/>
                <w:color w:val="000000"/>
                <w:lang w:eastAsia="en-GB"/>
              </w:rPr>
            </w:pPr>
            <w:r w:rsidRPr="00C97EBE">
              <w:rPr>
                <w:rFonts w:eastAsia="Times New Roman" w:cstheme="minorHAnsi"/>
                <w:b/>
                <w:bCs/>
                <w:color w:val="000000"/>
                <w:lang w:eastAsia="en-GB"/>
              </w:rPr>
              <w:t> </w:t>
            </w:r>
          </w:p>
        </w:tc>
        <w:tc>
          <w:tcPr>
            <w:tcW w:w="3622" w:type="pct"/>
            <w:gridSpan w:val="13"/>
            <w:tcBorders>
              <w:top w:val="single" w:sz="4" w:space="0" w:color="auto"/>
              <w:left w:val="nil"/>
              <w:bottom w:val="single" w:sz="4" w:space="0" w:color="auto"/>
              <w:right w:val="nil"/>
            </w:tcBorders>
            <w:shd w:val="clear" w:color="auto" w:fill="FFFFFF"/>
            <w:noWrap/>
            <w:vAlign w:val="bottom"/>
            <w:hideMark/>
          </w:tcPr>
          <w:p w14:paraId="40E72C39"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Number of scenes with &lt;10% cloud cover over a 3 km x 3 km area</w:t>
            </w:r>
          </w:p>
        </w:tc>
      </w:tr>
      <w:tr w:rsidR="00A12C0A" w:rsidRPr="00C97EBE" w14:paraId="217CB942" w14:textId="77777777" w:rsidTr="00A12C0A">
        <w:trPr>
          <w:trHeight w:val="315"/>
        </w:trPr>
        <w:tc>
          <w:tcPr>
            <w:tcW w:w="1378" w:type="pct"/>
            <w:tcBorders>
              <w:top w:val="single" w:sz="4" w:space="0" w:color="auto"/>
            </w:tcBorders>
            <w:shd w:val="clear" w:color="auto" w:fill="FFFFFF"/>
            <w:noWrap/>
            <w:vAlign w:val="bottom"/>
            <w:hideMark/>
          </w:tcPr>
          <w:p w14:paraId="15B975A5" w14:textId="77777777" w:rsidR="00A12C0A" w:rsidRPr="00C97EBE" w:rsidRDefault="00A12C0A" w:rsidP="00A12C0A">
            <w:pPr>
              <w:spacing w:after="0" w:line="240" w:lineRule="auto"/>
              <w:rPr>
                <w:rFonts w:eastAsia="Times New Roman" w:cstheme="minorHAnsi"/>
                <w:b/>
                <w:bCs/>
                <w:color w:val="000000"/>
                <w:lang w:eastAsia="en-GB"/>
              </w:rPr>
            </w:pPr>
            <w:r w:rsidRPr="00C97EBE">
              <w:rPr>
                <w:rFonts w:eastAsia="Times New Roman" w:cstheme="minorHAnsi"/>
                <w:b/>
                <w:bCs/>
                <w:color w:val="000000"/>
                <w:lang w:eastAsia="en-GB"/>
              </w:rPr>
              <w:t> </w:t>
            </w:r>
          </w:p>
        </w:tc>
        <w:tc>
          <w:tcPr>
            <w:tcW w:w="1429" w:type="pct"/>
            <w:gridSpan w:val="5"/>
            <w:tcBorders>
              <w:top w:val="single" w:sz="4" w:space="0" w:color="auto"/>
              <w:left w:val="nil"/>
              <w:bottom w:val="single" w:sz="4" w:space="0" w:color="auto"/>
              <w:right w:val="nil"/>
            </w:tcBorders>
            <w:shd w:val="clear" w:color="auto" w:fill="FFFFFF"/>
            <w:noWrap/>
            <w:vAlign w:val="bottom"/>
            <w:hideMark/>
          </w:tcPr>
          <w:p w14:paraId="06E2ED86"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2017</w:t>
            </w:r>
          </w:p>
        </w:tc>
        <w:tc>
          <w:tcPr>
            <w:tcW w:w="186" w:type="pct"/>
            <w:tcBorders>
              <w:top w:val="single" w:sz="4" w:space="0" w:color="auto"/>
              <w:left w:val="nil"/>
              <w:bottom w:val="nil"/>
              <w:right w:val="nil"/>
            </w:tcBorders>
            <w:shd w:val="clear" w:color="auto" w:fill="FFFFFF"/>
            <w:noWrap/>
            <w:vAlign w:val="bottom"/>
            <w:hideMark/>
          </w:tcPr>
          <w:p w14:paraId="4ABED218"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 </w:t>
            </w:r>
          </w:p>
        </w:tc>
        <w:tc>
          <w:tcPr>
            <w:tcW w:w="2006" w:type="pct"/>
            <w:gridSpan w:val="7"/>
            <w:tcBorders>
              <w:top w:val="single" w:sz="4" w:space="0" w:color="auto"/>
              <w:left w:val="nil"/>
              <w:bottom w:val="single" w:sz="4" w:space="0" w:color="auto"/>
              <w:right w:val="nil"/>
            </w:tcBorders>
            <w:shd w:val="clear" w:color="auto" w:fill="FFFFFF"/>
            <w:noWrap/>
            <w:vAlign w:val="bottom"/>
            <w:hideMark/>
          </w:tcPr>
          <w:p w14:paraId="158EC733"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2018</w:t>
            </w:r>
          </w:p>
        </w:tc>
      </w:tr>
      <w:tr w:rsidR="00A12C0A" w:rsidRPr="00C97EBE" w14:paraId="6B92180C" w14:textId="77777777" w:rsidTr="00A12C0A">
        <w:trPr>
          <w:trHeight w:val="315"/>
        </w:trPr>
        <w:tc>
          <w:tcPr>
            <w:tcW w:w="1378" w:type="pct"/>
            <w:tcBorders>
              <w:top w:val="nil"/>
              <w:left w:val="nil"/>
              <w:bottom w:val="single" w:sz="4" w:space="0" w:color="auto"/>
              <w:right w:val="nil"/>
            </w:tcBorders>
            <w:shd w:val="clear" w:color="auto" w:fill="FFFFFF"/>
            <w:noWrap/>
            <w:vAlign w:val="bottom"/>
            <w:hideMark/>
          </w:tcPr>
          <w:p w14:paraId="48DBE8A0"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Site</w:t>
            </w:r>
          </w:p>
        </w:tc>
        <w:tc>
          <w:tcPr>
            <w:tcW w:w="309" w:type="pct"/>
            <w:tcBorders>
              <w:top w:val="single" w:sz="4" w:space="0" w:color="auto"/>
              <w:left w:val="nil"/>
              <w:bottom w:val="single" w:sz="4" w:space="0" w:color="auto"/>
              <w:right w:val="nil"/>
            </w:tcBorders>
            <w:shd w:val="clear" w:color="auto" w:fill="FFFFFF"/>
            <w:noWrap/>
            <w:vAlign w:val="bottom"/>
            <w:hideMark/>
          </w:tcPr>
          <w:p w14:paraId="37781F30"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A</w:t>
            </w:r>
          </w:p>
        </w:tc>
        <w:tc>
          <w:tcPr>
            <w:tcW w:w="309" w:type="pct"/>
            <w:tcBorders>
              <w:top w:val="single" w:sz="4" w:space="0" w:color="auto"/>
              <w:left w:val="nil"/>
              <w:bottom w:val="single" w:sz="4" w:space="0" w:color="auto"/>
              <w:right w:val="nil"/>
            </w:tcBorders>
            <w:shd w:val="clear" w:color="auto" w:fill="FFFFFF"/>
            <w:noWrap/>
            <w:vAlign w:val="bottom"/>
            <w:hideMark/>
          </w:tcPr>
          <w:p w14:paraId="16513ED8"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S</w:t>
            </w:r>
          </w:p>
        </w:tc>
        <w:tc>
          <w:tcPr>
            <w:tcW w:w="254" w:type="pct"/>
            <w:tcBorders>
              <w:top w:val="single" w:sz="4" w:space="0" w:color="auto"/>
              <w:left w:val="nil"/>
              <w:bottom w:val="single" w:sz="4" w:space="0" w:color="auto"/>
              <w:right w:val="nil"/>
            </w:tcBorders>
            <w:shd w:val="clear" w:color="auto" w:fill="FFFFFF"/>
            <w:noWrap/>
            <w:vAlign w:val="bottom"/>
            <w:hideMark/>
          </w:tcPr>
          <w:p w14:paraId="45E4A61B"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O</w:t>
            </w:r>
          </w:p>
        </w:tc>
        <w:tc>
          <w:tcPr>
            <w:tcW w:w="309" w:type="pct"/>
            <w:tcBorders>
              <w:top w:val="single" w:sz="4" w:space="0" w:color="auto"/>
              <w:left w:val="nil"/>
              <w:bottom w:val="single" w:sz="4" w:space="0" w:color="auto"/>
              <w:right w:val="nil"/>
            </w:tcBorders>
            <w:shd w:val="clear" w:color="auto" w:fill="FFFFFF"/>
            <w:noWrap/>
            <w:vAlign w:val="bottom"/>
            <w:hideMark/>
          </w:tcPr>
          <w:p w14:paraId="6FC53824"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N</w:t>
            </w:r>
          </w:p>
        </w:tc>
        <w:tc>
          <w:tcPr>
            <w:tcW w:w="248" w:type="pct"/>
            <w:tcBorders>
              <w:top w:val="single" w:sz="4" w:space="0" w:color="auto"/>
              <w:left w:val="nil"/>
              <w:bottom w:val="single" w:sz="4" w:space="0" w:color="auto"/>
              <w:right w:val="nil"/>
            </w:tcBorders>
            <w:shd w:val="clear" w:color="auto" w:fill="FFFFFF"/>
            <w:noWrap/>
            <w:vAlign w:val="bottom"/>
            <w:hideMark/>
          </w:tcPr>
          <w:p w14:paraId="7C07B137"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D</w:t>
            </w:r>
          </w:p>
        </w:tc>
        <w:tc>
          <w:tcPr>
            <w:tcW w:w="186" w:type="pct"/>
            <w:shd w:val="clear" w:color="auto" w:fill="FFFFFF"/>
            <w:noWrap/>
            <w:vAlign w:val="bottom"/>
            <w:hideMark/>
          </w:tcPr>
          <w:p w14:paraId="4E2679CD"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 </w:t>
            </w:r>
          </w:p>
        </w:tc>
        <w:tc>
          <w:tcPr>
            <w:tcW w:w="230" w:type="pct"/>
            <w:tcBorders>
              <w:top w:val="single" w:sz="4" w:space="0" w:color="auto"/>
              <w:left w:val="nil"/>
              <w:bottom w:val="single" w:sz="4" w:space="0" w:color="auto"/>
              <w:right w:val="nil"/>
            </w:tcBorders>
            <w:shd w:val="clear" w:color="auto" w:fill="FFFFFF"/>
            <w:noWrap/>
            <w:vAlign w:val="bottom"/>
            <w:hideMark/>
          </w:tcPr>
          <w:p w14:paraId="351B79D3"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J</w:t>
            </w:r>
          </w:p>
        </w:tc>
        <w:tc>
          <w:tcPr>
            <w:tcW w:w="230" w:type="pct"/>
            <w:tcBorders>
              <w:top w:val="single" w:sz="4" w:space="0" w:color="auto"/>
              <w:left w:val="nil"/>
              <w:bottom w:val="single" w:sz="4" w:space="0" w:color="auto"/>
              <w:right w:val="nil"/>
            </w:tcBorders>
            <w:shd w:val="clear" w:color="auto" w:fill="FFFFFF"/>
            <w:noWrap/>
            <w:vAlign w:val="bottom"/>
            <w:hideMark/>
          </w:tcPr>
          <w:p w14:paraId="7A1D7103"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F</w:t>
            </w:r>
          </w:p>
        </w:tc>
        <w:tc>
          <w:tcPr>
            <w:tcW w:w="309" w:type="pct"/>
            <w:tcBorders>
              <w:top w:val="single" w:sz="4" w:space="0" w:color="auto"/>
              <w:left w:val="nil"/>
              <w:bottom w:val="single" w:sz="4" w:space="0" w:color="auto"/>
              <w:right w:val="nil"/>
            </w:tcBorders>
            <w:shd w:val="clear" w:color="auto" w:fill="FFFFFF"/>
            <w:noWrap/>
            <w:vAlign w:val="bottom"/>
            <w:hideMark/>
          </w:tcPr>
          <w:p w14:paraId="5685665E"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M</w:t>
            </w:r>
          </w:p>
        </w:tc>
        <w:tc>
          <w:tcPr>
            <w:tcW w:w="309" w:type="pct"/>
            <w:tcBorders>
              <w:top w:val="single" w:sz="4" w:space="0" w:color="auto"/>
              <w:left w:val="nil"/>
              <w:bottom w:val="single" w:sz="4" w:space="0" w:color="auto"/>
              <w:right w:val="nil"/>
            </w:tcBorders>
            <w:shd w:val="clear" w:color="auto" w:fill="FFFFFF"/>
            <w:noWrap/>
            <w:vAlign w:val="bottom"/>
            <w:hideMark/>
          </w:tcPr>
          <w:p w14:paraId="56B4FBBD"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A</w:t>
            </w:r>
          </w:p>
        </w:tc>
        <w:tc>
          <w:tcPr>
            <w:tcW w:w="309" w:type="pct"/>
            <w:tcBorders>
              <w:top w:val="single" w:sz="4" w:space="0" w:color="auto"/>
              <w:left w:val="nil"/>
              <w:bottom w:val="single" w:sz="4" w:space="0" w:color="auto"/>
              <w:right w:val="nil"/>
            </w:tcBorders>
            <w:shd w:val="clear" w:color="auto" w:fill="FFFFFF"/>
            <w:noWrap/>
            <w:vAlign w:val="bottom"/>
            <w:hideMark/>
          </w:tcPr>
          <w:p w14:paraId="782A6875"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M</w:t>
            </w:r>
          </w:p>
        </w:tc>
        <w:tc>
          <w:tcPr>
            <w:tcW w:w="309" w:type="pct"/>
            <w:tcBorders>
              <w:top w:val="single" w:sz="4" w:space="0" w:color="auto"/>
              <w:left w:val="nil"/>
              <w:bottom w:val="single" w:sz="4" w:space="0" w:color="auto"/>
              <w:right w:val="nil"/>
            </w:tcBorders>
            <w:shd w:val="clear" w:color="auto" w:fill="FFFFFF"/>
            <w:noWrap/>
            <w:vAlign w:val="bottom"/>
            <w:hideMark/>
          </w:tcPr>
          <w:p w14:paraId="0DF658CD"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J</w:t>
            </w:r>
          </w:p>
        </w:tc>
        <w:tc>
          <w:tcPr>
            <w:tcW w:w="310" w:type="pct"/>
            <w:tcBorders>
              <w:top w:val="single" w:sz="4" w:space="0" w:color="auto"/>
              <w:left w:val="nil"/>
              <w:bottom w:val="single" w:sz="4" w:space="0" w:color="auto"/>
              <w:right w:val="nil"/>
            </w:tcBorders>
            <w:shd w:val="clear" w:color="auto" w:fill="FFFFFF"/>
            <w:noWrap/>
            <w:vAlign w:val="bottom"/>
            <w:hideMark/>
          </w:tcPr>
          <w:p w14:paraId="3EB97389" w14:textId="77777777" w:rsidR="00A12C0A" w:rsidRPr="00C97EBE" w:rsidRDefault="00A12C0A" w:rsidP="00A12C0A">
            <w:pPr>
              <w:spacing w:after="0" w:line="240" w:lineRule="auto"/>
              <w:jc w:val="center"/>
              <w:rPr>
                <w:rFonts w:eastAsia="Times New Roman" w:cstheme="minorHAnsi"/>
                <w:b/>
                <w:bCs/>
                <w:color w:val="000000"/>
                <w:lang w:eastAsia="en-GB"/>
              </w:rPr>
            </w:pPr>
            <w:r w:rsidRPr="00C97EBE">
              <w:rPr>
                <w:rFonts w:eastAsia="Times New Roman" w:cstheme="minorHAnsi"/>
                <w:b/>
                <w:bCs/>
                <w:color w:val="000000"/>
                <w:lang w:eastAsia="en-GB"/>
              </w:rPr>
              <w:t>J</w:t>
            </w:r>
          </w:p>
        </w:tc>
      </w:tr>
      <w:tr w:rsidR="00A12C0A" w:rsidRPr="00C97EBE" w14:paraId="22C1A135" w14:textId="77777777" w:rsidTr="00A12C0A">
        <w:trPr>
          <w:trHeight w:val="315"/>
        </w:trPr>
        <w:tc>
          <w:tcPr>
            <w:tcW w:w="1378" w:type="pct"/>
            <w:tcBorders>
              <w:top w:val="nil"/>
              <w:left w:val="nil"/>
              <w:bottom w:val="single" w:sz="4" w:space="0" w:color="auto"/>
              <w:right w:val="nil"/>
            </w:tcBorders>
            <w:shd w:val="clear" w:color="auto" w:fill="FFFFFF"/>
            <w:noWrap/>
            <w:vAlign w:val="bottom"/>
            <w:hideMark/>
          </w:tcPr>
          <w:p w14:paraId="5EB176EC" w14:textId="77777777" w:rsidR="00A12C0A" w:rsidRPr="00C97EBE" w:rsidRDefault="00A12C0A" w:rsidP="00A12C0A">
            <w:pPr>
              <w:spacing w:after="0" w:line="240" w:lineRule="auto"/>
              <w:jc w:val="center"/>
              <w:rPr>
                <w:rFonts w:eastAsia="Times New Roman" w:cstheme="minorHAnsi"/>
                <w:color w:val="000000"/>
                <w:lang w:eastAsia="en-GB"/>
              </w:rPr>
            </w:pPr>
            <w:proofErr w:type="spellStart"/>
            <w:r w:rsidRPr="00C97EBE">
              <w:rPr>
                <w:rFonts w:eastAsia="Times New Roman" w:cstheme="minorHAnsi"/>
                <w:color w:val="000000"/>
                <w:lang w:eastAsia="en-GB"/>
              </w:rPr>
              <w:t>Wytham</w:t>
            </w:r>
            <w:proofErr w:type="spellEnd"/>
            <w:r w:rsidRPr="00C97EBE">
              <w:rPr>
                <w:rFonts w:eastAsia="Times New Roman" w:cstheme="minorHAnsi"/>
                <w:color w:val="000000"/>
                <w:lang w:eastAsia="en-GB"/>
              </w:rPr>
              <w:t xml:space="preserve"> Woods</w:t>
            </w:r>
          </w:p>
        </w:tc>
        <w:tc>
          <w:tcPr>
            <w:tcW w:w="309" w:type="pct"/>
            <w:tcBorders>
              <w:top w:val="nil"/>
              <w:left w:val="nil"/>
              <w:bottom w:val="single" w:sz="4" w:space="0" w:color="auto"/>
              <w:right w:val="nil"/>
            </w:tcBorders>
            <w:shd w:val="clear" w:color="auto" w:fill="FBD7DA"/>
            <w:noWrap/>
            <w:vAlign w:val="bottom"/>
            <w:hideMark/>
          </w:tcPr>
          <w:p w14:paraId="592C3198"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3</w:t>
            </w:r>
          </w:p>
        </w:tc>
        <w:tc>
          <w:tcPr>
            <w:tcW w:w="309" w:type="pct"/>
            <w:tcBorders>
              <w:top w:val="nil"/>
              <w:left w:val="nil"/>
              <w:bottom w:val="single" w:sz="4" w:space="0" w:color="auto"/>
              <w:right w:val="nil"/>
            </w:tcBorders>
            <w:shd w:val="clear" w:color="auto" w:fill="FAB2B5"/>
            <w:noWrap/>
            <w:vAlign w:val="bottom"/>
            <w:hideMark/>
          </w:tcPr>
          <w:p w14:paraId="0F7789B6"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2</w:t>
            </w:r>
          </w:p>
        </w:tc>
        <w:tc>
          <w:tcPr>
            <w:tcW w:w="254" w:type="pct"/>
            <w:tcBorders>
              <w:top w:val="nil"/>
              <w:left w:val="nil"/>
              <w:bottom w:val="single" w:sz="4" w:space="0" w:color="auto"/>
              <w:right w:val="nil"/>
            </w:tcBorders>
            <w:shd w:val="clear" w:color="auto" w:fill="FAB2B5"/>
            <w:noWrap/>
            <w:vAlign w:val="bottom"/>
            <w:hideMark/>
          </w:tcPr>
          <w:p w14:paraId="77EAB766"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2</w:t>
            </w:r>
          </w:p>
        </w:tc>
        <w:tc>
          <w:tcPr>
            <w:tcW w:w="309" w:type="pct"/>
            <w:tcBorders>
              <w:top w:val="nil"/>
              <w:left w:val="nil"/>
              <w:bottom w:val="single" w:sz="4" w:space="0" w:color="auto"/>
              <w:right w:val="nil"/>
            </w:tcBorders>
            <w:shd w:val="clear" w:color="auto" w:fill="C3E5CE"/>
            <w:noWrap/>
            <w:vAlign w:val="bottom"/>
            <w:hideMark/>
          </w:tcPr>
          <w:p w14:paraId="028AAB4F"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7</w:t>
            </w:r>
          </w:p>
        </w:tc>
        <w:tc>
          <w:tcPr>
            <w:tcW w:w="248" w:type="pct"/>
            <w:tcBorders>
              <w:top w:val="nil"/>
              <w:left w:val="nil"/>
              <w:bottom w:val="single" w:sz="4" w:space="0" w:color="auto"/>
              <w:right w:val="nil"/>
            </w:tcBorders>
            <w:shd w:val="clear" w:color="auto" w:fill="E9F5EF"/>
            <w:noWrap/>
            <w:vAlign w:val="bottom"/>
            <w:hideMark/>
          </w:tcPr>
          <w:p w14:paraId="1CDAB4DE"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5</w:t>
            </w:r>
          </w:p>
        </w:tc>
        <w:tc>
          <w:tcPr>
            <w:tcW w:w="186" w:type="pct"/>
            <w:tcBorders>
              <w:top w:val="nil"/>
              <w:left w:val="nil"/>
              <w:bottom w:val="single" w:sz="4" w:space="0" w:color="auto"/>
              <w:right w:val="nil"/>
            </w:tcBorders>
            <w:shd w:val="clear" w:color="auto" w:fill="FFFFFF"/>
            <w:noWrap/>
            <w:vAlign w:val="bottom"/>
            <w:hideMark/>
          </w:tcPr>
          <w:p w14:paraId="0D5960DA" w14:textId="77777777" w:rsidR="00A12C0A" w:rsidRPr="00C97EBE" w:rsidRDefault="00A12C0A" w:rsidP="00A12C0A">
            <w:pPr>
              <w:spacing w:after="0" w:line="240" w:lineRule="auto"/>
              <w:jc w:val="center"/>
              <w:rPr>
                <w:rFonts w:eastAsia="Times New Roman" w:cstheme="minorHAnsi"/>
                <w:color w:val="000000"/>
                <w:lang w:eastAsia="en-GB"/>
              </w:rPr>
            </w:pPr>
          </w:p>
        </w:tc>
        <w:tc>
          <w:tcPr>
            <w:tcW w:w="230" w:type="pct"/>
            <w:tcBorders>
              <w:top w:val="nil"/>
              <w:left w:val="nil"/>
              <w:bottom w:val="single" w:sz="4" w:space="0" w:color="auto"/>
              <w:right w:val="nil"/>
            </w:tcBorders>
            <w:shd w:val="clear" w:color="auto" w:fill="E9F5EF"/>
            <w:noWrap/>
            <w:vAlign w:val="bottom"/>
            <w:hideMark/>
          </w:tcPr>
          <w:p w14:paraId="38E53827"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5</w:t>
            </w:r>
          </w:p>
        </w:tc>
        <w:tc>
          <w:tcPr>
            <w:tcW w:w="230" w:type="pct"/>
            <w:tcBorders>
              <w:top w:val="nil"/>
              <w:left w:val="nil"/>
              <w:bottom w:val="single" w:sz="4" w:space="0" w:color="auto"/>
              <w:right w:val="nil"/>
            </w:tcBorders>
            <w:shd w:val="clear" w:color="auto" w:fill="FBD7DA"/>
            <w:noWrap/>
            <w:vAlign w:val="bottom"/>
            <w:hideMark/>
          </w:tcPr>
          <w:p w14:paraId="4CA80968"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3</w:t>
            </w:r>
          </w:p>
        </w:tc>
        <w:tc>
          <w:tcPr>
            <w:tcW w:w="309" w:type="pct"/>
            <w:tcBorders>
              <w:top w:val="nil"/>
              <w:left w:val="nil"/>
              <w:bottom w:val="single" w:sz="4" w:space="0" w:color="auto"/>
              <w:right w:val="nil"/>
            </w:tcBorders>
            <w:shd w:val="clear" w:color="auto" w:fill="FBD7DA"/>
            <w:noWrap/>
            <w:vAlign w:val="bottom"/>
            <w:hideMark/>
          </w:tcPr>
          <w:p w14:paraId="657DC16E"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3</w:t>
            </w:r>
          </w:p>
        </w:tc>
        <w:tc>
          <w:tcPr>
            <w:tcW w:w="309" w:type="pct"/>
            <w:tcBorders>
              <w:top w:val="nil"/>
              <w:left w:val="nil"/>
              <w:bottom w:val="single" w:sz="4" w:space="0" w:color="auto"/>
              <w:right w:val="nil"/>
            </w:tcBorders>
            <w:shd w:val="clear" w:color="auto" w:fill="FAB2B5"/>
            <w:noWrap/>
            <w:vAlign w:val="bottom"/>
            <w:hideMark/>
          </w:tcPr>
          <w:p w14:paraId="24729352"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2</w:t>
            </w:r>
          </w:p>
        </w:tc>
        <w:tc>
          <w:tcPr>
            <w:tcW w:w="309" w:type="pct"/>
            <w:tcBorders>
              <w:top w:val="nil"/>
              <w:left w:val="nil"/>
              <w:bottom w:val="single" w:sz="4" w:space="0" w:color="auto"/>
              <w:right w:val="nil"/>
            </w:tcBorders>
            <w:shd w:val="clear" w:color="auto" w:fill="C3E5CE"/>
            <w:noWrap/>
            <w:vAlign w:val="bottom"/>
            <w:hideMark/>
          </w:tcPr>
          <w:p w14:paraId="5A8A7C04"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7</w:t>
            </w:r>
          </w:p>
        </w:tc>
        <w:tc>
          <w:tcPr>
            <w:tcW w:w="309" w:type="pct"/>
            <w:tcBorders>
              <w:top w:val="nil"/>
              <w:left w:val="nil"/>
              <w:bottom w:val="single" w:sz="4" w:space="0" w:color="auto"/>
              <w:right w:val="nil"/>
            </w:tcBorders>
            <w:shd w:val="clear" w:color="auto" w:fill="C3E5CE"/>
            <w:noWrap/>
            <w:vAlign w:val="bottom"/>
            <w:hideMark/>
          </w:tcPr>
          <w:p w14:paraId="0DC48D62"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7</w:t>
            </w:r>
          </w:p>
        </w:tc>
        <w:tc>
          <w:tcPr>
            <w:tcW w:w="310" w:type="pct"/>
            <w:tcBorders>
              <w:top w:val="nil"/>
              <w:left w:val="nil"/>
              <w:bottom w:val="single" w:sz="4" w:space="0" w:color="auto"/>
              <w:right w:val="nil"/>
            </w:tcBorders>
            <w:shd w:val="clear" w:color="auto" w:fill="D6EDDE"/>
            <w:noWrap/>
            <w:vAlign w:val="bottom"/>
            <w:hideMark/>
          </w:tcPr>
          <w:p w14:paraId="4870999B" w14:textId="77777777" w:rsidR="00A12C0A" w:rsidRPr="00C97EBE" w:rsidRDefault="00A12C0A" w:rsidP="00A12C0A">
            <w:pPr>
              <w:spacing w:after="0" w:line="240" w:lineRule="auto"/>
              <w:jc w:val="center"/>
              <w:rPr>
                <w:rFonts w:eastAsia="Times New Roman" w:cstheme="minorHAnsi"/>
                <w:color w:val="000000"/>
                <w:lang w:eastAsia="en-GB"/>
              </w:rPr>
            </w:pPr>
            <w:r w:rsidRPr="00C97EBE">
              <w:rPr>
                <w:rFonts w:eastAsia="Times New Roman" w:cstheme="minorHAnsi"/>
                <w:color w:val="000000"/>
                <w:lang w:eastAsia="en-GB"/>
              </w:rPr>
              <w:t>6</w:t>
            </w:r>
          </w:p>
        </w:tc>
      </w:tr>
    </w:tbl>
    <w:p w14:paraId="7952362F" w14:textId="77777777" w:rsidR="00A12C0A" w:rsidRDefault="00A12C0A" w:rsidP="00A12C0A">
      <w:pPr>
        <w:spacing w:after="0" w:line="360" w:lineRule="auto"/>
        <w:jc w:val="both"/>
      </w:pPr>
    </w:p>
    <w:p w14:paraId="61F5914C" w14:textId="77777777" w:rsidR="00A12C0A" w:rsidRDefault="00A12C0A" w:rsidP="00A12C0A">
      <w:pPr>
        <w:spacing w:after="0" w:line="360" w:lineRule="auto"/>
        <w:jc w:val="both"/>
      </w:pPr>
    </w:p>
    <w:p w14:paraId="24D403ED" w14:textId="3B95E0C0" w:rsidR="00A12C0A" w:rsidRDefault="00A12C0A" w:rsidP="00A12C0A">
      <w:pPr>
        <w:pStyle w:val="Caption"/>
        <w:keepNext/>
        <w:jc w:val="center"/>
      </w:pPr>
      <w:bookmarkStart w:id="219" w:name="_Ref523232180"/>
      <w:bookmarkStart w:id="220" w:name="_Toc41595359"/>
      <w:r w:rsidRPr="00B10DCA">
        <w:t xml:space="preserve">Table </w:t>
      </w:r>
      <w:r w:rsidRPr="00B10DCA">
        <w:fldChar w:fldCharType="begin"/>
      </w:r>
      <w:r w:rsidRPr="00B10DCA">
        <w:rPr>
          <w:noProof/>
        </w:rPr>
        <w:instrText xml:space="preserve"> SEQ Table \* ARABIC </w:instrText>
      </w:r>
      <w:r w:rsidRPr="00B10DCA">
        <w:fldChar w:fldCharType="separate"/>
      </w:r>
      <w:r w:rsidR="00B10DCA" w:rsidRPr="00B10DCA">
        <w:rPr>
          <w:noProof/>
        </w:rPr>
        <w:t>6</w:t>
      </w:r>
      <w:r w:rsidRPr="00B10DCA">
        <w:fldChar w:fldCharType="end"/>
      </w:r>
      <w:bookmarkEnd w:id="219"/>
      <w:r w:rsidRPr="00B10DCA">
        <w:t xml:space="preserve">: Overpass </w:t>
      </w:r>
      <w:r>
        <w:t xml:space="preserve">schedule for the </w:t>
      </w:r>
      <w:proofErr w:type="spellStart"/>
      <w:r>
        <w:t>Wytham</w:t>
      </w:r>
      <w:proofErr w:type="spellEnd"/>
      <w:r>
        <w:t xml:space="preserve"> Woods campaign (all times UTC).</w:t>
      </w:r>
      <w:bookmarkEnd w:id="22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02"/>
        <w:gridCol w:w="1791"/>
        <w:gridCol w:w="1802"/>
        <w:gridCol w:w="1789"/>
      </w:tblGrid>
      <w:tr w:rsidR="00A12C0A" w14:paraId="5F9CE231" w14:textId="77777777" w:rsidTr="00A12C0A">
        <w:tc>
          <w:tcPr>
            <w:tcW w:w="1021" w:type="pct"/>
            <w:tcBorders>
              <w:top w:val="single" w:sz="4" w:space="0" w:color="auto"/>
              <w:left w:val="nil"/>
              <w:bottom w:val="single" w:sz="4" w:space="0" w:color="auto"/>
              <w:right w:val="nil"/>
            </w:tcBorders>
            <w:hideMark/>
          </w:tcPr>
          <w:p w14:paraId="74A7637A" w14:textId="77777777" w:rsidR="00A12C0A" w:rsidRPr="007C0E68" w:rsidRDefault="00A12C0A" w:rsidP="00A12C0A">
            <w:pPr>
              <w:jc w:val="center"/>
              <w:rPr>
                <w:b/>
                <w:bCs/>
              </w:rPr>
            </w:pPr>
            <w:r w:rsidRPr="007C0E68">
              <w:rPr>
                <w:b/>
                <w:bCs/>
              </w:rPr>
              <w:t>Date</w:t>
            </w:r>
          </w:p>
        </w:tc>
        <w:tc>
          <w:tcPr>
            <w:tcW w:w="998" w:type="pct"/>
            <w:tcBorders>
              <w:top w:val="single" w:sz="4" w:space="0" w:color="auto"/>
              <w:left w:val="nil"/>
              <w:bottom w:val="single" w:sz="4" w:space="0" w:color="auto"/>
              <w:right w:val="nil"/>
            </w:tcBorders>
            <w:hideMark/>
          </w:tcPr>
          <w:p w14:paraId="54A02AFE" w14:textId="77777777" w:rsidR="00A12C0A" w:rsidRPr="007C0E68" w:rsidRDefault="00A12C0A" w:rsidP="00A12C0A">
            <w:pPr>
              <w:jc w:val="center"/>
              <w:rPr>
                <w:b/>
                <w:bCs/>
              </w:rPr>
            </w:pPr>
            <w:r w:rsidRPr="007C0E68">
              <w:rPr>
                <w:b/>
                <w:bCs/>
              </w:rPr>
              <w:t>Sentinel-2A</w:t>
            </w:r>
          </w:p>
        </w:tc>
        <w:tc>
          <w:tcPr>
            <w:tcW w:w="992" w:type="pct"/>
            <w:tcBorders>
              <w:top w:val="single" w:sz="4" w:space="0" w:color="auto"/>
              <w:left w:val="nil"/>
              <w:bottom w:val="single" w:sz="4" w:space="0" w:color="auto"/>
              <w:right w:val="nil"/>
            </w:tcBorders>
            <w:hideMark/>
          </w:tcPr>
          <w:p w14:paraId="1F9E2CDD" w14:textId="77777777" w:rsidR="00A12C0A" w:rsidRPr="007C0E68" w:rsidRDefault="00A12C0A" w:rsidP="00A12C0A">
            <w:pPr>
              <w:jc w:val="center"/>
              <w:rPr>
                <w:b/>
                <w:bCs/>
              </w:rPr>
            </w:pPr>
            <w:r w:rsidRPr="007C0E68">
              <w:rPr>
                <w:b/>
                <w:bCs/>
              </w:rPr>
              <w:t>Sentinel-2B</w:t>
            </w:r>
          </w:p>
        </w:tc>
        <w:tc>
          <w:tcPr>
            <w:tcW w:w="998" w:type="pct"/>
            <w:tcBorders>
              <w:top w:val="single" w:sz="4" w:space="0" w:color="auto"/>
              <w:left w:val="nil"/>
              <w:bottom w:val="single" w:sz="4" w:space="0" w:color="auto"/>
              <w:right w:val="nil"/>
            </w:tcBorders>
            <w:hideMark/>
          </w:tcPr>
          <w:p w14:paraId="122BE4EB" w14:textId="77777777" w:rsidR="00A12C0A" w:rsidRPr="007C0E68" w:rsidRDefault="00A12C0A" w:rsidP="00A12C0A">
            <w:pPr>
              <w:jc w:val="center"/>
              <w:rPr>
                <w:b/>
                <w:bCs/>
              </w:rPr>
            </w:pPr>
            <w:r w:rsidRPr="007C0E68">
              <w:rPr>
                <w:b/>
                <w:bCs/>
              </w:rPr>
              <w:t>Sentinel-3A</w:t>
            </w:r>
          </w:p>
        </w:tc>
        <w:tc>
          <w:tcPr>
            <w:tcW w:w="992" w:type="pct"/>
            <w:tcBorders>
              <w:top w:val="single" w:sz="4" w:space="0" w:color="auto"/>
              <w:left w:val="nil"/>
              <w:bottom w:val="single" w:sz="4" w:space="0" w:color="auto"/>
              <w:right w:val="nil"/>
            </w:tcBorders>
            <w:hideMark/>
          </w:tcPr>
          <w:p w14:paraId="38F9BB8D" w14:textId="77777777" w:rsidR="00A12C0A" w:rsidRPr="007C0E68" w:rsidRDefault="00A12C0A" w:rsidP="00A12C0A">
            <w:pPr>
              <w:jc w:val="center"/>
              <w:rPr>
                <w:b/>
                <w:bCs/>
              </w:rPr>
            </w:pPr>
            <w:r w:rsidRPr="007C0E68">
              <w:rPr>
                <w:b/>
                <w:bCs/>
              </w:rPr>
              <w:t>Sentinel-3B</w:t>
            </w:r>
          </w:p>
        </w:tc>
      </w:tr>
      <w:tr w:rsidR="00A12C0A" w14:paraId="4D667D7B" w14:textId="77777777" w:rsidTr="00A12C0A">
        <w:tc>
          <w:tcPr>
            <w:tcW w:w="1021" w:type="pct"/>
            <w:tcBorders>
              <w:top w:val="nil"/>
              <w:left w:val="nil"/>
              <w:bottom w:val="nil"/>
              <w:right w:val="nil"/>
            </w:tcBorders>
            <w:hideMark/>
          </w:tcPr>
          <w:p w14:paraId="209E6711" w14:textId="77777777" w:rsidR="00A12C0A" w:rsidRDefault="00A12C0A" w:rsidP="00A12C0A">
            <w:pPr>
              <w:jc w:val="center"/>
            </w:pPr>
            <w:r>
              <w:t>03/07/2018</w:t>
            </w:r>
          </w:p>
        </w:tc>
        <w:tc>
          <w:tcPr>
            <w:tcW w:w="998" w:type="pct"/>
            <w:tcBorders>
              <w:top w:val="nil"/>
              <w:left w:val="nil"/>
              <w:bottom w:val="nil"/>
              <w:right w:val="nil"/>
            </w:tcBorders>
            <w:hideMark/>
          </w:tcPr>
          <w:p w14:paraId="77E4B4EA" w14:textId="77777777" w:rsidR="00A12C0A" w:rsidRDefault="00A12C0A" w:rsidP="00A12C0A">
            <w:pPr>
              <w:jc w:val="center"/>
            </w:pPr>
            <w:r>
              <w:t>-</w:t>
            </w:r>
          </w:p>
        </w:tc>
        <w:tc>
          <w:tcPr>
            <w:tcW w:w="992" w:type="pct"/>
            <w:tcBorders>
              <w:top w:val="nil"/>
              <w:left w:val="nil"/>
              <w:bottom w:val="nil"/>
              <w:right w:val="nil"/>
            </w:tcBorders>
            <w:hideMark/>
          </w:tcPr>
          <w:p w14:paraId="1BFD68A0" w14:textId="77777777" w:rsidR="00A12C0A" w:rsidRDefault="00A12C0A" w:rsidP="00A12C0A">
            <w:pPr>
              <w:jc w:val="center"/>
            </w:pPr>
            <w:r>
              <w:t>-</w:t>
            </w:r>
          </w:p>
        </w:tc>
        <w:tc>
          <w:tcPr>
            <w:tcW w:w="998" w:type="pct"/>
            <w:tcBorders>
              <w:top w:val="nil"/>
              <w:left w:val="nil"/>
              <w:bottom w:val="nil"/>
              <w:right w:val="nil"/>
            </w:tcBorders>
            <w:hideMark/>
          </w:tcPr>
          <w:p w14:paraId="63A38017" w14:textId="77777777" w:rsidR="00A12C0A" w:rsidRDefault="00A12C0A" w:rsidP="00A12C0A">
            <w:pPr>
              <w:jc w:val="center"/>
            </w:pPr>
            <w:r>
              <w:t>-</w:t>
            </w:r>
          </w:p>
        </w:tc>
        <w:tc>
          <w:tcPr>
            <w:tcW w:w="992" w:type="pct"/>
            <w:tcBorders>
              <w:top w:val="nil"/>
              <w:left w:val="nil"/>
              <w:bottom w:val="nil"/>
              <w:right w:val="nil"/>
            </w:tcBorders>
            <w:hideMark/>
          </w:tcPr>
          <w:p w14:paraId="1275D484" w14:textId="77777777" w:rsidR="00A12C0A" w:rsidRDefault="00A12C0A" w:rsidP="00A12C0A">
            <w:pPr>
              <w:jc w:val="center"/>
            </w:pPr>
            <w:r>
              <w:t>-</w:t>
            </w:r>
          </w:p>
        </w:tc>
      </w:tr>
      <w:tr w:rsidR="00A12C0A" w14:paraId="61B5A62C" w14:textId="77777777" w:rsidTr="00A12C0A">
        <w:tc>
          <w:tcPr>
            <w:tcW w:w="1021" w:type="pct"/>
            <w:tcBorders>
              <w:top w:val="nil"/>
              <w:left w:val="nil"/>
              <w:bottom w:val="nil"/>
              <w:right w:val="nil"/>
            </w:tcBorders>
            <w:hideMark/>
          </w:tcPr>
          <w:p w14:paraId="6FE8B3FE" w14:textId="77777777" w:rsidR="00A12C0A" w:rsidRDefault="00A12C0A" w:rsidP="00A12C0A">
            <w:pPr>
              <w:jc w:val="center"/>
            </w:pPr>
            <w:r>
              <w:t>04/07/2018</w:t>
            </w:r>
          </w:p>
        </w:tc>
        <w:tc>
          <w:tcPr>
            <w:tcW w:w="998" w:type="pct"/>
            <w:tcBorders>
              <w:top w:val="nil"/>
              <w:left w:val="nil"/>
              <w:bottom w:val="nil"/>
              <w:right w:val="nil"/>
            </w:tcBorders>
            <w:hideMark/>
          </w:tcPr>
          <w:p w14:paraId="4D4E0F15" w14:textId="77777777" w:rsidR="00A12C0A" w:rsidRDefault="00A12C0A" w:rsidP="00A12C0A">
            <w:pPr>
              <w:jc w:val="center"/>
            </w:pPr>
            <w:r>
              <w:t>-</w:t>
            </w:r>
          </w:p>
        </w:tc>
        <w:tc>
          <w:tcPr>
            <w:tcW w:w="992" w:type="pct"/>
            <w:tcBorders>
              <w:top w:val="nil"/>
              <w:left w:val="nil"/>
              <w:bottom w:val="nil"/>
              <w:right w:val="nil"/>
            </w:tcBorders>
            <w:hideMark/>
          </w:tcPr>
          <w:p w14:paraId="46A5838D" w14:textId="77777777" w:rsidR="00A12C0A" w:rsidRDefault="00A12C0A" w:rsidP="00A12C0A">
            <w:pPr>
              <w:jc w:val="center"/>
            </w:pPr>
            <w:r>
              <w:t>11:26</w:t>
            </w:r>
          </w:p>
        </w:tc>
        <w:tc>
          <w:tcPr>
            <w:tcW w:w="998" w:type="pct"/>
            <w:tcBorders>
              <w:top w:val="nil"/>
              <w:left w:val="nil"/>
              <w:bottom w:val="nil"/>
              <w:right w:val="nil"/>
            </w:tcBorders>
            <w:hideMark/>
          </w:tcPr>
          <w:p w14:paraId="56B499C7" w14:textId="77777777" w:rsidR="00A12C0A" w:rsidRDefault="00A12C0A" w:rsidP="00A12C0A">
            <w:pPr>
              <w:jc w:val="center"/>
            </w:pPr>
            <w:r>
              <w:t>11:04</w:t>
            </w:r>
          </w:p>
        </w:tc>
        <w:tc>
          <w:tcPr>
            <w:tcW w:w="992" w:type="pct"/>
            <w:tcBorders>
              <w:top w:val="nil"/>
              <w:left w:val="nil"/>
              <w:bottom w:val="nil"/>
              <w:right w:val="nil"/>
            </w:tcBorders>
            <w:hideMark/>
          </w:tcPr>
          <w:p w14:paraId="697C5429" w14:textId="77777777" w:rsidR="00A12C0A" w:rsidRDefault="00A12C0A" w:rsidP="00A12C0A">
            <w:pPr>
              <w:jc w:val="center"/>
            </w:pPr>
            <w:r>
              <w:t>11:04</w:t>
            </w:r>
          </w:p>
        </w:tc>
      </w:tr>
      <w:tr w:rsidR="00A12C0A" w14:paraId="55C895AA" w14:textId="77777777" w:rsidTr="00A12C0A">
        <w:tc>
          <w:tcPr>
            <w:tcW w:w="1021" w:type="pct"/>
            <w:tcBorders>
              <w:top w:val="nil"/>
              <w:left w:val="nil"/>
              <w:bottom w:val="nil"/>
              <w:right w:val="nil"/>
            </w:tcBorders>
            <w:hideMark/>
          </w:tcPr>
          <w:p w14:paraId="10B4DACD" w14:textId="77777777" w:rsidR="00A12C0A" w:rsidRDefault="00A12C0A" w:rsidP="00A12C0A">
            <w:pPr>
              <w:jc w:val="center"/>
            </w:pPr>
            <w:r>
              <w:t>05/07/2018</w:t>
            </w:r>
          </w:p>
        </w:tc>
        <w:tc>
          <w:tcPr>
            <w:tcW w:w="998" w:type="pct"/>
            <w:tcBorders>
              <w:top w:val="nil"/>
              <w:left w:val="nil"/>
              <w:bottom w:val="nil"/>
              <w:right w:val="nil"/>
            </w:tcBorders>
            <w:hideMark/>
          </w:tcPr>
          <w:p w14:paraId="053AA4C5" w14:textId="77777777" w:rsidR="00A12C0A" w:rsidRDefault="00A12C0A" w:rsidP="00A12C0A">
            <w:pPr>
              <w:jc w:val="center"/>
            </w:pPr>
            <w:r>
              <w:t>-</w:t>
            </w:r>
          </w:p>
        </w:tc>
        <w:tc>
          <w:tcPr>
            <w:tcW w:w="992" w:type="pct"/>
            <w:tcBorders>
              <w:top w:val="nil"/>
              <w:left w:val="nil"/>
              <w:bottom w:val="nil"/>
              <w:right w:val="nil"/>
            </w:tcBorders>
            <w:hideMark/>
          </w:tcPr>
          <w:p w14:paraId="35CFD92E" w14:textId="77777777" w:rsidR="00A12C0A" w:rsidRDefault="00A12C0A" w:rsidP="00A12C0A">
            <w:pPr>
              <w:jc w:val="center"/>
            </w:pPr>
            <w:r>
              <w:t>-</w:t>
            </w:r>
          </w:p>
        </w:tc>
        <w:tc>
          <w:tcPr>
            <w:tcW w:w="998" w:type="pct"/>
            <w:tcBorders>
              <w:top w:val="nil"/>
              <w:left w:val="nil"/>
              <w:bottom w:val="nil"/>
              <w:right w:val="nil"/>
            </w:tcBorders>
            <w:hideMark/>
          </w:tcPr>
          <w:p w14:paraId="01CB9BB9" w14:textId="77777777" w:rsidR="00A12C0A" w:rsidRDefault="00A12C0A" w:rsidP="00A12C0A">
            <w:pPr>
              <w:jc w:val="center"/>
            </w:pPr>
            <w:r>
              <w:t>10:39</w:t>
            </w:r>
          </w:p>
        </w:tc>
        <w:tc>
          <w:tcPr>
            <w:tcW w:w="992" w:type="pct"/>
            <w:tcBorders>
              <w:top w:val="nil"/>
              <w:left w:val="nil"/>
              <w:bottom w:val="nil"/>
              <w:right w:val="nil"/>
            </w:tcBorders>
            <w:hideMark/>
          </w:tcPr>
          <w:p w14:paraId="7B21ABCB" w14:textId="77777777" w:rsidR="00A12C0A" w:rsidRDefault="00A12C0A" w:rsidP="00A12C0A">
            <w:pPr>
              <w:jc w:val="center"/>
            </w:pPr>
            <w:r>
              <w:t>10:39</w:t>
            </w:r>
          </w:p>
        </w:tc>
      </w:tr>
      <w:tr w:rsidR="00A12C0A" w14:paraId="2D2CDF40" w14:textId="77777777" w:rsidTr="00A12C0A">
        <w:tc>
          <w:tcPr>
            <w:tcW w:w="1021" w:type="pct"/>
            <w:tcBorders>
              <w:top w:val="nil"/>
              <w:left w:val="nil"/>
              <w:bottom w:val="nil"/>
              <w:right w:val="nil"/>
            </w:tcBorders>
            <w:hideMark/>
          </w:tcPr>
          <w:p w14:paraId="0B228289" w14:textId="77777777" w:rsidR="00A12C0A" w:rsidRDefault="00A12C0A" w:rsidP="00A12C0A">
            <w:pPr>
              <w:jc w:val="center"/>
            </w:pPr>
            <w:r>
              <w:t>06/07/2018</w:t>
            </w:r>
          </w:p>
        </w:tc>
        <w:tc>
          <w:tcPr>
            <w:tcW w:w="998" w:type="pct"/>
            <w:tcBorders>
              <w:top w:val="nil"/>
              <w:left w:val="nil"/>
              <w:bottom w:val="nil"/>
              <w:right w:val="nil"/>
            </w:tcBorders>
            <w:hideMark/>
          </w:tcPr>
          <w:p w14:paraId="45F68B33" w14:textId="77777777" w:rsidR="00A12C0A" w:rsidRDefault="00A12C0A" w:rsidP="00A12C0A">
            <w:pPr>
              <w:jc w:val="center"/>
            </w:pPr>
            <w:r>
              <w:t>11:16</w:t>
            </w:r>
          </w:p>
        </w:tc>
        <w:tc>
          <w:tcPr>
            <w:tcW w:w="992" w:type="pct"/>
            <w:tcBorders>
              <w:top w:val="nil"/>
              <w:left w:val="nil"/>
              <w:bottom w:val="nil"/>
              <w:right w:val="nil"/>
            </w:tcBorders>
            <w:hideMark/>
          </w:tcPr>
          <w:p w14:paraId="1E46FDAB" w14:textId="77777777" w:rsidR="00A12C0A" w:rsidRDefault="00A12C0A" w:rsidP="00A12C0A">
            <w:pPr>
              <w:jc w:val="center"/>
            </w:pPr>
            <w:r>
              <w:t>-</w:t>
            </w:r>
          </w:p>
        </w:tc>
        <w:tc>
          <w:tcPr>
            <w:tcW w:w="998" w:type="pct"/>
            <w:tcBorders>
              <w:top w:val="nil"/>
              <w:left w:val="nil"/>
              <w:bottom w:val="nil"/>
              <w:right w:val="nil"/>
            </w:tcBorders>
            <w:hideMark/>
          </w:tcPr>
          <w:p w14:paraId="247E504E" w14:textId="77777777" w:rsidR="00A12C0A" w:rsidRDefault="00A12C0A" w:rsidP="00A12C0A">
            <w:pPr>
              <w:jc w:val="center"/>
            </w:pPr>
            <w:r>
              <w:t>10:13</w:t>
            </w:r>
          </w:p>
        </w:tc>
        <w:tc>
          <w:tcPr>
            <w:tcW w:w="992" w:type="pct"/>
            <w:tcBorders>
              <w:top w:val="nil"/>
              <w:left w:val="nil"/>
              <w:bottom w:val="nil"/>
              <w:right w:val="nil"/>
            </w:tcBorders>
            <w:hideMark/>
          </w:tcPr>
          <w:p w14:paraId="1CDB893E" w14:textId="77777777" w:rsidR="00A12C0A" w:rsidRDefault="00A12C0A" w:rsidP="00A12C0A">
            <w:pPr>
              <w:jc w:val="center"/>
            </w:pPr>
            <w:r>
              <w:t>10:13</w:t>
            </w:r>
          </w:p>
        </w:tc>
      </w:tr>
      <w:tr w:rsidR="00A12C0A" w14:paraId="04310D7B" w14:textId="77777777" w:rsidTr="00A12C0A">
        <w:tc>
          <w:tcPr>
            <w:tcW w:w="1021" w:type="pct"/>
            <w:tcBorders>
              <w:top w:val="nil"/>
              <w:left w:val="nil"/>
              <w:bottom w:val="nil"/>
              <w:right w:val="nil"/>
            </w:tcBorders>
            <w:hideMark/>
          </w:tcPr>
          <w:p w14:paraId="2D7D57EB" w14:textId="77777777" w:rsidR="00A12C0A" w:rsidRDefault="00A12C0A" w:rsidP="00A12C0A">
            <w:pPr>
              <w:jc w:val="center"/>
            </w:pPr>
            <w:r>
              <w:t>07/07/2018</w:t>
            </w:r>
          </w:p>
        </w:tc>
        <w:tc>
          <w:tcPr>
            <w:tcW w:w="998" w:type="pct"/>
            <w:tcBorders>
              <w:top w:val="nil"/>
              <w:left w:val="nil"/>
              <w:bottom w:val="nil"/>
              <w:right w:val="nil"/>
            </w:tcBorders>
            <w:hideMark/>
          </w:tcPr>
          <w:p w14:paraId="3CA298A8" w14:textId="77777777" w:rsidR="00A12C0A" w:rsidRDefault="00A12C0A" w:rsidP="00A12C0A">
            <w:pPr>
              <w:jc w:val="center"/>
            </w:pPr>
            <w:r>
              <w:t>-</w:t>
            </w:r>
          </w:p>
        </w:tc>
        <w:tc>
          <w:tcPr>
            <w:tcW w:w="992" w:type="pct"/>
            <w:tcBorders>
              <w:top w:val="nil"/>
              <w:left w:val="nil"/>
              <w:bottom w:val="nil"/>
              <w:right w:val="nil"/>
            </w:tcBorders>
            <w:hideMark/>
          </w:tcPr>
          <w:p w14:paraId="44C7270B" w14:textId="77777777" w:rsidR="00A12C0A" w:rsidRDefault="00A12C0A" w:rsidP="00A12C0A">
            <w:pPr>
              <w:jc w:val="center"/>
            </w:pPr>
            <w:r>
              <w:t>-</w:t>
            </w:r>
          </w:p>
        </w:tc>
        <w:tc>
          <w:tcPr>
            <w:tcW w:w="998" w:type="pct"/>
            <w:tcBorders>
              <w:top w:val="nil"/>
              <w:left w:val="nil"/>
              <w:bottom w:val="nil"/>
              <w:right w:val="nil"/>
            </w:tcBorders>
            <w:hideMark/>
          </w:tcPr>
          <w:p w14:paraId="2731ABD0" w14:textId="77777777" w:rsidR="00A12C0A" w:rsidRDefault="00A12C0A" w:rsidP="00A12C0A">
            <w:pPr>
              <w:jc w:val="center"/>
            </w:pPr>
            <w:r>
              <w:t>-</w:t>
            </w:r>
          </w:p>
        </w:tc>
        <w:tc>
          <w:tcPr>
            <w:tcW w:w="992" w:type="pct"/>
            <w:tcBorders>
              <w:top w:val="nil"/>
              <w:left w:val="nil"/>
              <w:bottom w:val="nil"/>
              <w:right w:val="nil"/>
            </w:tcBorders>
            <w:hideMark/>
          </w:tcPr>
          <w:p w14:paraId="379903BC" w14:textId="77777777" w:rsidR="00A12C0A" w:rsidRDefault="00A12C0A" w:rsidP="00A12C0A">
            <w:pPr>
              <w:jc w:val="center"/>
            </w:pPr>
            <w:r>
              <w:t>-</w:t>
            </w:r>
          </w:p>
        </w:tc>
      </w:tr>
      <w:tr w:rsidR="00A12C0A" w14:paraId="07897063" w14:textId="77777777" w:rsidTr="00A12C0A">
        <w:tc>
          <w:tcPr>
            <w:tcW w:w="1021" w:type="pct"/>
            <w:tcBorders>
              <w:top w:val="nil"/>
              <w:left w:val="nil"/>
              <w:bottom w:val="nil"/>
              <w:right w:val="nil"/>
            </w:tcBorders>
            <w:hideMark/>
          </w:tcPr>
          <w:p w14:paraId="68DED46A" w14:textId="77777777" w:rsidR="00A12C0A" w:rsidRDefault="00A12C0A" w:rsidP="00A12C0A">
            <w:pPr>
              <w:jc w:val="center"/>
            </w:pPr>
            <w:r>
              <w:t>08/07/2018</w:t>
            </w:r>
          </w:p>
        </w:tc>
        <w:tc>
          <w:tcPr>
            <w:tcW w:w="998" w:type="pct"/>
            <w:tcBorders>
              <w:top w:val="nil"/>
              <w:left w:val="nil"/>
              <w:bottom w:val="nil"/>
              <w:right w:val="nil"/>
            </w:tcBorders>
            <w:hideMark/>
          </w:tcPr>
          <w:p w14:paraId="4787D135" w14:textId="77777777" w:rsidR="00A12C0A" w:rsidRDefault="00A12C0A" w:rsidP="00A12C0A">
            <w:pPr>
              <w:jc w:val="center"/>
            </w:pPr>
            <w:r>
              <w:t>-</w:t>
            </w:r>
          </w:p>
        </w:tc>
        <w:tc>
          <w:tcPr>
            <w:tcW w:w="992" w:type="pct"/>
            <w:tcBorders>
              <w:top w:val="nil"/>
              <w:left w:val="nil"/>
              <w:bottom w:val="nil"/>
              <w:right w:val="nil"/>
            </w:tcBorders>
            <w:hideMark/>
          </w:tcPr>
          <w:p w14:paraId="4071AAE8" w14:textId="77777777" w:rsidR="00A12C0A" w:rsidRDefault="00A12C0A" w:rsidP="00A12C0A">
            <w:pPr>
              <w:jc w:val="center"/>
            </w:pPr>
            <w:r>
              <w:t>-</w:t>
            </w:r>
          </w:p>
        </w:tc>
        <w:tc>
          <w:tcPr>
            <w:tcW w:w="998" w:type="pct"/>
            <w:tcBorders>
              <w:top w:val="nil"/>
              <w:left w:val="nil"/>
              <w:bottom w:val="nil"/>
              <w:right w:val="nil"/>
            </w:tcBorders>
            <w:hideMark/>
          </w:tcPr>
          <w:p w14:paraId="63B65926" w14:textId="77777777" w:rsidR="00A12C0A" w:rsidRDefault="00A12C0A" w:rsidP="00A12C0A">
            <w:pPr>
              <w:jc w:val="center"/>
            </w:pPr>
            <w:r>
              <w:t>11:01</w:t>
            </w:r>
          </w:p>
        </w:tc>
        <w:tc>
          <w:tcPr>
            <w:tcW w:w="992" w:type="pct"/>
            <w:tcBorders>
              <w:top w:val="nil"/>
              <w:left w:val="nil"/>
              <w:bottom w:val="nil"/>
              <w:right w:val="nil"/>
            </w:tcBorders>
            <w:hideMark/>
          </w:tcPr>
          <w:p w14:paraId="658702F5" w14:textId="77777777" w:rsidR="00A12C0A" w:rsidRDefault="00A12C0A" w:rsidP="00A12C0A">
            <w:pPr>
              <w:jc w:val="center"/>
            </w:pPr>
            <w:r>
              <w:t>11:01</w:t>
            </w:r>
          </w:p>
        </w:tc>
      </w:tr>
      <w:tr w:rsidR="00A12C0A" w14:paraId="4525659B" w14:textId="77777777" w:rsidTr="00A12C0A">
        <w:tc>
          <w:tcPr>
            <w:tcW w:w="1021" w:type="pct"/>
            <w:tcBorders>
              <w:top w:val="nil"/>
              <w:left w:val="nil"/>
              <w:bottom w:val="nil"/>
              <w:right w:val="nil"/>
            </w:tcBorders>
            <w:hideMark/>
          </w:tcPr>
          <w:p w14:paraId="3EA93159" w14:textId="77777777" w:rsidR="00A12C0A" w:rsidRDefault="00A12C0A" w:rsidP="00A12C0A">
            <w:pPr>
              <w:jc w:val="center"/>
            </w:pPr>
            <w:r>
              <w:t>09/07/2018</w:t>
            </w:r>
          </w:p>
        </w:tc>
        <w:tc>
          <w:tcPr>
            <w:tcW w:w="998" w:type="pct"/>
            <w:tcBorders>
              <w:top w:val="nil"/>
              <w:left w:val="nil"/>
              <w:bottom w:val="nil"/>
              <w:right w:val="nil"/>
            </w:tcBorders>
            <w:hideMark/>
          </w:tcPr>
          <w:p w14:paraId="7BD703B0" w14:textId="77777777" w:rsidR="00A12C0A" w:rsidRDefault="00A12C0A" w:rsidP="00A12C0A">
            <w:pPr>
              <w:jc w:val="center"/>
            </w:pPr>
            <w:r>
              <w:t>11:26</w:t>
            </w:r>
          </w:p>
        </w:tc>
        <w:tc>
          <w:tcPr>
            <w:tcW w:w="992" w:type="pct"/>
            <w:tcBorders>
              <w:top w:val="nil"/>
              <w:left w:val="nil"/>
              <w:bottom w:val="nil"/>
              <w:right w:val="nil"/>
            </w:tcBorders>
            <w:hideMark/>
          </w:tcPr>
          <w:p w14:paraId="02B56769" w14:textId="77777777" w:rsidR="00A12C0A" w:rsidRDefault="00A12C0A" w:rsidP="00A12C0A">
            <w:pPr>
              <w:jc w:val="center"/>
            </w:pPr>
            <w:r>
              <w:t>-</w:t>
            </w:r>
          </w:p>
        </w:tc>
        <w:tc>
          <w:tcPr>
            <w:tcW w:w="998" w:type="pct"/>
            <w:tcBorders>
              <w:top w:val="nil"/>
              <w:left w:val="nil"/>
              <w:bottom w:val="nil"/>
              <w:right w:val="nil"/>
            </w:tcBorders>
            <w:hideMark/>
          </w:tcPr>
          <w:p w14:paraId="044CCCFD" w14:textId="77777777" w:rsidR="00A12C0A" w:rsidRDefault="00A12C0A" w:rsidP="00A12C0A">
            <w:pPr>
              <w:jc w:val="center"/>
            </w:pPr>
            <w:r>
              <w:t>10:35</w:t>
            </w:r>
          </w:p>
        </w:tc>
        <w:tc>
          <w:tcPr>
            <w:tcW w:w="992" w:type="pct"/>
            <w:tcBorders>
              <w:top w:val="nil"/>
              <w:left w:val="nil"/>
              <w:bottom w:val="nil"/>
              <w:right w:val="nil"/>
            </w:tcBorders>
            <w:hideMark/>
          </w:tcPr>
          <w:p w14:paraId="1160AEFA" w14:textId="77777777" w:rsidR="00A12C0A" w:rsidRDefault="00A12C0A" w:rsidP="00A12C0A">
            <w:pPr>
              <w:jc w:val="center"/>
            </w:pPr>
            <w:r>
              <w:t>10:35</w:t>
            </w:r>
          </w:p>
        </w:tc>
      </w:tr>
      <w:tr w:rsidR="00A12C0A" w14:paraId="5B4E3F5E" w14:textId="77777777" w:rsidTr="00A12C0A">
        <w:tc>
          <w:tcPr>
            <w:tcW w:w="1021" w:type="pct"/>
            <w:tcBorders>
              <w:top w:val="nil"/>
              <w:left w:val="nil"/>
              <w:bottom w:val="nil"/>
              <w:right w:val="nil"/>
            </w:tcBorders>
            <w:hideMark/>
          </w:tcPr>
          <w:p w14:paraId="46B7D020" w14:textId="77777777" w:rsidR="00A12C0A" w:rsidRDefault="00A12C0A" w:rsidP="00A12C0A">
            <w:pPr>
              <w:jc w:val="center"/>
            </w:pPr>
            <w:r>
              <w:t>10/07/2018</w:t>
            </w:r>
          </w:p>
        </w:tc>
        <w:tc>
          <w:tcPr>
            <w:tcW w:w="998" w:type="pct"/>
            <w:tcBorders>
              <w:top w:val="nil"/>
              <w:left w:val="nil"/>
              <w:bottom w:val="nil"/>
              <w:right w:val="nil"/>
            </w:tcBorders>
            <w:hideMark/>
          </w:tcPr>
          <w:p w14:paraId="14B8317F" w14:textId="77777777" w:rsidR="00A12C0A" w:rsidRDefault="00A12C0A" w:rsidP="00A12C0A">
            <w:pPr>
              <w:jc w:val="center"/>
            </w:pPr>
            <w:r>
              <w:t>-</w:t>
            </w:r>
          </w:p>
        </w:tc>
        <w:tc>
          <w:tcPr>
            <w:tcW w:w="992" w:type="pct"/>
            <w:tcBorders>
              <w:top w:val="nil"/>
              <w:left w:val="nil"/>
              <w:bottom w:val="nil"/>
              <w:right w:val="nil"/>
            </w:tcBorders>
            <w:hideMark/>
          </w:tcPr>
          <w:p w14:paraId="794F8EC1" w14:textId="77777777" w:rsidR="00A12C0A" w:rsidRDefault="00A12C0A" w:rsidP="00A12C0A">
            <w:pPr>
              <w:jc w:val="center"/>
            </w:pPr>
            <w:r>
              <w:t>-</w:t>
            </w:r>
          </w:p>
        </w:tc>
        <w:tc>
          <w:tcPr>
            <w:tcW w:w="998" w:type="pct"/>
            <w:tcBorders>
              <w:top w:val="nil"/>
              <w:left w:val="nil"/>
              <w:bottom w:val="nil"/>
              <w:right w:val="nil"/>
            </w:tcBorders>
            <w:hideMark/>
          </w:tcPr>
          <w:p w14:paraId="7C247619" w14:textId="77777777" w:rsidR="00A12C0A" w:rsidRDefault="00A12C0A" w:rsidP="00A12C0A">
            <w:pPr>
              <w:jc w:val="center"/>
            </w:pPr>
            <w:r>
              <w:t>10:09</w:t>
            </w:r>
          </w:p>
        </w:tc>
        <w:tc>
          <w:tcPr>
            <w:tcW w:w="992" w:type="pct"/>
            <w:tcBorders>
              <w:top w:val="nil"/>
              <w:left w:val="nil"/>
              <w:bottom w:val="nil"/>
              <w:right w:val="nil"/>
            </w:tcBorders>
            <w:hideMark/>
          </w:tcPr>
          <w:p w14:paraId="1DD3A42E" w14:textId="77777777" w:rsidR="00A12C0A" w:rsidRDefault="00A12C0A" w:rsidP="00A12C0A">
            <w:pPr>
              <w:jc w:val="center"/>
            </w:pPr>
            <w:r>
              <w:t>10:09</w:t>
            </w:r>
          </w:p>
        </w:tc>
      </w:tr>
      <w:tr w:rsidR="00A12C0A" w14:paraId="640C8079" w14:textId="77777777" w:rsidTr="00A12C0A">
        <w:tc>
          <w:tcPr>
            <w:tcW w:w="1021" w:type="pct"/>
            <w:tcBorders>
              <w:top w:val="nil"/>
              <w:left w:val="nil"/>
              <w:bottom w:val="nil"/>
              <w:right w:val="nil"/>
            </w:tcBorders>
            <w:hideMark/>
          </w:tcPr>
          <w:p w14:paraId="63E1DE00" w14:textId="77777777" w:rsidR="00A12C0A" w:rsidRDefault="00A12C0A" w:rsidP="00A12C0A">
            <w:pPr>
              <w:jc w:val="center"/>
            </w:pPr>
            <w:r>
              <w:t>11/07/2018</w:t>
            </w:r>
          </w:p>
        </w:tc>
        <w:tc>
          <w:tcPr>
            <w:tcW w:w="998" w:type="pct"/>
            <w:tcBorders>
              <w:top w:val="nil"/>
              <w:left w:val="nil"/>
              <w:bottom w:val="nil"/>
              <w:right w:val="nil"/>
            </w:tcBorders>
            <w:hideMark/>
          </w:tcPr>
          <w:p w14:paraId="6B0E9292" w14:textId="77777777" w:rsidR="00A12C0A" w:rsidRDefault="00A12C0A" w:rsidP="00A12C0A">
            <w:pPr>
              <w:jc w:val="center"/>
            </w:pPr>
            <w:r>
              <w:t>-</w:t>
            </w:r>
          </w:p>
        </w:tc>
        <w:tc>
          <w:tcPr>
            <w:tcW w:w="992" w:type="pct"/>
            <w:tcBorders>
              <w:top w:val="nil"/>
              <w:left w:val="nil"/>
              <w:bottom w:val="nil"/>
              <w:right w:val="nil"/>
            </w:tcBorders>
            <w:hideMark/>
          </w:tcPr>
          <w:p w14:paraId="2919CC73" w14:textId="77777777" w:rsidR="00A12C0A" w:rsidRDefault="00A12C0A" w:rsidP="00A12C0A">
            <w:pPr>
              <w:jc w:val="center"/>
            </w:pPr>
            <w:r>
              <w:t>11:16</w:t>
            </w:r>
          </w:p>
        </w:tc>
        <w:tc>
          <w:tcPr>
            <w:tcW w:w="998" w:type="pct"/>
            <w:tcBorders>
              <w:top w:val="nil"/>
              <w:left w:val="nil"/>
              <w:bottom w:val="nil"/>
              <w:right w:val="nil"/>
            </w:tcBorders>
            <w:hideMark/>
          </w:tcPr>
          <w:p w14:paraId="5DC51059" w14:textId="77777777" w:rsidR="00A12C0A" w:rsidRDefault="00A12C0A" w:rsidP="00A12C0A">
            <w:pPr>
              <w:jc w:val="center"/>
            </w:pPr>
            <w:r>
              <w:t>-</w:t>
            </w:r>
          </w:p>
        </w:tc>
        <w:tc>
          <w:tcPr>
            <w:tcW w:w="992" w:type="pct"/>
            <w:tcBorders>
              <w:top w:val="nil"/>
              <w:left w:val="nil"/>
              <w:bottom w:val="nil"/>
              <w:right w:val="nil"/>
            </w:tcBorders>
            <w:hideMark/>
          </w:tcPr>
          <w:p w14:paraId="6C11057D" w14:textId="77777777" w:rsidR="00A12C0A" w:rsidRDefault="00A12C0A" w:rsidP="00A12C0A">
            <w:pPr>
              <w:jc w:val="center"/>
            </w:pPr>
            <w:r>
              <w:t>-</w:t>
            </w:r>
          </w:p>
        </w:tc>
      </w:tr>
      <w:tr w:rsidR="00A12C0A" w14:paraId="3221FD77" w14:textId="77777777" w:rsidTr="00A12C0A">
        <w:tc>
          <w:tcPr>
            <w:tcW w:w="1021" w:type="pct"/>
            <w:tcBorders>
              <w:top w:val="nil"/>
              <w:left w:val="nil"/>
              <w:bottom w:val="nil"/>
              <w:right w:val="nil"/>
            </w:tcBorders>
            <w:hideMark/>
          </w:tcPr>
          <w:p w14:paraId="4EA989BB" w14:textId="77777777" w:rsidR="00A12C0A" w:rsidRDefault="00A12C0A" w:rsidP="00A12C0A">
            <w:pPr>
              <w:jc w:val="center"/>
            </w:pPr>
            <w:r>
              <w:t>12/07/2018</w:t>
            </w:r>
          </w:p>
        </w:tc>
        <w:tc>
          <w:tcPr>
            <w:tcW w:w="998" w:type="pct"/>
            <w:tcBorders>
              <w:top w:val="nil"/>
              <w:left w:val="nil"/>
              <w:bottom w:val="nil"/>
              <w:right w:val="nil"/>
            </w:tcBorders>
            <w:hideMark/>
          </w:tcPr>
          <w:p w14:paraId="5915BABA" w14:textId="77777777" w:rsidR="00A12C0A" w:rsidRDefault="00A12C0A" w:rsidP="00A12C0A">
            <w:pPr>
              <w:jc w:val="center"/>
            </w:pPr>
            <w:r>
              <w:t>-</w:t>
            </w:r>
          </w:p>
        </w:tc>
        <w:tc>
          <w:tcPr>
            <w:tcW w:w="992" w:type="pct"/>
            <w:tcBorders>
              <w:top w:val="nil"/>
              <w:left w:val="nil"/>
              <w:bottom w:val="nil"/>
              <w:right w:val="nil"/>
            </w:tcBorders>
            <w:hideMark/>
          </w:tcPr>
          <w:p w14:paraId="31A94BB6" w14:textId="77777777" w:rsidR="00A12C0A" w:rsidRDefault="00A12C0A" w:rsidP="00A12C0A">
            <w:pPr>
              <w:jc w:val="center"/>
            </w:pPr>
            <w:r>
              <w:t>-</w:t>
            </w:r>
          </w:p>
        </w:tc>
        <w:tc>
          <w:tcPr>
            <w:tcW w:w="998" w:type="pct"/>
            <w:tcBorders>
              <w:top w:val="nil"/>
              <w:left w:val="nil"/>
              <w:bottom w:val="nil"/>
              <w:right w:val="nil"/>
            </w:tcBorders>
            <w:hideMark/>
          </w:tcPr>
          <w:p w14:paraId="46CA4C4D" w14:textId="77777777" w:rsidR="00A12C0A" w:rsidRDefault="00A12C0A" w:rsidP="00A12C0A">
            <w:pPr>
              <w:jc w:val="center"/>
            </w:pPr>
            <w:r>
              <w:t>10:57</w:t>
            </w:r>
          </w:p>
        </w:tc>
        <w:tc>
          <w:tcPr>
            <w:tcW w:w="992" w:type="pct"/>
            <w:tcBorders>
              <w:top w:val="nil"/>
              <w:left w:val="nil"/>
              <w:bottom w:val="nil"/>
              <w:right w:val="nil"/>
            </w:tcBorders>
            <w:hideMark/>
          </w:tcPr>
          <w:p w14:paraId="59DDEEE0" w14:textId="77777777" w:rsidR="00A12C0A" w:rsidRDefault="00A12C0A" w:rsidP="00A12C0A">
            <w:pPr>
              <w:jc w:val="center"/>
            </w:pPr>
            <w:r>
              <w:t>10:57</w:t>
            </w:r>
          </w:p>
        </w:tc>
      </w:tr>
      <w:tr w:rsidR="00A12C0A" w14:paraId="2F40B0D9" w14:textId="77777777" w:rsidTr="00A12C0A">
        <w:tc>
          <w:tcPr>
            <w:tcW w:w="1021" w:type="pct"/>
            <w:tcBorders>
              <w:top w:val="nil"/>
              <w:left w:val="nil"/>
              <w:bottom w:val="nil"/>
              <w:right w:val="nil"/>
            </w:tcBorders>
            <w:hideMark/>
          </w:tcPr>
          <w:p w14:paraId="5D057BE5" w14:textId="77777777" w:rsidR="00A12C0A" w:rsidRDefault="00A12C0A" w:rsidP="00A12C0A">
            <w:pPr>
              <w:jc w:val="center"/>
            </w:pPr>
            <w:r>
              <w:t>13/07/2018</w:t>
            </w:r>
          </w:p>
        </w:tc>
        <w:tc>
          <w:tcPr>
            <w:tcW w:w="998" w:type="pct"/>
            <w:tcBorders>
              <w:top w:val="nil"/>
              <w:left w:val="nil"/>
              <w:bottom w:val="nil"/>
              <w:right w:val="nil"/>
            </w:tcBorders>
            <w:hideMark/>
          </w:tcPr>
          <w:p w14:paraId="366EECD7" w14:textId="77777777" w:rsidR="00A12C0A" w:rsidRDefault="00A12C0A" w:rsidP="00A12C0A">
            <w:pPr>
              <w:jc w:val="center"/>
            </w:pPr>
            <w:r>
              <w:t>-</w:t>
            </w:r>
          </w:p>
        </w:tc>
        <w:tc>
          <w:tcPr>
            <w:tcW w:w="992" w:type="pct"/>
            <w:tcBorders>
              <w:top w:val="nil"/>
              <w:left w:val="nil"/>
              <w:bottom w:val="nil"/>
              <w:right w:val="nil"/>
            </w:tcBorders>
            <w:hideMark/>
          </w:tcPr>
          <w:p w14:paraId="5880B61E" w14:textId="77777777" w:rsidR="00A12C0A" w:rsidRDefault="00A12C0A" w:rsidP="00A12C0A">
            <w:pPr>
              <w:jc w:val="center"/>
            </w:pPr>
            <w:r>
              <w:t>-</w:t>
            </w:r>
          </w:p>
        </w:tc>
        <w:tc>
          <w:tcPr>
            <w:tcW w:w="998" w:type="pct"/>
            <w:tcBorders>
              <w:top w:val="nil"/>
              <w:left w:val="nil"/>
              <w:bottom w:val="nil"/>
              <w:right w:val="nil"/>
            </w:tcBorders>
            <w:hideMark/>
          </w:tcPr>
          <w:p w14:paraId="5CD777B6" w14:textId="77777777" w:rsidR="00A12C0A" w:rsidRDefault="00A12C0A" w:rsidP="00A12C0A">
            <w:pPr>
              <w:jc w:val="center"/>
            </w:pPr>
            <w:r>
              <w:t>10:31</w:t>
            </w:r>
          </w:p>
        </w:tc>
        <w:tc>
          <w:tcPr>
            <w:tcW w:w="992" w:type="pct"/>
            <w:tcBorders>
              <w:top w:val="nil"/>
              <w:left w:val="nil"/>
              <w:bottom w:val="nil"/>
              <w:right w:val="nil"/>
            </w:tcBorders>
            <w:hideMark/>
          </w:tcPr>
          <w:p w14:paraId="511860A6" w14:textId="77777777" w:rsidR="00A12C0A" w:rsidRDefault="00A12C0A" w:rsidP="00A12C0A">
            <w:pPr>
              <w:jc w:val="center"/>
            </w:pPr>
            <w:r>
              <w:t>10:31</w:t>
            </w:r>
          </w:p>
        </w:tc>
      </w:tr>
      <w:tr w:rsidR="00A12C0A" w14:paraId="052894AA" w14:textId="77777777" w:rsidTr="00A12C0A">
        <w:tc>
          <w:tcPr>
            <w:tcW w:w="1021" w:type="pct"/>
            <w:tcBorders>
              <w:top w:val="nil"/>
              <w:left w:val="nil"/>
              <w:bottom w:val="nil"/>
              <w:right w:val="nil"/>
            </w:tcBorders>
            <w:hideMark/>
          </w:tcPr>
          <w:p w14:paraId="5FCD47ED" w14:textId="77777777" w:rsidR="00A12C0A" w:rsidRDefault="00A12C0A" w:rsidP="00A12C0A">
            <w:pPr>
              <w:jc w:val="center"/>
            </w:pPr>
            <w:r>
              <w:t>14/07/2018</w:t>
            </w:r>
          </w:p>
        </w:tc>
        <w:tc>
          <w:tcPr>
            <w:tcW w:w="998" w:type="pct"/>
            <w:tcBorders>
              <w:top w:val="nil"/>
              <w:left w:val="nil"/>
              <w:bottom w:val="nil"/>
              <w:right w:val="nil"/>
            </w:tcBorders>
            <w:hideMark/>
          </w:tcPr>
          <w:p w14:paraId="614D39CB" w14:textId="77777777" w:rsidR="00A12C0A" w:rsidRDefault="00A12C0A" w:rsidP="00A12C0A">
            <w:pPr>
              <w:jc w:val="center"/>
            </w:pPr>
            <w:r>
              <w:t>-</w:t>
            </w:r>
          </w:p>
        </w:tc>
        <w:tc>
          <w:tcPr>
            <w:tcW w:w="992" w:type="pct"/>
            <w:tcBorders>
              <w:top w:val="nil"/>
              <w:left w:val="nil"/>
              <w:bottom w:val="nil"/>
              <w:right w:val="nil"/>
            </w:tcBorders>
            <w:hideMark/>
          </w:tcPr>
          <w:p w14:paraId="6AAF13C2" w14:textId="77777777" w:rsidR="00A12C0A" w:rsidRDefault="00A12C0A" w:rsidP="00A12C0A">
            <w:pPr>
              <w:jc w:val="center"/>
            </w:pPr>
            <w:r>
              <w:t>11:26</w:t>
            </w:r>
          </w:p>
        </w:tc>
        <w:tc>
          <w:tcPr>
            <w:tcW w:w="998" w:type="pct"/>
            <w:tcBorders>
              <w:top w:val="nil"/>
              <w:left w:val="nil"/>
              <w:bottom w:val="nil"/>
              <w:right w:val="nil"/>
            </w:tcBorders>
            <w:hideMark/>
          </w:tcPr>
          <w:p w14:paraId="5995F2B6" w14:textId="77777777" w:rsidR="00A12C0A" w:rsidRDefault="00A12C0A" w:rsidP="00A12C0A">
            <w:pPr>
              <w:jc w:val="center"/>
            </w:pPr>
            <w:r>
              <w:t>10:05</w:t>
            </w:r>
          </w:p>
        </w:tc>
        <w:tc>
          <w:tcPr>
            <w:tcW w:w="992" w:type="pct"/>
            <w:tcBorders>
              <w:top w:val="nil"/>
              <w:left w:val="nil"/>
              <w:bottom w:val="nil"/>
              <w:right w:val="nil"/>
            </w:tcBorders>
            <w:hideMark/>
          </w:tcPr>
          <w:p w14:paraId="688D05E8" w14:textId="77777777" w:rsidR="00A12C0A" w:rsidRDefault="00A12C0A" w:rsidP="00A12C0A">
            <w:pPr>
              <w:jc w:val="center"/>
            </w:pPr>
            <w:r>
              <w:t>10:05</w:t>
            </w:r>
          </w:p>
        </w:tc>
      </w:tr>
      <w:tr w:rsidR="00A12C0A" w14:paraId="74FE9DFB" w14:textId="77777777" w:rsidTr="00A12C0A">
        <w:tc>
          <w:tcPr>
            <w:tcW w:w="1021" w:type="pct"/>
            <w:tcBorders>
              <w:top w:val="nil"/>
              <w:left w:val="nil"/>
              <w:bottom w:val="single" w:sz="4" w:space="0" w:color="auto"/>
              <w:right w:val="nil"/>
            </w:tcBorders>
            <w:hideMark/>
          </w:tcPr>
          <w:p w14:paraId="00DBE925" w14:textId="77777777" w:rsidR="00A12C0A" w:rsidRDefault="00A12C0A" w:rsidP="00A12C0A">
            <w:pPr>
              <w:jc w:val="center"/>
            </w:pPr>
            <w:r>
              <w:t>15/07/2018</w:t>
            </w:r>
          </w:p>
        </w:tc>
        <w:tc>
          <w:tcPr>
            <w:tcW w:w="998" w:type="pct"/>
            <w:tcBorders>
              <w:top w:val="nil"/>
              <w:left w:val="nil"/>
              <w:bottom w:val="single" w:sz="4" w:space="0" w:color="auto"/>
              <w:right w:val="nil"/>
            </w:tcBorders>
            <w:hideMark/>
          </w:tcPr>
          <w:p w14:paraId="0F8BEA70" w14:textId="77777777" w:rsidR="00A12C0A" w:rsidRDefault="00A12C0A" w:rsidP="00A12C0A">
            <w:pPr>
              <w:jc w:val="center"/>
            </w:pPr>
            <w:r>
              <w:t>-</w:t>
            </w:r>
          </w:p>
        </w:tc>
        <w:tc>
          <w:tcPr>
            <w:tcW w:w="992" w:type="pct"/>
            <w:tcBorders>
              <w:top w:val="nil"/>
              <w:left w:val="nil"/>
              <w:bottom w:val="single" w:sz="4" w:space="0" w:color="auto"/>
              <w:right w:val="nil"/>
            </w:tcBorders>
            <w:hideMark/>
          </w:tcPr>
          <w:p w14:paraId="05AD94CC" w14:textId="77777777" w:rsidR="00A12C0A" w:rsidRDefault="00A12C0A" w:rsidP="00A12C0A">
            <w:pPr>
              <w:jc w:val="center"/>
            </w:pPr>
            <w:r>
              <w:t>-</w:t>
            </w:r>
          </w:p>
        </w:tc>
        <w:tc>
          <w:tcPr>
            <w:tcW w:w="998" w:type="pct"/>
            <w:tcBorders>
              <w:top w:val="nil"/>
              <w:left w:val="nil"/>
              <w:bottom w:val="single" w:sz="4" w:space="0" w:color="auto"/>
              <w:right w:val="nil"/>
            </w:tcBorders>
            <w:hideMark/>
          </w:tcPr>
          <w:p w14:paraId="6F32075F" w14:textId="77777777" w:rsidR="00A12C0A" w:rsidRDefault="00A12C0A" w:rsidP="00A12C0A">
            <w:pPr>
              <w:jc w:val="center"/>
            </w:pPr>
            <w:r>
              <w:t>-</w:t>
            </w:r>
          </w:p>
        </w:tc>
        <w:tc>
          <w:tcPr>
            <w:tcW w:w="992" w:type="pct"/>
            <w:tcBorders>
              <w:top w:val="nil"/>
              <w:left w:val="nil"/>
              <w:bottom w:val="single" w:sz="4" w:space="0" w:color="auto"/>
              <w:right w:val="nil"/>
            </w:tcBorders>
            <w:hideMark/>
          </w:tcPr>
          <w:p w14:paraId="6D51C4FA" w14:textId="77777777" w:rsidR="00A12C0A" w:rsidRDefault="00A12C0A" w:rsidP="00A12C0A">
            <w:pPr>
              <w:jc w:val="center"/>
            </w:pPr>
            <w:r>
              <w:t>-</w:t>
            </w:r>
          </w:p>
        </w:tc>
      </w:tr>
    </w:tbl>
    <w:p w14:paraId="66FFAD6D" w14:textId="77777777" w:rsidR="00A12C0A" w:rsidRDefault="00A12C0A" w:rsidP="00A12C0A">
      <w:pPr>
        <w:spacing w:after="0" w:line="360" w:lineRule="auto"/>
        <w:jc w:val="both"/>
      </w:pPr>
    </w:p>
    <w:p w14:paraId="79AD298D" w14:textId="77777777" w:rsidR="00A12C0A" w:rsidRDefault="00A12C0A" w:rsidP="00A12C0A">
      <w:pPr>
        <w:spacing w:after="0" w:line="360" w:lineRule="auto"/>
        <w:jc w:val="both"/>
      </w:pPr>
    </w:p>
    <w:p w14:paraId="03200934" w14:textId="77777777" w:rsidR="00A12C0A" w:rsidRDefault="00A12C0A" w:rsidP="00FC385F">
      <w:pPr>
        <w:pStyle w:val="Heading8"/>
      </w:pPr>
      <w:bookmarkStart w:id="221" w:name="_Toc44516001"/>
      <w:r>
        <w:t>Field Data Uncertainty Propagation</w:t>
      </w:r>
      <w:bookmarkEnd w:id="221"/>
    </w:p>
    <w:p w14:paraId="7F0DB07B" w14:textId="77777777" w:rsidR="00A12C0A" w:rsidRDefault="00A12C0A" w:rsidP="00A12C0A">
      <w:pPr>
        <w:spacing w:after="0" w:line="360" w:lineRule="auto"/>
        <w:jc w:val="both"/>
      </w:pPr>
    </w:p>
    <w:p w14:paraId="06083B9E" w14:textId="1B35C275" w:rsidR="00130E7D" w:rsidRDefault="00A12C0A" w:rsidP="00B10DCA">
      <w:pPr>
        <w:spacing w:line="360" w:lineRule="auto"/>
        <w:jc w:val="both"/>
      </w:pPr>
      <w:r>
        <w:t>The uncertainty evaluation procedures described in Section 6.1 and 6.2 were applied to the raw measurements obtained in the campaign, enabling the various sources of uncertainty to be propagated through each stage of data processing (i.e. derivation of FAPAR and LAI from DHP-derived gap fraction measurements, SPAD-502 calibration, calculation of LCC from SPAD-502 values, averaging of measurements at the ESU level, and determination of CCC) to the final values of FAPAR and CCC per ESU.</w:t>
      </w:r>
    </w:p>
    <w:sectPr w:rsidR="00130E7D" w:rsidSect="00C036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C968B" w14:textId="77777777" w:rsidR="00F123E0" w:rsidRDefault="00F123E0" w:rsidP="0041691B">
      <w:r>
        <w:separator/>
      </w:r>
    </w:p>
  </w:endnote>
  <w:endnote w:type="continuationSeparator" w:id="0">
    <w:p w14:paraId="043694FC" w14:textId="77777777" w:rsidR="00F123E0" w:rsidRDefault="00F123E0" w:rsidP="0041691B">
      <w:r>
        <w:continuationSeparator/>
      </w:r>
    </w:p>
  </w:endnote>
  <w:endnote w:type="continuationNotice" w:id="1">
    <w:p w14:paraId="7EEEF513" w14:textId="77777777" w:rsidR="00F123E0" w:rsidRDefault="00F12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4499228"/>
      <w:docPartObj>
        <w:docPartGallery w:val="Page Numbers (Bottom of Page)"/>
        <w:docPartUnique/>
      </w:docPartObj>
    </w:sdtPr>
    <w:sdtEndPr>
      <w:rPr>
        <w:color w:val="7F7F7F" w:themeColor="background1" w:themeShade="7F"/>
        <w:spacing w:val="60"/>
      </w:rPr>
    </w:sdtEndPr>
    <w:sdtContent>
      <w:p w14:paraId="182BDA77" w14:textId="77777777" w:rsidR="00465F8E" w:rsidRDefault="00465F8E">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Pr>
            <w:noProof/>
          </w:rPr>
          <w:t>26</w:t>
        </w:r>
        <w:r>
          <w:rPr>
            <w:noProof/>
          </w:rPr>
          <w:fldChar w:fldCharType="end"/>
        </w:r>
        <w:r>
          <w:t xml:space="preserve"> | </w:t>
        </w:r>
        <w:r>
          <w:rPr>
            <w:color w:val="7F7F7F" w:themeColor="background1" w:themeShade="7F"/>
            <w:spacing w:val="60"/>
          </w:rPr>
          <w:t>Page</w:t>
        </w:r>
      </w:p>
    </w:sdtContent>
  </w:sdt>
  <w:p w14:paraId="6568C8F1" w14:textId="77777777" w:rsidR="00465F8E" w:rsidRDefault="00465F8E" w:rsidP="00416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45D36" w14:textId="77777777" w:rsidR="00465F8E" w:rsidRDefault="00465F8E" w:rsidP="00C036F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489902"/>
      <w:docPartObj>
        <w:docPartGallery w:val="Page Numbers (Bottom of Page)"/>
        <w:docPartUnique/>
      </w:docPartObj>
    </w:sdtPr>
    <w:sdtEndPr>
      <w:rPr>
        <w:color w:val="7F7F7F" w:themeColor="background1" w:themeShade="7F"/>
        <w:spacing w:val="60"/>
      </w:rPr>
    </w:sdtEndPr>
    <w:sdtContent>
      <w:p w14:paraId="009AF78A" w14:textId="164F6320" w:rsidR="00465F8E" w:rsidRDefault="00465F8E">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Pr>
            <w:noProof/>
          </w:rPr>
          <w:t>32</w:t>
        </w:r>
        <w:r>
          <w:rPr>
            <w:noProof/>
          </w:rPr>
          <w:fldChar w:fldCharType="end"/>
        </w:r>
        <w:r>
          <w:t xml:space="preserve"> | </w:t>
        </w:r>
        <w:r>
          <w:rPr>
            <w:color w:val="7F7F7F" w:themeColor="background1" w:themeShade="7F"/>
            <w:spacing w:val="60"/>
          </w:rPr>
          <w:t>Page</w:t>
        </w:r>
      </w:p>
    </w:sdtContent>
  </w:sdt>
  <w:p w14:paraId="5417254D" w14:textId="77777777" w:rsidR="00465F8E" w:rsidRDefault="00465F8E" w:rsidP="0041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236BE" w14:textId="77777777" w:rsidR="00F123E0" w:rsidRDefault="00F123E0" w:rsidP="0041691B">
      <w:r>
        <w:separator/>
      </w:r>
    </w:p>
  </w:footnote>
  <w:footnote w:type="continuationSeparator" w:id="0">
    <w:p w14:paraId="1AD4316F" w14:textId="77777777" w:rsidR="00F123E0" w:rsidRDefault="00F123E0" w:rsidP="0041691B">
      <w:r>
        <w:continuationSeparator/>
      </w:r>
    </w:p>
  </w:footnote>
  <w:footnote w:type="continuationNotice" w:id="1">
    <w:p w14:paraId="1B0A382D" w14:textId="77777777" w:rsidR="00F123E0" w:rsidRDefault="00F123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44387" w14:textId="77777777" w:rsidR="00465F8E" w:rsidRPr="00A4601C" w:rsidRDefault="00465F8E" w:rsidP="00416393">
    <w:pPr>
      <w:pStyle w:val="Header"/>
    </w:pPr>
    <w:r>
      <w:t>FRM</w:t>
    </w:r>
    <w:r w:rsidRPr="00A4601C">
      <w:t xml:space="preserve"> Protocols and Procedures</w:t>
    </w:r>
    <w:r>
      <w:t xml:space="preserve"> (FPP)</w:t>
    </w:r>
  </w:p>
  <w:p w14:paraId="302F983E" w14:textId="77777777" w:rsidR="00465F8E" w:rsidRDefault="00465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1049E"/>
    <w:multiLevelType w:val="hybridMultilevel"/>
    <w:tmpl w:val="959A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C6D75"/>
    <w:multiLevelType w:val="multilevel"/>
    <w:tmpl w:val="F804687C"/>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BE4EC3"/>
    <w:multiLevelType w:val="multilevel"/>
    <w:tmpl w:val="8F96F82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F86E9D"/>
    <w:multiLevelType w:val="hybridMultilevel"/>
    <w:tmpl w:val="96F240BA"/>
    <w:lvl w:ilvl="0" w:tplc="777C56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84D8D"/>
    <w:multiLevelType w:val="multilevel"/>
    <w:tmpl w:val="C786FD2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78354A"/>
    <w:multiLevelType w:val="multilevel"/>
    <w:tmpl w:val="031489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ind w:left="431" w:hanging="431"/>
      </w:pPr>
      <w:rPr>
        <w:rFonts w:hint="default"/>
      </w:rPr>
    </w:lvl>
    <w:lvl w:ilvl="6">
      <w:start w:val="1"/>
      <w:numFmt w:val="decimal"/>
      <w:pStyle w:val="Heading7"/>
      <w:lvlText w:val="%6.%7"/>
      <w:lvlJc w:val="left"/>
      <w:pPr>
        <w:ind w:left="578" w:hanging="578"/>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2" w:hanging="862"/>
      </w:pPr>
      <w:rPr>
        <w:rFonts w:hint="default"/>
      </w:rPr>
    </w:lvl>
  </w:abstractNum>
  <w:abstractNum w:abstractNumId="6" w15:restartNumberingAfterBreak="0">
    <w:nsid w:val="0EAF05DD"/>
    <w:multiLevelType w:val="hybridMultilevel"/>
    <w:tmpl w:val="36FE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CC7BBB"/>
    <w:multiLevelType w:val="hybridMultilevel"/>
    <w:tmpl w:val="EE90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D17DA"/>
    <w:multiLevelType w:val="hybridMultilevel"/>
    <w:tmpl w:val="F3A23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805BB6">
      <w:start w:val="50"/>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4C1017"/>
    <w:multiLevelType w:val="hybridMultilevel"/>
    <w:tmpl w:val="F8C41F4A"/>
    <w:lvl w:ilvl="0" w:tplc="777C56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31728"/>
    <w:multiLevelType w:val="hybridMultilevel"/>
    <w:tmpl w:val="235E1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75F39"/>
    <w:multiLevelType w:val="hybridMultilevel"/>
    <w:tmpl w:val="BBB8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740C22"/>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3" w15:restartNumberingAfterBreak="0">
    <w:nsid w:val="21AB4512"/>
    <w:multiLevelType w:val="hybridMultilevel"/>
    <w:tmpl w:val="2AE2924E"/>
    <w:lvl w:ilvl="0" w:tplc="777C56D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0A1AA6"/>
    <w:multiLevelType w:val="hybridMultilevel"/>
    <w:tmpl w:val="FBDCB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C21211"/>
    <w:multiLevelType w:val="hybridMultilevel"/>
    <w:tmpl w:val="8E8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F549E"/>
    <w:multiLevelType w:val="hybridMultilevel"/>
    <w:tmpl w:val="F0AA7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A401D2"/>
    <w:multiLevelType w:val="hybridMultilevel"/>
    <w:tmpl w:val="FD5C4D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49127E"/>
    <w:multiLevelType w:val="multilevel"/>
    <w:tmpl w:val="F6140BB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37E2231E"/>
    <w:multiLevelType w:val="hybridMultilevel"/>
    <w:tmpl w:val="6DB2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4424AF"/>
    <w:multiLevelType w:val="multilevel"/>
    <w:tmpl w:val="356CBED2"/>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21" w15:restartNumberingAfterBreak="0">
    <w:nsid w:val="3DEE057A"/>
    <w:multiLevelType w:val="hybridMultilevel"/>
    <w:tmpl w:val="9EE2C854"/>
    <w:lvl w:ilvl="0" w:tplc="777C56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F13757"/>
    <w:multiLevelType w:val="hybridMultilevel"/>
    <w:tmpl w:val="8BDA8C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73784"/>
    <w:multiLevelType w:val="multilevel"/>
    <w:tmpl w:val="17EAD582"/>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DFC05D7"/>
    <w:multiLevelType w:val="hybridMultilevel"/>
    <w:tmpl w:val="84CC1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7F3CD3"/>
    <w:multiLevelType w:val="hybridMultilevel"/>
    <w:tmpl w:val="7C929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35C4A63"/>
    <w:multiLevelType w:val="hybridMultilevel"/>
    <w:tmpl w:val="E8D82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7F73AF"/>
    <w:multiLevelType w:val="hybridMultilevel"/>
    <w:tmpl w:val="1728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175F5"/>
    <w:multiLevelType w:val="hybridMultilevel"/>
    <w:tmpl w:val="27BE04A8"/>
    <w:lvl w:ilvl="0" w:tplc="777C56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502A1"/>
    <w:multiLevelType w:val="multilevel"/>
    <w:tmpl w:val="0A1EA69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7E7AB8"/>
    <w:multiLevelType w:val="hybridMultilevel"/>
    <w:tmpl w:val="9360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275D6"/>
    <w:multiLevelType w:val="hybridMultilevel"/>
    <w:tmpl w:val="AC64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FE3714"/>
    <w:multiLevelType w:val="hybridMultilevel"/>
    <w:tmpl w:val="90DCF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AE1754"/>
    <w:multiLevelType w:val="hybridMultilevel"/>
    <w:tmpl w:val="3D8C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830D1"/>
    <w:multiLevelType w:val="hybridMultilevel"/>
    <w:tmpl w:val="EEC80844"/>
    <w:lvl w:ilvl="0" w:tplc="777C56D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031FA"/>
    <w:multiLevelType w:val="multilevel"/>
    <w:tmpl w:val="E9A28BE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C91802"/>
    <w:multiLevelType w:val="multilevel"/>
    <w:tmpl w:val="61D4646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2D401B1"/>
    <w:multiLevelType w:val="multilevel"/>
    <w:tmpl w:val="0BCE4B96"/>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16"/>
  </w:num>
  <w:num w:numId="6">
    <w:abstractNumId w:val="24"/>
  </w:num>
  <w:num w:numId="7">
    <w:abstractNumId w:val="26"/>
  </w:num>
  <w:num w:numId="8">
    <w:abstractNumId w:val="31"/>
  </w:num>
  <w:num w:numId="9">
    <w:abstractNumId w:val="15"/>
  </w:num>
  <w:num w:numId="10">
    <w:abstractNumId w:val="27"/>
  </w:num>
  <w:num w:numId="11">
    <w:abstractNumId w:val="22"/>
  </w:num>
  <w:num w:numId="12">
    <w:abstractNumId w:val="7"/>
  </w:num>
  <w:num w:numId="13">
    <w:abstractNumId w:val="19"/>
  </w:num>
  <w:num w:numId="14">
    <w:abstractNumId w:val="17"/>
  </w:num>
  <w:num w:numId="15">
    <w:abstractNumId w:val="11"/>
  </w:num>
  <w:num w:numId="16">
    <w:abstractNumId w:val="3"/>
  </w:num>
  <w:num w:numId="17">
    <w:abstractNumId w:val="28"/>
  </w:num>
  <w:num w:numId="18">
    <w:abstractNumId w:val="0"/>
  </w:num>
  <w:num w:numId="19">
    <w:abstractNumId w:val="21"/>
  </w:num>
  <w:num w:numId="20">
    <w:abstractNumId w:val="34"/>
  </w:num>
  <w:num w:numId="21">
    <w:abstractNumId w:val="36"/>
  </w:num>
  <w:num w:numId="22">
    <w:abstractNumId w:val="14"/>
  </w:num>
  <w:num w:numId="23">
    <w:abstractNumId w:val="23"/>
  </w:num>
  <w:num w:numId="24">
    <w:abstractNumId w:val="4"/>
  </w:num>
  <w:num w:numId="25">
    <w:abstractNumId w:val="29"/>
  </w:num>
  <w:num w:numId="26">
    <w:abstractNumId w:val="32"/>
  </w:num>
  <w:num w:numId="27">
    <w:abstractNumId w:val="9"/>
  </w:num>
  <w:num w:numId="28">
    <w:abstractNumId w:val="13"/>
  </w:num>
  <w:num w:numId="29">
    <w:abstractNumId w:val="30"/>
  </w:num>
  <w:num w:numId="30">
    <w:abstractNumId w:val="18"/>
  </w:num>
  <w:num w:numId="31">
    <w:abstractNumId w:val="35"/>
  </w:num>
  <w:num w:numId="32">
    <w:abstractNumId w:val="37"/>
  </w:num>
  <w:num w:numId="33">
    <w:abstractNumId w:val="1"/>
  </w:num>
  <w:num w:numId="34">
    <w:abstractNumId w:val="2"/>
  </w:num>
  <w:num w:numId="35">
    <w:abstractNumId w:val="8"/>
  </w:num>
  <w:num w:numId="36">
    <w:abstractNumId w:val="33"/>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ED"/>
    <w:rsid w:val="0000107B"/>
    <w:rsid w:val="00001C2D"/>
    <w:rsid w:val="00002DAE"/>
    <w:rsid w:val="000043E3"/>
    <w:rsid w:val="000048C2"/>
    <w:rsid w:val="00004E8F"/>
    <w:rsid w:val="000059C7"/>
    <w:rsid w:val="00010B0A"/>
    <w:rsid w:val="00012FD2"/>
    <w:rsid w:val="000143A8"/>
    <w:rsid w:val="0001544F"/>
    <w:rsid w:val="000157AF"/>
    <w:rsid w:val="000158D3"/>
    <w:rsid w:val="000170B7"/>
    <w:rsid w:val="00024711"/>
    <w:rsid w:val="00024FF8"/>
    <w:rsid w:val="00026B5C"/>
    <w:rsid w:val="000275D2"/>
    <w:rsid w:val="00030B93"/>
    <w:rsid w:val="000322D8"/>
    <w:rsid w:val="00032880"/>
    <w:rsid w:val="00032FD7"/>
    <w:rsid w:val="00036914"/>
    <w:rsid w:val="000378E2"/>
    <w:rsid w:val="00037A4E"/>
    <w:rsid w:val="00037B1F"/>
    <w:rsid w:val="0004011E"/>
    <w:rsid w:val="00040D8E"/>
    <w:rsid w:val="00042E0C"/>
    <w:rsid w:val="0004591B"/>
    <w:rsid w:val="00050200"/>
    <w:rsid w:val="00050652"/>
    <w:rsid w:val="00050C73"/>
    <w:rsid w:val="000514B9"/>
    <w:rsid w:val="00052097"/>
    <w:rsid w:val="00053A09"/>
    <w:rsid w:val="000563F4"/>
    <w:rsid w:val="00056475"/>
    <w:rsid w:val="000573DA"/>
    <w:rsid w:val="00061D8F"/>
    <w:rsid w:val="000625DC"/>
    <w:rsid w:val="0006283D"/>
    <w:rsid w:val="000679E4"/>
    <w:rsid w:val="00067A0C"/>
    <w:rsid w:val="00070782"/>
    <w:rsid w:val="00070E37"/>
    <w:rsid w:val="00072B87"/>
    <w:rsid w:val="00075BAF"/>
    <w:rsid w:val="00075E26"/>
    <w:rsid w:val="0007612D"/>
    <w:rsid w:val="00076FFC"/>
    <w:rsid w:val="00077E2C"/>
    <w:rsid w:val="00080E22"/>
    <w:rsid w:val="000829EB"/>
    <w:rsid w:val="000860D1"/>
    <w:rsid w:val="000874C9"/>
    <w:rsid w:val="00092224"/>
    <w:rsid w:val="00095102"/>
    <w:rsid w:val="00095880"/>
    <w:rsid w:val="0009627D"/>
    <w:rsid w:val="00096CA4"/>
    <w:rsid w:val="00096DF3"/>
    <w:rsid w:val="0009752A"/>
    <w:rsid w:val="00097FA4"/>
    <w:rsid w:val="000A4E64"/>
    <w:rsid w:val="000B0A8D"/>
    <w:rsid w:val="000B0EB9"/>
    <w:rsid w:val="000B2245"/>
    <w:rsid w:val="000B2A77"/>
    <w:rsid w:val="000B479B"/>
    <w:rsid w:val="000B7ED3"/>
    <w:rsid w:val="000C0485"/>
    <w:rsid w:val="000C0F32"/>
    <w:rsid w:val="000C17F5"/>
    <w:rsid w:val="000C2539"/>
    <w:rsid w:val="000C47AB"/>
    <w:rsid w:val="000C496A"/>
    <w:rsid w:val="000C57C9"/>
    <w:rsid w:val="000C75BE"/>
    <w:rsid w:val="000C7DEE"/>
    <w:rsid w:val="000D2A1E"/>
    <w:rsid w:val="000D2B92"/>
    <w:rsid w:val="000D34C0"/>
    <w:rsid w:val="000D380D"/>
    <w:rsid w:val="000D3DB0"/>
    <w:rsid w:val="000D3E8A"/>
    <w:rsid w:val="000D3F1E"/>
    <w:rsid w:val="000D4455"/>
    <w:rsid w:val="000D48DA"/>
    <w:rsid w:val="000D5084"/>
    <w:rsid w:val="000D59A5"/>
    <w:rsid w:val="000D5B8B"/>
    <w:rsid w:val="000D6BC0"/>
    <w:rsid w:val="000D7DD6"/>
    <w:rsid w:val="000E07B6"/>
    <w:rsid w:val="000E27EB"/>
    <w:rsid w:val="000E3E67"/>
    <w:rsid w:val="000E3FB6"/>
    <w:rsid w:val="000E54E1"/>
    <w:rsid w:val="000E73FC"/>
    <w:rsid w:val="000E7E34"/>
    <w:rsid w:val="000F07FB"/>
    <w:rsid w:val="000F0D3A"/>
    <w:rsid w:val="000F0DF3"/>
    <w:rsid w:val="000F1C68"/>
    <w:rsid w:val="000F314C"/>
    <w:rsid w:val="000F5084"/>
    <w:rsid w:val="00100101"/>
    <w:rsid w:val="0010024A"/>
    <w:rsid w:val="00100A9B"/>
    <w:rsid w:val="001022B7"/>
    <w:rsid w:val="00102EF0"/>
    <w:rsid w:val="00102F3E"/>
    <w:rsid w:val="001041C5"/>
    <w:rsid w:val="00105321"/>
    <w:rsid w:val="00105B3B"/>
    <w:rsid w:val="00106031"/>
    <w:rsid w:val="001066D2"/>
    <w:rsid w:val="00106768"/>
    <w:rsid w:val="00107910"/>
    <w:rsid w:val="00110339"/>
    <w:rsid w:val="00111C68"/>
    <w:rsid w:val="0011208A"/>
    <w:rsid w:val="00112E70"/>
    <w:rsid w:val="0011325F"/>
    <w:rsid w:val="00113881"/>
    <w:rsid w:val="00113BFC"/>
    <w:rsid w:val="001148D2"/>
    <w:rsid w:val="001158AB"/>
    <w:rsid w:val="00122DE9"/>
    <w:rsid w:val="00123FE6"/>
    <w:rsid w:val="0012431D"/>
    <w:rsid w:val="00124497"/>
    <w:rsid w:val="0012602C"/>
    <w:rsid w:val="0012684E"/>
    <w:rsid w:val="001309DD"/>
    <w:rsid w:val="00130C74"/>
    <w:rsid w:val="00130E7D"/>
    <w:rsid w:val="0013177D"/>
    <w:rsid w:val="00131D87"/>
    <w:rsid w:val="00132082"/>
    <w:rsid w:val="001321BA"/>
    <w:rsid w:val="001323A7"/>
    <w:rsid w:val="00132903"/>
    <w:rsid w:val="001344DD"/>
    <w:rsid w:val="00134846"/>
    <w:rsid w:val="00134A8E"/>
    <w:rsid w:val="0013508E"/>
    <w:rsid w:val="001359B3"/>
    <w:rsid w:val="00136F6F"/>
    <w:rsid w:val="00140CBA"/>
    <w:rsid w:val="00140CC5"/>
    <w:rsid w:val="001415DE"/>
    <w:rsid w:val="00143463"/>
    <w:rsid w:val="00144403"/>
    <w:rsid w:val="00145D75"/>
    <w:rsid w:val="00147264"/>
    <w:rsid w:val="0015062B"/>
    <w:rsid w:val="001524A9"/>
    <w:rsid w:val="00152A4A"/>
    <w:rsid w:val="0015325E"/>
    <w:rsid w:val="00154320"/>
    <w:rsid w:val="00155363"/>
    <w:rsid w:val="00155563"/>
    <w:rsid w:val="00155A07"/>
    <w:rsid w:val="0015610A"/>
    <w:rsid w:val="001575D2"/>
    <w:rsid w:val="001631C6"/>
    <w:rsid w:val="0016370B"/>
    <w:rsid w:val="0016398B"/>
    <w:rsid w:val="00163BC5"/>
    <w:rsid w:val="001649B2"/>
    <w:rsid w:val="00164B15"/>
    <w:rsid w:val="00164C84"/>
    <w:rsid w:val="00165FE8"/>
    <w:rsid w:val="0016656E"/>
    <w:rsid w:val="0017076E"/>
    <w:rsid w:val="001710B9"/>
    <w:rsid w:val="001723E4"/>
    <w:rsid w:val="001733C4"/>
    <w:rsid w:val="00173871"/>
    <w:rsid w:val="00173AB9"/>
    <w:rsid w:val="00173E40"/>
    <w:rsid w:val="00174AE6"/>
    <w:rsid w:val="001754E1"/>
    <w:rsid w:val="001761FD"/>
    <w:rsid w:val="00176520"/>
    <w:rsid w:val="00176E02"/>
    <w:rsid w:val="00180B0E"/>
    <w:rsid w:val="00182015"/>
    <w:rsid w:val="00182C7D"/>
    <w:rsid w:val="00184240"/>
    <w:rsid w:val="001844B8"/>
    <w:rsid w:val="0018561B"/>
    <w:rsid w:val="00186B87"/>
    <w:rsid w:val="00187B79"/>
    <w:rsid w:val="00190E8A"/>
    <w:rsid w:val="001935FE"/>
    <w:rsid w:val="0019447C"/>
    <w:rsid w:val="00194FD1"/>
    <w:rsid w:val="00196178"/>
    <w:rsid w:val="00196196"/>
    <w:rsid w:val="00197839"/>
    <w:rsid w:val="00197A38"/>
    <w:rsid w:val="00197B8F"/>
    <w:rsid w:val="001A01B0"/>
    <w:rsid w:val="001A04C3"/>
    <w:rsid w:val="001A0895"/>
    <w:rsid w:val="001A288D"/>
    <w:rsid w:val="001A3224"/>
    <w:rsid w:val="001A7BBA"/>
    <w:rsid w:val="001B0BC0"/>
    <w:rsid w:val="001B355B"/>
    <w:rsid w:val="001B4639"/>
    <w:rsid w:val="001B4DD2"/>
    <w:rsid w:val="001B6AA4"/>
    <w:rsid w:val="001B7E46"/>
    <w:rsid w:val="001C1474"/>
    <w:rsid w:val="001C1A28"/>
    <w:rsid w:val="001C20CF"/>
    <w:rsid w:val="001C3E14"/>
    <w:rsid w:val="001C45CF"/>
    <w:rsid w:val="001C585D"/>
    <w:rsid w:val="001C5B6B"/>
    <w:rsid w:val="001D05CD"/>
    <w:rsid w:val="001D412C"/>
    <w:rsid w:val="001D44D5"/>
    <w:rsid w:val="001D6094"/>
    <w:rsid w:val="001D60F4"/>
    <w:rsid w:val="001D7332"/>
    <w:rsid w:val="001D79B4"/>
    <w:rsid w:val="001E1BB0"/>
    <w:rsid w:val="001E28E7"/>
    <w:rsid w:val="001E3380"/>
    <w:rsid w:val="001E43CF"/>
    <w:rsid w:val="001E489B"/>
    <w:rsid w:val="001E4E80"/>
    <w:rsid w:val="001F0BE4"/>
    <w:rsid w:val="001F2B83"/>
    <w:rsid w:val="001F2D54"/>
    <w:rsid w:val="001F4280"/>
    <w:rsid w:val="001F570E"/>
    <w:rsid w:val="001F59C5"/>
    <w:rsid w:val="001F7028"/>
    <w:rsid w:val="0020274A"/>
    <w:rsid w:val="00202B75"/>
    <w:rsid w:val="002051C5"/>
    <w:rsid w:val="002126E9"/>
    <w:rsid w:val="002151B2"/>
    <w:rsid w:val="00215C46"/>
    <w:rsid w:val="002169D9"/>
    <w:rsid w:val="00217748"/>
    <w:rsid w:val="002178E6"/>
    <w:rsid w:val="0022027C"/>
    <w:rsid w:val="00222F4F"/>
    <w:rsid w:val="002236AB"/>
    <w:rsid w:val="002238E6"/>
    <w:rsid w:val="002255EE"/>
    <w:rsid w:val="00225958"/>
    <w:rsid w:val="0022636E"/>
    <w:rsid w:val="00226911"/>
    <w:rsid w:val="0022744F"/>
    <w:rsid w:val="00227C2A"/>
    <w:rsid w:val="002321E7"/>
    <w:rsid w:val="0023304F"/>
    <w:rsid w:val="0023340C"/>
    <w:rsid w:val="00233AEC"/>
    <w:rsid w:val="00235492"/>
    <w:rsid w:val="00236245"/>
    <w:rsid w:val="00237FFD"/>
    <w:rsid w:val="00241436"/>
    <w:rsid w:val="00242368"/>
    <w:rsid w:val="00244E98"/>
    <w:rsid w:val="00245642"/>
    <w:rsid w:val="002466BE"/>
    <w:rsid w:val="00247619"/>
    <w:rsid w:val="00247A4F"/>
    <w:rsid w:val="00250BAF"/>
    <w:rsid w:val="002519DD"/>
    <w:rsid w:val="00253B65"/>
    <w:rsid w:val="00255242"/>
    <w:rsid w:val="00257248"/>
    <w:rsid w:val="00257D7B"/>
    <w:rsid w:val="00257EC8"/>
    <w:rsid w:val="00262CDA"/>
    <w:rsid w:val="00263C16"/>
    <w:rsid w:val="00263F51"/>
    <w:rsid w:val="002657FF"/>
    <w:rsid w:val="002658E7"/>
    <w:rsid w:val="00266160"/>
    <w:rsid w:val="00266449"/>
    <w:rsid w:val="00267220"/>
    <w:rsid w:val="00270570"/>
    <w:rsid w:val="00270AB1"/>
    <w:rsid w:val="00271A41"/>
    <w:rsid w:val="00272739"/>
    <w:rsid w:val="002753E9"/>
    <w:rsid w:val="00275D57"/>
    <w:rsid w:val="002765B6"/>
    <w:rsid w:val="00277A05"/>
    <w:rsid w:val="00277B7A"/>
    <w:rsid w:val="0028022E"/>
    <w:rsid w:val="00281007"/>
    <w:rsid w:val="00282980"/>
    <w:rsid w:val="00283425"/>
    <w:rsid w:val="00285262"/>
    <w:rsid w:val="00287EBE"/>
    <w:rsid w:val="00290165"/>
    <w:rsid w:val="00290892"/>
    <w:rsid w:val="00290CB7"/>
    <w:rsid w:val="002946BE"/>
    <w:rsid w:val="00295D96"/>
    <w:rsid w:val="002971D1"/>
    <w:rsid w:val="00297AF5"/>
    <w:rsid w:val="002A0DA2"/>
    <w:rsid w:val="002A193D"/>
    <w:rsid w:val="002A2F35"/>
    <w:rsid w:val="002A3C12"/>
    <w:rsid w:val="002A473A"/>
    <w:rsid w:val="002A48DD"/>
    <w:rsid w:val="002A519C"/>
    <w:rsid w:val="002A5CA0"/>
    <w:rsid w:val="002A6FA5"/>
    <w:rsid w:val="002A74EB"/>
    <w:rsid w:val="002B0A62"/>
    <w:rsid w:val="002B0C03"/>
    <w:rsid w:val="002B1C0E"/>
    <w:rsid w:val="002B21C7"/>
    <w:rsid w:val="002B2205"/>
    <w:rsid w:val="002B2ECA"/>
    <w:rsid w:val="002B366E"/>
    <w:rsid w:val="002B4215"/>
    <w:rsid w:val="002B5449"/>
    <w:rsid w:val="002B5C05"/>
    <w:rsid w:val="002B64B0"/>
    <w:rsid w:val="002B6D1D"/>
    <w:rsid w:val="002B74E8"/>
    <w:rsid w:val="002C08E0"/>
    <w:rsid w:val="002C112C"/>
    <w:rsid w:val="002C1AE7"/>
    <w:rsid w:val="002C3DFC"/>
    <w:rsid w:val="002C4D1C"/>
    <w:rsid w:val="002C4E7D"/>
    <w:rsid w:val="002C512B"/>
    <w:rsid w:val="002C5D71"/>
    <w:rsid w:val="002C64A9"/>
    <w:rsid w:val="002C6D0A"/>
    <w:rsid w:val="002D1B87"/>
    <w:rsid w:val="002D3831"/>
    <w:rsid w:val="002D42FB"/>
    <w:rsid w:val="002D4AAD"/>
    <w:rsid w:val="002E2590"/>
    <w:rsid w:val="002E2A65"/>
    <w:rsid w:val="002E308E"/>
    <w:rsid w:val="002E454D"/>
    <w:rsid w:val="002E4E2F"/>
    <w:rsid w:val="002E7C0F"/>
    <w:rsid w:val="002E7F46"/>
    <w:rsid w:val="002F032E"/>
    <w:rsid w:val="002F0388"/>
    <w:rsid w:val="002F1F7E"/>
    <w:rsid w:val="002F28C2"/>
    <w:rsid w:val="002F2AB0"/>
    <w:rsid w:val="002F30F5"/>
    <w:rsid w:val="002F5983"/>
    <w:rsid w:val="002F636D"/>
    <w:rsid w:val="002F6442"/>
    <w:rsid w:val="002F7504"/>
    <w:rsid w:val="0030087D"/>
    <w:rsid w:val="0030137D"/>
    <w:rsid w:val="00302294"/>
    <w:rsid w:val="00303B3B"/>
    <w:rsid w:val="0030449D"/>
    <w:rsid w:val="00304FF5"/>
    <w:rsid w:val="00305694"/>
    <w:rsid w:val="00305B17"/>
    <w:rsid w:val="003101EA"/>
    <w:rsid w:val="00310462"/>
    <w:rsid w:val="003118F1"/>
    <w:rsid w:val="00313014"/>
    <w:rsid w:val="00313C17"/>
    <w:rsid w:val="0031449C"/>
    <w:rsid w:val="003150BB"/>
    <w:rsid w:val="0031584F"/>
    <w:rsid w:val="00317A13"/>
    <w:rsid w:val="00320F09"/>
    <w:rsid w:val="003219C4"/>
    <w:rsid w:val="003219E9"/>
    <w:rsid w:val="00322975"/>
    <w:rsid w:val="00322D7F"/>
    <w:rsid w:val="00323776"/>
    <w:rsid w:val="00323C73"/>
    <w:rsid w:val="00324898"/>
    <w:rsid w:val="00326391"/>
    <w:rsid w:val="003305D2"/>
    <w:rsid w:val="003335EE"/>
    <w:rsid w:val="003345AE"/>
    <w:rsid w:val="00340517"/>
    <w:rsid w:val="00340825"/>
    <w:rsid w:val="00342105"/>
    <w:rsid w:val="00343EDD"/>
    <w:rsid w:val="0034542B"/>
    <w:rsid w:val="0034582C"/>
    <w:rsid w:val="00346314"/>
    <w:rsid w:val="003465AE"/>
    <w:rsid w:val="003467FD"/>
    <w:rsid w:val="00351621"/>
    <w:rsid w:val="00351AE4"/>
    <w:rsid w:val="0035328A"/>
    <w:rsid w:val="00353CFB"/>
    <w:rsid w:val="00356480"/>
    <w:rsid w:val="003567F8"/>
    <w:rsid w:val="0035683C"/>
    <w:rsid w:val="00360CD8"/>
    <w:rsid w:val="00365C37"/>
    <w:rsid w:val="00367892"/>
    <w:rsid w:val="00370CE2"/>
    <w:rsid w:val="00372A58"/>
    <w:rsid w:val="00372A84"/>
    <w:rsid w:val="00375166"/>
    <w:rsid w:val="00376E1C"/>
    <w:rsid w:val="00376F1F"/>
    <w:rsid w:val="0037720E"/>
    <w:rsid w:val="00380A63"/>
    <w:rsid w:val="00381DD7"/>
    <w:rsid w:val="0038472E"/>
    <w:rsid w:val="00385B4B"/>
    <w:rsid w:val="00385D6C"/>
    <w:rsid w:val="00385D75"/>
    <w:rsid w:val="00387B92"/>
    <w:rsid w:val="00392059"/>
    <w:rsid w:val="003934AA"/>
    <w:rsid w:val="00393BEE"/>
    <w:rsid w:val="003952CA"/>
    <w:rsid w:val="00395D51"/>
    <w:rsid w:val="00396933"/>
    <w:rsid w:val="003975A7"/>
    <w:rsid w:val="0039784D"/>
    <w:rsid w:val="003A0299"/>
    <w:rsid w:val="003A0BF7"/>
    <w:rsid w:val="003A0BFD"/>
    <w:rsid w:val="003A1B11"/>
    <w:rsid w:val="003A2252"/>
    <w:rsid w:val="003A23E1"/>
    <w:rsid w:val="003A325D"/>
    <w:rsid w:val="003A4BC5"/>
    <w:rsid w:val="003B16ED"/>
    <w:rsid w:val="003B316B"/>
    <w:rsid w:val="003B4982"/>
    <w:rsid w:val="003B529C"/>
    <w:rsid w:val="003C006E"/>
    <w:rsid w:val="003C1FCB"/>
    <w:rsid w:val="003C3C06"/>
    <w:rsid w:val="003C4600"/>
    <w:rsid w:val="003C564B"/>
    <w:rsid w:val="003C649A"/>
    <w:rsid w:val="003C718D"/>
    <w:rsid w:val="003D0F14"/>
    <w:rsid w:val="003D1909"/>
    <w:rsid w:val="003D1EBC"/>
    <w:rsid w:val="003D38BB"/>
    <w:rsid w:val="003D3CD0"/>
    <w:rsid w:val="003D4E11"/>
    <w:rsid w:val="003D6D3C"/>
    <w:rsid w:val="003E0076"/>
    <w:rsid w:val="003E0189"/>
    <w:rsid w:val="003E0329"/>
    <w:rsid w:val="003E3CD9"/>
    <w:rsid w:val="003E5005"/>
    <w:rsid w:val="003E5DCB"/>
    <w:rsid w:val="003E6737"/>
    <w:rsid w:val="003E6B1A"/>
    <w:rsid w:val="003F08BB"/>
    <w:rsid w:val="003F11DE"/>
    <w:rsid w:val="003F20AD"/>
    <w:rsid w:val="003F4854"/>
    <w:rsid w:val="003F4A1D"/>
    <w:rsid w:val="003F5B4F"/>
    <w:rsid w:val="003F625F"/>
    <w:rsid w:val="003F7008"/>
    <w:rsid w:val="003F7D3B"/>
    <w:rsid w:val="004012C7"/>
    <w:rsid w:val="004014C8"/>
    <w:rsid w:val="004023CE"/>
    <w:rsid w:val="0040296E"/>
    <w:rsid w:val="00402C5E"/>
    <w:rsid w:val="004060C8"/>
    <w:rsid w:val="004068B8"/>
    <w:rsid w:val="00406B63"/>
    <w:rsid w:val="004072CC"/>
    <w:rsid w:val="00407F2A"/>
    <w:rsid w:val="0041010E"/>
    <w:rsid w:val="00410D75"/>
    <w:rsid w:val="004115D1"/>
    <w:rsid w:val="00412A5C"/>
    <w:rsid w:val="00413AE7"/>
    <w:rsid w:val="004145EE"/>
    <w:rsid w:val="00415C4B"/>
    <w:rsid w:val="00416393"/>
    <w:rsid w:val="0041691B"/>
    <w:rsid w:val="00416DD5"/>
    <w:rsid w:val="00417733"/>
    <w:rsid w:val="00421B0A"/>
    <w:rsid w:val="00422CD8"/>
    <w:rsid w:val="004254D0"/>
    <w:rsid w:val="00425642"/>
    <w:rsid w:val="00426358"/>
    <w:rsid w:val="00426C3F"/>
    <w:rsid w:val="00431645"/>
    <w:rsid w:val="00431719"/>
    <w:rsid w:val="00433324"/>
    <w:rsid w:val="0043413C"/>
    <w:rsid w:val="004342DF"/>
    <w:rsid w:val="004347C5"/>
    <w:rsid w:val="004350E6"/>
    <w:rsid w:val="0043580F"/>
    <w:rsid w:val="00436A5C"/>
    <w:rsid w:val="0043739E"/>
    <w:rsid w:val="004429FF"/>
    <w:rsid w:val="00443DE0"/>
    <w:rsid w:val="00445122"/>
    <w:rsid w:val="00445137"/>
    <w:rsid w:val="00445333"/>
    <w:rsid w:val="00446F55"/>
    <w:rsid w:val="00447970"/>
    <w:rsid w:val="00447C2F"/>
    <w:rsid w:val="00450737"/>
    <w:rsid w:val="0045329C"/>
    <w:rsid w:val="004544EA"/>
    <w:rsid w:val="00456D15"/>
    <w:rsid w:val="004575E9"/>
    <w:rsid w:val="0045795D"/>
    <w:rsid w:val="004603E9"/>
    <w:rsid w:val="004615BD"/>
    <w:rsid w:val="004628C7"/>
    <w:rsid w:val="00463F10"/>
    <w:rsid w:val="00465234"/>
    <w:rsid w:val="004653FF"/>
    <w:rsid w:val="0046592B"/>
    <w:rsid w:val="00465AFF"/>
    <w:rsid w:val="00465DF7"/>
    <w:rsid w:val="00465F8E"/>
    <w:rsid w:val="004728AC"/>
    <w:rsid w:val="004743C9"/>
    <w:rsid w:val="00474A6A"/>
    <w:rsid w:val="004751CB"/>
    <w:rsid w:val="0047781B"/>
    <w:rsid w:val="004842C0"/>
    <w:rsid w:val="00484C5F"/>
    <w:rsid w:val="0048599E"/>
    <w:rsid w:val="00485E1A"/>
    <w:rsid w:val="0048766A"/>
    <w:rsid w:val="004912BA"/>
    <w:rsid w:val="00491DBF"/>
    <w:rsid w:val="004945A0"/>
    <w:rsid w:val="00494B4E"/>
    <w:rsid w:val="00494F7B"/>
    <w:rsid w:val="004A138E"/>
    <w:rsid w:val="004A51CA"/>
    <w:rsid w:val="004B03CF"/>
    <w:rsid w:val="004B3069"/>
    <w:rsid w:val="004B3B7F"/>
    <w:rsid w:val="004B50DF"/>
    <w:rsid w:val="004B66FD"/>
    <w:rsid w:val="004B73AB"/>
    <w:rsid w:val="004C045F"/>
    <w:rsid w:val="004C14C4"/>
    <w:rsid w:val="004C1AD5"/>
    <w:rsid w:val="004C2381"/>
    <w:rsid w:val="004C2C45"/>
    <w:rsid w:val="004C3AE3"/>
    <w:rsid w:val="004C3B63"/>
    <w:rsid w:val="004C468D"/>
    <w:rsid w:val="004C4F8C"/>
    <w:rsid w:val="004C6D6D"/>
    <w:rsid w:val="004D1198"/>
    <w:rsid w:val="004D12E7"/>
    <w:rsid w:val="004D2822"/>
    <w:rsid w:val="004D3812"/>
    <w:rsid w:val="004D6829"/>
    <w:rsid w:val="004D7C0F"/>
    <w:rsid w:val="004E04A7"/>
    <w:rsid w:val="004E0813"/>
    <w:rsid w:val="004E0B50"/>
    <w:rsid w:val="004E1603"/>
    <w:rsid w:val="004E2938"/>
    <w:rsid w:val="004E34B8"/>
    <w:rsid w:val="004E3C9C"/>
    <w:rsid w:val="004E6120"/>
    <w:rsid w:val="004E7DAE"/>
    <w:rsid w:val="004F1EAB"/>
    <w:rsid w:val="004F3B15"/>
    <w:rsid w:val="004F4BBF"/>
    <w:rsid w:val="004F5A72"/>
    <w:rsid w:val="004F6B72"/>
    <w:rsid w:val="0050034E"/>
    <w:rsid w:val="0050120C"/>
    <w:rsid w:val="00502447"/>
    <w:rsid w:val="0050348C"/>
    <w:rsid w:val="005045D2"/>
    <w:rsid w:val="00507258"/>
    <w:rsid w:val="005078C6"/>
    <w:rsid w:val="0051016A"/>
    <w:rsid w:val="00510C36"/>
    <w:rsid w:val="005116A1"/>
    <w:rsid w:val="00511C1E"/>
    <w:rsid w:val="005155D0"/>
    <w:rsid w:val="00515DD9"/>
    <w:rsid w:val="005203FE"/>
    <w:rsid w:val="00520788"/>
    <w:rsid w:val="005211FC"/>
    <w:rsid w:val="0052274B"/>
    <w:rsid w:val="00522956"/>
    <w:rsid w:val="005233BB"/>
    <w:rsid w:val="00525DD6"/>
    <w:rsid w:val="00526699"/>
    <w:rsid w:val="00531368"/>
    <w:rsid w:val="00532B74"/>
    <w:rsid w:val="005331A7"/>
    <w:rsid w:val="005341DA"/>
    <w:rsid w:val="00535FAE"/>
    <w:rsid w:val="005379ED"/>
    <w:rsid w:val="00542603"/>
    <w:rsid w:val="005438E0"/>
    <w:rsid w:val="00543DD8"/>
    <w:rsid w:val="00544500"/>
    <w:rsid w:val="00551DBE"/>
    <w:rsid w:val="005523A6"/>
    <w:rsid w:val="00553A91"/>
    <w:rsid w:val="00554877"/>
    <w:rsid w:val="00556DD5"/>
    <w:rsid w:val="00556F35"/>
    <w:rsid w:val="005572EC"/>
    <w:rsid w:val="00560A81"/>
    <w:rsid w:val="00560B95"/>
    <w:rsid w:val="00560CF0"/>
    <w:rsid w:val="00561470"/>
    <w:rsid w:val="0056579D"/>
    <w:rsid w:val="00565D00"/>
    <w:rsid w:val="00565F6E"/>
    <w:rsid w:val="005672EE"/>
    <w:rsid w:val="00570B37"/>
    <w:rsid w:val="00570C9A"/>
    <w:rsid w:val="0057163D"/>
    <w:rsid w:val="00571987"/>
    <w:rsid w:val="00571FF9"/>
    <w:rsid w:val="005741F9"/>
    <w:rsid w:val="00575E87"/>
    <w:rsid w:val="00576A7A"/>
    <w:rsid w:val="00576E8E"/>
    <w:rsid w:val="00580AFF"/>
    <w:rsid w:val="00582290"/>
    <w:rsid w:val="00586F8F"/>
    <w:rsid w:val="005878FE"/>
    <w:rsid w:val="00587EB2"/>
    <w:rsid w:val="00592E1E"/>
    <w:rsid w:val="005932E1"/>
    <w:rsid w:val="00593ADA"/>
    <w:rsid w:val="00593BA3"/>
    <w:rsid w:val="0059409D"/>
    <w:rsid w:val="0059578C"/>
    <w:rsid w:val="00595A64"/>
    <w:rsid w:val="00597D0C"/>
    <w:rsid w:val="005A0332"/>
    <w:rsid w:val="005A17B3"/>
    <w:rsid w:val="005A1B05"/>
    <w:rsid w:val="005A43B5"/>
    <w:rsid w:val="005B0075"/>
    <w:rsid w:val="005B01E1"/>
    <w:rsid w:val="005B052F"/>
    <w:rsid w:val="005B0C3A"/>
    <w:rsid w:val="005B1416"/>
    <w:rsid w:val="005B1BD4"/>
    <w:rsid w:val="005B69B6"/>
    <w:rsid w:val="005B784C"/>
    <w:rsid w:val="005B7F0A"/>
    <w:rsid w:val="005C02A0"/>
    <w:rsid w:val="005C1D34"/>
    <w:rsid w:val="005C2842"/>
    <w:rsid w:val="005C2D10"/>
    <w:rsid w:val="005C43B9"/>
    <w:rsid w:val="005C5331"/>
    <w:rsid w:val="005C559E"/>
    <w:rsid w:val="005C5AD4"/>
    <w:rsid w:val="005C6D0B"/>
    <w:rsid w:val="005C6E1A"/>
    <w:rsid w:val="005C73FA"/>
    <w:rsid w:val="005D0F84"/>
    <w:rsid w:val="005D26EF"/>
    <w:rsid w:val="005D2CE2"/>
    <w:rsid w:val="005D4FC9"/>
    <w:rsid w:val="005D50B4"/>
    <w:rsid w:val="005D7D5E"/>
    <w:rsid w:val="005E07CB"/>
    <w:rsid w:val="005E0F45"/>
    <w:rsid w:val="005E1A5A"/>
    <w:rsid w:val="005E32FC"/>
    <w:rsid w:val="005E3A7F"/>
    <w:rsid w:val="005E3A94"/>
    <w:rsid w:val="005E41F7"/>
    <w:rsid w:val="005E45E0"/>
    <w:rsid w:val="005F1306"/>
    <w:rsid w:val="005F1406"/>
    <w:rsid w:val="005F1CB3"/>
    <w:rsid w:val="005F24EE"/>
    <w:rsid w:val="005F25D4"/>
    <w:rsid w:val="005F2F9B"/>
    <w:rsid w:val="005F359D"/>
    <w:rsid w:val="005F38FC"/>
    <w:rsid w:val="005F3CBF"/>
    <w:rsid w:val="005F4CD5"/>
    <w:rsid w:val="005F75CA"/>
    <w:rsid w:val="005F7A82"/>
    <w:rsid w:val="006003A7"/>
    <w:rsid w:val="0060064B"/>
    <w:rsid w:val="00602806"/>
    <w:rsid w:val="00602DE2"/>
    <w:rsid w:val="0060350C"/>
    <w:rsid w:val="00604242"/>
    <w:rsid w:val="0060438B"/>
    <w:rsid w:val="0060580A"/>
    <w:rsid w:val="00607652"/>
    <w:rsid w:val="006120F0"/>
    <w:rsid w:val="0061381E"/>
    <w:rsid w:val="0061389F"/>
    <w:rsid w:val="006140EC"/>
    <w:rsid w:val="0061437A"/>
    <w:rsid w:val="00614E3E"/>
    <w:rsid w:val="006154BB"/>
    <w:rsid w:val="006177F1"/>
    <w:rsid w:val="006206ED"/>
    <w:rsid w:val="00621798"/>
    <w:rsid w:val="00623270"/>
    <w:rsid w:val="00623B79"/>
    <w:rsid w:val="0062493C"/>
    <w:rsid w:val="006250F6"/>
    <w:rsid w:val="00626039"/>
    <w:rsid w:val="00626E36"/>
    <w:rsid w:val="00627C25"/>
    <w:rsid w:val="00632B1C"/>
    <w:rsid w:val="006354F5"/>
    <w:rsid w:val="00636B56"/>
    <w:rsid w:val="00636FC2"/>
    <w:rsid w:val="006409DF"/>
    <w:rsid w:val="0064151D"/>
    <w:rsid w:val="006417B0"/>
    <w:rsid w:val="00642BC4"/>
    <w:rsid w:val="00642DFE"/>
    <w:rsid w:val="006439DD"/>
    <w:rsid w:val="00645FB5"/>
    <w:rsid w:val="0064682C"/>
    <w:rsid w:val="00652571"/>
    <w:rsid w:val="00652636"/>
    <w:rsid w:val="00652AC1"/>
    <w:rsid w:val="00652AF3"/>
    <w:rsid w:val="00653710"/>
    <w:rsid w:val="00653E83"/>
    <w:rsid w:val="00656A3B"/>
    <w:rsid w:val="00656ED1"/>
    <w:rsid w:val="006572C4"/>
    <w:rsid w:val="00657D5E"/>
    <w:rsid w:val="006624D4"/>
    <w:rsid w:val="00662D78"/>
    <w:rsid w:val="006633C3"/>
    <w:rsid w:val="00664D2B"/>
    <w:rsid w:val="00666933"/>
    <w:rsid w:val="00667B97"/>
    <w:rsid w:val="00671B1F"/>
    <w:rsid w:val="00671E93"/>
    <w:rsid w:val="00672602"/>
    <w:rsid w:val="006728BC"/>
    <w:rsid w:val="006737EF"/>
    <w:rsid w:val="0067464D"/>
    <w:rsid w:val="00674C53"/>
    <w:rsid w:val="006758BA"/>
    <w:rsid w:val="00675E46"/>
    <w:rsid w:val="00676CF5"/>
    <w:rsid w:val="0068112E"/>
    <w:rsid w:val="00681369"/>
    <w:rsid w:val="00685455"/>
    <w:rsid w:val="006857AE"/>
    <w:rsid w:val="00685885"/>
    <w:rsid w:val="00685D0A"/>
    <w:rsid w:val="00690970"/>
    <w:rsid w:val="00690E22"/>
    <w:rsid w:val="00691667"/>
    <w:rsid w:val="00691A12"/>
    <w:rsid w:val="00691B08"/>
    <w:rsid w:val="006923BF"/>
    <w:rsid w:val="0069273C"/>
    <w:rsid w:val="0069303D"/>
    <w:rsid w:val="00693A6E"/>
    <w:rsid w:val="00694A1B"/>
    <w:rsid w:val="00694E05"/>
    <w:rsid w:val="00696698"/>
    <w:rsid w:val="00697B53"/>
    <w:rsid w:val="00697C91"/>
    <w:rsid w:val="006A1831"/>
    <w:rsid w:val="006A3146"/>
    <w:rsid w:val="006A31B6"/>
    <w:rsid w:val="006A3D00"/>
    <w:rsid w:val="006A3E7D"/>
    <w:rsid w:val="006A4E69"/>
    <w:rsid w:val="006A6EB9"/>
    <w:rsid w:val="006A7126"/>
    <w:rsid w:val="006A7C15"/>
    <w:rsid w:val="006B06DD"/>
    <w:rsid w:val="006B4D22"/>
    <w:rsid w:val="006B5308"/>
    <w:rsid w:val="006B60A5"/>
    <w:rsid w:val="006B69F9"/>
    <w:rsid w:val="006C0E3E"/>
    <w:rsid w:val="006C1C45"/>
    <w:rsid w:val="006C2709"/>
    <w:rsid w:val="006C2926"/>
    <w:rsid w:val="006C3919"/>
    <w:rsid w:val="006C41BF"/>
    <w:rsid w:val="006C5383"/>
    <w:rsid w:val="006C67E5"/>
    <w:rsid w:val="006C6BDC"/>
    <w:rsid w:val="006C78F1"/>
    <w:rsid w:val="006C7D2D"/>
    <w:rsid w:val="006D291B"/>
    <w:rsid w:val="006D3258"/>
    <w:rsid w:val="006D3B44"/>
    <w:rsid w:val="006D411A"/>
    <w:rsid w:val="006D484F"/>
    <w:rsid w:val="006D5819"/>
    <w:rsid w:val="006D6417"/>
    <w:rsid w:val="006D6A29"/>
    <w:rsid w:val="006D7513"/>
    <w:rsid w:val="006E0169"/>
    <w:rsid w:val="006E1BCD"/>
    <w:rsid w:val="006E1C5E"/>
    <w:rsid w:val="006E2211"/>
    <w:rsid w:val="006E557C"/>
    <w:rsid w:val="006E56C9"/>
    <w:rsid w:val="006E7173"/>
    <w:rsid w:val="006E7669"/>
    <w:rsid w:val="006F0079"/>
    <w:rsid w:val="006F0232"/>
    <w:rsid w:val="006F0969"/>
    <w:rsid w:val="006F099C"/>
    <w:rsid w:val="006F2898"/>
    <w:rsid w:val="006F3352"/>
    <w:rsid w:val="006F49E1"/>
    <w:rsid w:val="006F5C2B"/>
    <w:rsid w:val="006F5C83"/>
    <w:rsid w:val="006F5D5C"/>
    <w:rsid w:val="006F70BE"/>
    <w:rsid w:val="006F71D3"/>
    <w:rsid w:val="00700153"/>
    <w:rsid w:val="007001D1"/>
    <w:rsid w:val="00700BDC"/>
    <w:rsid w:val="00701E0D"/>
    <w:rsid w:val="00701F88"/>
    <w:rsid w:val="007045F8"/>
    <w:rsid w:val="007117D1"/>
    <w:rsid w:val="007146C0"/>
    <w:rsid w:val="00714D51"/>
    <w:rsid w:val="0071535E"/>
    <w:rsid w:val="00715964"/>
    <w:rsid w:val="00717EB0"/>
    <w:rsid w:val="00717EF2"/>
    <w:rsid w:val="00720C71"/>
    <w:rsid w:val="007210DE"/>
    <w:rsid w:val="00722B1C"/>
    <w:rsid w:val="007243FC"/>
    <w:rsid w:val="0072772A"/>
    <w:rsid w:val="00727852"/>
    <w:rsid w:val="00727BAF"/>
    <w:rsid w:val="00727D9F"/>
    <w:rsid w:val="00727E5C"/>
    <w:rsid w:val="0073018D"/>
    <w:rsid w:val="00730362"/>
    <w:rsid w:val="007328F1"/>
    <w:rsid w:val="00733322"/>
    <w:rsid w:val="00734C54"/>
    <w:rsid w:val="0073654F"/>
    <w:rsid w:val="00736F6E"/>
    <w:rsid w:val="007419EA"/>
    <w:rsid w:val="00741BC0"/>
    <w:rsid w:val="007422DA"/>
    <w:rsid w:val="00742308"/>
    <w:rsid w:val="00742858"/>
    <w:rsid w:val="007439C5"/>
    <w:rsid w:val="00746D34"/>
    <w:rsid w:val="00751933"/>
    <w:rsid w:val="00753D62"/>
    <w:rsid w:val="00755B1A"/>
    <w:rsid w:val="00755F2D"/>
    <w:rsid w:val="00756E97"/>
    <w:rsid w:val="00757795"/>
    <w:rsid w:val="00757F16"/>
    <w:rsid w:val="00760539"/>
    <w:rsid w:val="0076491C"/>
    <w:rsid w:val="00765360"/>
    <w:rsid w:val="00765511"/>
    <w:rsid w:val="00766C9F"/>
    <w:rsid w:val="00767032"/>
    <w:rsid w:val="00771912"/>
    <w:rsid w:val="00772380"/>
    <w:rsid w:val="007733BA"/>
    <w:rsid w:val="00773A1B"/>
    <w:rsid w:val="00773ACF"/>
    <w:rsid w:val="0077594B"/>
    <w:rsid w:val="00780D84"/>
    <w:rsid w:val="00781AA3"/>
    <w:rsid w:val="00781E03"/>
    <w:rsid w:val="00782EEF"/>
    <w:rsid w:val="00783458"/>
    <w:rsid w:val="007841EC"/>
    <w:rsid w:val="007850D1"/>
    <w:rsid w:val="007854F5"/>
    <w:rsid w:val="00785630"/>
    <w:rsid w:val="0078639E"/>
    <w:rsid w:val="007872CC"/>
    <w:rsid w:val="00787C15"/>
    <w:rsid w:val="00787C7A"/>
    <w:rsid w:val="00791638"/>
    <w:rsid w:val="00793618"/>
    <w:rsid w:val="00794D4D"/>
    <w:rsid w:val="00795CDA"/>
    <w:rsid w:val="00795FF5"/>
    <w:rsid w:val="007A019D"/>
    <w:rsid w:val="007A3BE8"/>
    <w:rsid w:val="007A40FE"/>
    <w:rsid w:val="007A7295"/>
    <w:rsid w:val="007A7E84"/>
    <w:rsid w:val="007B0706"/>
    <w:rsid w:val="007B29A3"/>
    <w:rsid w:val="007B3414"/>
    <w:rsid w:val="007B38B1"/>
    <w:rsid w:val="007B3E94"/>
    <w:rsid w:val="007B5136"/>
    <w:rsid w:val="007B55D7"/>
    <w:rsid w:val="007B5E9F"/>
    <w:rsid w:val="007B5EF4"/>
    <w:rsid w:val="007B65CD"/>
    <w:rsid w:val="007B6892"/>
    <w:rsid w:val="007B69E5"/>
    <w:rsid w:val="007C0D7A"/>
    <w:rsid w:val="007C4B08"/>
    <w:rsid w:val="007C5BFF"/>
    <w:rsid w:val="007C680A"/>
    <w:rsid w:val="007C6E4B"/>
    <w:rsid w:val="007D2733"/>
    <w:rsid w:val="007D3715"/>
    <w:rsid w:val="007E0E87"/>
    <w:rsid w:val="007E195D"/>
    <w:rsid w:val="007E1A1B"/>
    <w:rsid w:val="007E1D6A"/>
    <w:rsid w:val="007E4FBD"/>
    <w:rsid w:val="007E535C"/>
    <w:rsid w:val="007E6228"/>
    <w:rsid w:val="007E636E"/>
    <w:rsid w:val="007F2A81"/>
    <w:rsid w:val="007F406A"/>
    <w:rsid w:val="007F4634"/>
    <w:rsid w:val="007F53B0"/>
    <w:rsid w:val="007F60BA"/>
    <w:rsid w:val="007F6593"/>
    <w:rsid w:val="007F6908"/>
    <w:rsid w:val="007F6A93"/>
    <w:rsid w:val="007F775D"/>
    <w:rsid w:val="007F7DB1"/>
    <w:rsid w:val="00801450"/>
    <w:rsid w:val="00801C0B"/>
    <w:rsid w:val="008023BD"/>
    <w:rsid w:val="0080241D"/>
    <w:rsid w:val="008027FF"/>
    <w:rsid w:val="008044D3"/>
    <w:rsid w:val="00804F3F"/>
    <w:rsid w:val="00805160"/>
    <w:rsid w:val="00805A09"/>
    <w:rsid w:val="0080776B"/>
    <w:rsid w:val="00811AC4"/>
    <w:rsid w:val="008131EB"/>
    <w:rsid w:val="00813A98"/>
    <w:rsid w:val="00814A55"/>
    <w:rsid w:val="0081510F"/>
    <w:rsid w:val="00815D98"/>
    <w:rsid w:val="00816FFF"/>
    <w:rsid w:val="0082061D"/>
    <w:rsid w:val="00820C1E"/>
    <w:rsid w:val="00822A91"/>
    <w:rsid w:val="008246D9"/>
    <w:rsid w:val="00824719"/>
    <w:rsid w:val="0082634B"/>
    <w:rsid w:val="00826D05"/>
    <w:rsid w:val="00826F01"/>
    <w:rsid w:val="0083073C"/>
    <w:rsid w:val="00834C1A"/>
    <w:rsid w:val="008363B8"/>
    <w:rsid w:val="00840792"/>
    <w:rsid w:val="00840987"/>
    <w:rsid w:val="00840BB9"/>
    <w:rsid w:val="00840C8C"/>
    <w:rsid w:val="00840DAF"/>
    <w:rsid w:val="00841ED2"/>
    <w:rsid w:val="00842172"/>
    <w:rsid w:val="0084474D"/>
    <w:rsid w:val="00847379"/>
    <w:rsid w:val="0084768E"/>
    <w:rsid w:val="0084799A"/>
    <w:rsid w:val="00847F16"/>
    <w:rsid w:val="00850414"/>
    <w:rsid w:val="00850C26"/>
    <w:rsid w:val="008510A7"/>
    <w:rsid w:val="00851CB4"/>
    <w:rsid w:val="00851D1A"/>
    <w:rsid w:val="00852613"/>
    <w:rsid w:val="00852C5C"/>
    <w:rsid w:val="00855032"/>
    <w:rsid w:val="008551DF"/>
    <w:rsid w:val="0085603C"/>
    <w:rsid w:val="008563DA"/>
    <w:rsid w:val="00856D20"/>
    <w:rsid w:val="008576BB"/>
    <w:rsid w:val="00857CE7"/>
    <w:rsid w:val="00860816"/>
    <w:rsid w:val="00862D97"/>
    <w:rsid w:val="0086664A"/>
    <w:rsid w:val="0086678A"/>
    <w:rsid w:val="00866BA0"/>
    <w:rsid w:val="00866EF4"/>
    <w:rsid w:val="00866FE0"/>
    <w:rsid w:val="00867E8D"/>
    <w:rsid w:val="00875725"/>
    <w:rsid w:val="0087618E"/>
    <w:rsid w:val="00876DE5"/>
    <w:rsid w:val="00876FD6"/>
    <w:rsid w:val="00877DAF"/>
    <w:rsid w:val="008819CB"/>
    <w:rsid w:val="008824F3"/>
    <w:rsid w:val="00882F31"/>
    <w:rsid w:val="008831E5"/>
    <w:rsid w:val="00883FD3"/>
    <w:rsid w:val="00884DBB"/>
    <w:rsid w:val="00885D5E"/>
    <w:rsid w:val="0088672D"/>
    <w:rsid w:val="00887B31"/>
    <w:rsid w:val="0089045B"/>
    <w:rsid w:val="00891514"/>
    <w:rsid w:val="008918C7"/>
    <w:rsid w:val="008936DF"/>
    <w:rsid w:val="00893BE1"/>
    <w:rsid w:val="00894B53"/>
    <w:rsid w:val="0089722E"/>
    <w:rsid w:val="00897232"/>
    <w:rsid w:val="00897722"/>
    <w:rsid w:val="008A1056"/>
    <w:rsid w:val="008A282C"/>
    <w:rsid w:val="008A2B26"/>
    <w:rsid w:val="008A3557"/>
    <w:rsid w:val="008A3D25"/>
    <w:rsid w:val="008A4283"/>
    <w:rsid w:val="008A4B3D"/>
    <w:rsid w:val="008A7AE6"/>
    <w:rsid w:val="008B084B"/>
    <w:rsid w:val="008B0966"/>
    <w:rsid w:val="008B0BB9"/>
    <w:rsid w:val="008B19BD"/>
    <w:rsid w:val="008B50E6"/>
    <w:rsid w:val="008B5F88"/>
    <w:rsid w:val="008B6059"/>
    <w:rsid w:val="008B7167"/>
    <w:rsid w:val="008B7C78"/>
    <w:rsid w:val="008B7DF5"/>
    <w:rsid w:val="008C0564"/>
    <w:rsid w:val="008C1B27"/>
    <w:rsid w:val="008C279A"/>
    <w:rsid w:val="008C28C9"/>
    <w:rsid w:val="008C3666"/>
    <w:rsid w:val="008C46E3"/>
    <w:rsid w:val="008C55CD"/>
    <w:rsid w:val="008C58F7"/>
    <w:rsid w:val="008C5CBE"/>
    <w:rsid w:val="008C5F32"/>
    <w:rsid w:val="008C6C61"/>
    <w:rsid w:val="008C721F"/>
    <w:rsid w:val="008D0994"/>
    <w:rsid w:val="008D1CBC"/>
    <w:rsid w:val="008D2B69"/>
    <w:rsid w:val="008D31E0"/>
    <w:rsid w:val="008D38F5"/>
    <w:rsid w:val="008D50B0"/>
    <w:rsid w:val="008D53EF"/>
    <w:rsid w:val="008D5836"/>
    <w:rsid w:val="008D5A27"/>
    <w:rsid w:val="008D5E21"/>
    <w:rsid w:val="008D6648"/>
    <w:rsid w:val="008D67BB"/>
    <w:rsid w:val="008D69CE"/>
    <w:rsid w:val="008D6CB8"/>
    <w:rsid w:val="008E0998"/>
    <w:rsid w:val="008E141E"/>
    <w:rsid w:val="008E3691"/>
    <w:rsid w:val="008E3D16"/>
    <w:rsid w:val="008E4B9A"/>
    <w:rsid w:val="008F003B"/>
    <w:rsid w:val="008F059A"/>
    <w:rsid w:val="008F0F20"/>
    <w:rsid w:val="008F0FCA"/>
    <w:rsid w:val="008F10B2"/>
    <w:rsid w:val="008F14FF"/>
    <w:rsid w:val="008F1AEB"/>
    <w:rsid w:val="008F27E0"/>
    <w:rsid w:val="008F6070"/>
    <w:rsid w:val="008F7EE3"/>
    <w:rsid w:val="009004DF"/>
    <w:rsid w:val="00900BE9"/>
    <w:rsid w:val="0090105F"/>
    <w:rsid w:val="009024FA"/>
    <w:rsid w:val="00903FF7"/>
    <w:rsid w:val="00904525"/>
    <w:rsid w:val="00904CAE"/>
    <w:rsid w:val="009063D5"/>
    <w:rsid w:val="00907347"/>
    <w:rsid w:val="00907D06"/>
    <w:rsid w:val="00910AD0"/>
    <w:rsid w:val="009116F4"/>
    <w:rsid w:val="00911A96"/>
    <w:rsid w:val="00912988"/>
    <w:rsid w:val="009150FC"/>
    <w:rsid w:val="0091620C"/>
    <w:rsid w:val="00916459"/>
    <w:rsid w:val="00916DF0"/>
    <w:rsid w:val="00917175"/>
    <w:rsid w:val="00917D39"/>
    <w:rsid w:val="009226AE"/>
    <w:rsid w:val="00922AC3"/>
    <w:rsid w:val="00923858"/>
    <w:rsid w:val="009247D9"/>
    <w:rsid w:val="0092709F"/>
    <w:rsid w:val="00927A73"/>
    <w:rsid w:val="00931046"/>
    <w:rsid w:val="00933B75"/>
    <w:rsid w:val="00933FC0"/>
    <w:rsid w:val="0093481A"/>
    <w:rsid w:val="00934C57"/>
    <w:rsid w:val="00935F14"/>
    <w:rsid w:val="009369D7"/>
    <w:rsid w:val="00937AAE"/>
    <w:rsid w:val="00937D64"/>
    <w:rsid w:val="009408D8"/>
    <w:rsid w:val="009409FC"/>
    <w:rsid w:val="00941EAA"/>
    <w:rsid w:val="00943491"/>
    <w:rsid w:val="0094353F"/>
    <w:rsid w:val="00943DF7"/>
    <w:rsid w:val="00945CB4"/>
    <w:rsid w:val="009468E1"/>
    <w:rsid w:val="009514C5"/>
    <w:rsid w:val="00953C06"/>
    <w:rsid w:val="0095458C"/>
    <w:rsid w:val="0095467D"/>
    <w:rsid w:val="00954974"/>
    <w:rsid w:val="00954BC3"/>
    <w:rsid w:val="00954DEC"/>
    <w:rsid w:val="00957467"/>
    <w:rsid w:val="00957D51"/>
    <w:rsid w:val="00960A2A"/>
    <w:rsid w:val="009611AE"/>
    <w:rsid w:val="00964A8D"/>
    <w:rsid w:val="00965138"/>
    <w:rsid w:val="009653B4"/>
    <w:rsid w:val="009657CF"/>
    <w:rsid w:val="00966371"/>
    <w:rsid w:val="009671C3"/>
    <w:rsid w:val="00967994"/>
    <w:rsid w:val="00970428"/>
    <w:rsid w:val="00971AA7"/>
    <w:rsid w:val="0097243D"/>
    <w:rsid w:val="00972B11"/>
    <w:rsid w:val="00974E85"/>
    <w:rsid w:val="00977196"/>
    <w:rsid w:val="00977F6A"/>
    <w:rsid w:val="0098050E"/>
    <w:rsid w:val="00980B2A"/>
    <w:rsid w:val="00982D42"/>
    <w:rsid w:val="009836A3"/>
    <w:rsid w:val="009849ED"/>
    <w:rsid w:val="00985DD4"/>
    <w:rsid w:val="00990656"/>
    <w:rsid w:val="00990B14"/>
    <w:rsid w:val="00993862"/>
    <w:rsid w:val="00994BFF"/>
    <w:rsid w:val="00994F60"/>
    <w:rsid w:val="00997544"/>
    <w:rsid w:val="00997B9F"/>
    <w:rsid w:val="009A2E3B"/>
    <w:rsid w:val="009A41C7"/>
    <w:rsid w:val="009A5ADA"/>
    <w:rsid w:val="009A5AF0"/>
    <w:rsid w:val="009A691D"/>
    <w:rsid w:val="009B284D"/>
    <w:rsid w:val="009B3ECA"/>
    <w:rsid w:val="009B5DB6"/>
    <w:rsid w:val="009B71AC"/>
    <w:rsid w:val="009C14BA"/>
    <w:rsid w:val="009C2774"/>
    <w:rsid w:val="009C46B0"/>
    <w:rsid w:val="009C4ADE"/>
    <w:rsid w:val="009C5B02"/>
    <w:rsid w:val="009C7DD1"/>
    <w:rsid w:val="009D1670"/>
    <w:rsid w:val="009D1C34"/>
    <w:rsid w:val="009D2E69"/>
    <w:rsid w:val="009D47CD"/>
    <w:rsid w:val="009D5C55"/>
    <w:rsid w:val="009D7D82"/>
    <w:rsid w:val="009E22EF"/>
    <w:rsid w:val="009E41F2"/>
    <w:rsid w:val="009E4202"/>
    <w:rsid w:val="009E42A2"/>
    <w:rsid w:val="009E56F7"/>
    <w:rsid w:val="009E5930"/>
    <w:rsid w:val="009E6965"/>
    <w:rsid w:val="009E6CBD"/>
    <w:rsid w:val="009E7952"/>
    <w:rsid w:val="009E7A97"/>
    <w:rsid w:val="009F1DDB"/>
    <w:rsid w:val="009F4607"/>
    <w:rsid w:val="009F4C29"/>
    <w:rsid w:val="00A0076E"/>
    <w:rsid w:val="00A00C08"/>
    <w:rsid w:val="00A01E62"/>
    <w:rsid w:val="00A025B9"/>
    <w:rsid w:val="00A02DA7"/>
    <w:rsid w:val="00A03E7C"/>
    <w:rsid w:val="00A049EA"/>
    <w:rsid w:val="00A061D2"/>
    <w:rsid w:val="00A071B1"/>
    <w:rsid w:val="00A10F14"/>
    <w:rsid w:val="00A11795"/>
    <w:rsid w:val="00A12081"/>
    <w:rsid w:val="00A129AF"/>
    <w:rsid w:val="00A12B5A"/>
    <w:rsid w:val="00A12C0A"/>
    <w:rsid w:val="00A14C54"/>
    <w:rsid w:val="00A202DC"/>
    <w:rsid w:val="00A20396"/>
    <w:rsid w:val="00A211D9"/>
    <w:rsid w:val="00A2155E"/>
    <w:rsid w:val="00A216AE"/>
    <w:rsid w:val="00A22252"/>
    <w:rsid w:val="00A225E1"/>
    <w:rsid w:val="00A22A84"/>
    <w:rsid w:val="00A23D0F"/>
    <w:rsid w:val="00A243BE"/>
    <w:rsid w:val="00A25163"/>
    <w:rsid w:val="00A2594C"/>
    <w:rsid w:val="00A3156A"/>
    <w:rsid w:val="00A343B8"/>
    <w:rsid w:val="00A3518B"/>
    <w:rsid w:val="00A35B29"/>
    <w:rsid w:val="00A36291"/>
    <w:rsid w:val="00A367B2"/>
    <w:rsid w:val="00A3683F"/>
    <w:rsid w:val="00A36ACA"/>
    <w:rsid w:val="00A37785"/>
    <w:rsid w:val="00A37EB6"/>
    <w:rsid w:val="00A4044D"/>
    <w:rsid w:val="00A40C12"/>
    <w:rsid w:val="00A412D7"/>
    <w:rsid w:val="00A43223"/>
    <w:rsid w:val="00A433C5"/>
    <w:rsid w:val="00A436E2"/>
    <w:rsid w:val="00A43AC4"/>
    <w:rsid w:val="00A43FF1"/>
    <w:rsid w:val="00A4601C"/>
    <w:rsid w:val="00A4776B"/>
    <w:rsid w:val="00A479C0"/>
    <w:rsid w:val="00A50EC3"/>
    <w:rsid w:val="00A5115A"/>
    <w:rsid w:val="00A512CA"/>
    <w:rsid w:val="00A519D5"/>
    <w:rsid w:val="00A51DCF"/>
    <w:rsid w:val="00A549B4"/>
    <w:rsid w:val="00A5659E"/>
    <w:rsid w:val="00A565DF"/>
    <w:rsid w:val="00A565F8"/>
    <w:rsid w:val="00A60686"/>
    <w:rsid w:val="00A60E11"/>
    <w:rsid w:val="00A623EA"/>
    <w:rsid w:val="00A641F7"/>
    <w:rsid w:val="00A64B61"/>
    <w:rsid w:val="00A650E7"/>
    <w:rsid w:val="00A659DE"/>
    <w:rsid w:val="00A66D39"/>
    <w:rsid w:val="00A673CA"/>
    <w:rsid w:val="00A708DD"/>
    <w:rsid w:val="00A71448"/>
    <w:rsid w:val="00A72BB6"/>
    <w:rsid w:val="00A73402"/>
    <w:rsid w:val="00A74024"/>
    <w:rsid w:val="00A75633"/>
    <w:rsid w:val="00A75CA6"/>
    <w:rsid w:val="00A77C17"/>
    <w:rsid w:val="00A8093C"/>
    <w:rsid w:val="00A81387"/>
    <w:rsid w:val="00A834F2"/>
    <w:rsid w:val="00A841EE"/>
    <w:rsid w:val="00A8510C"/>
    <w:rsid w:val="00A86FFE"/>
    <w:rsid w:val="00A91FCE"/>
    <w:rsid w:val="00A95730"/>
    <w:rsid w:val="00A95F59"/>
    <w:rsid w:val="00A96534"/>
    <w:rsid w:val="00A9657E"/>
    <w:rsid w:val="00AA080F"/>
    <w:rsid w:val="00AA2C19"/>
    <w:rsid w:val="00AA407A"/>
    <w:rsid w:val="00AA64F9"/>
    <w:rsid w:val="00AA711E"/>
    <w:rsid w:val="00AA7D8A"/>
    <w:rsid w:val="00AB1DFF"/>
    <w:rsid w:val="00AB2485"/>
    <w:rsid w:val="00AB3F3C"/>
    <w:rsid w:val="00AB4971"/>
    <w:rsid w:val="00AB713F"/>
    <w:rsid w:val="00AB71D4"/>
    <w:rsid w:val="00AB79BF"/>
    <w:rsid w:val="00AB7CE8"/>
    <w:rsid w:val="00AC040B"/>
    <w:rsid w:val="00AC0895"/>
    <w:rsid w:val="00AC0DF3"/>
    <w:rsid w:val="00AC11F0"/>
    <w:rsid w:val="00AC207A"/>
    <w:rsid w:val="00AC2C94"/>
    <w:rsid w:val="00AC36E5"/>
    <w:rsid w:val="00AC38EC"/>
    <w:rsid w:val="00AC5497"/>
    <w:rsid w:val="00AC59B3"/>
    <w:rsid w:val="00AC7CB6"/>
    <w:rsid w:val="00AD0268"/>
    <w:rsid w:val="00AD4E53"/>
    <w:rsid w:val="00AD6BCA"/>
    <w:rsid w:val="00AD7EBA"/>
    <w:rsid w:val="00AE0C77"/>
    <w:rsid w:val="00AE384A"/>
    <w:rsid w:val="00AE437C"/>
    <w:rsid w:val="00AE5ECD"/>
    <w:rsid w:val="00AE61AC"/>
    <w:rsid w:val="00AE6A9E"/>
    <w:rsid w:val="00AE75B4"/>
    <w:rsid w:val="00AE7E14"/>
    <w:rsid w:val="00AE7F8C"/>
    <w:rsid w:val="00AF3EBA"/>
    <w:rsid w:val="00AF41F1"/>
    <w:rsid w:val="00AF43B1"/>
    <w:rsid w:val="00AF6CF7"/>
    <w:rsid w:val="00AF75C5"/>
    <w:rsid w:val="00B0002C"/>
    <w:rsid w:val="00B01BD6"/>
    <w:rsid w:val="00B03185"/>
    <w:rsid w:val="00B0360F"/>
    <w:rsid w:val="00B06787"/>
    <w:rsid w:val="00B10568"/>
    <w:rsid w:val="00B10DCA"/>
    <w:rsid w:val="00B11561"/>
    <w:rsid w:val="00B11867"/>
    <w:rsid w:val="00B11E55"/>
    <w:rsid w:val="00B154D3"/>
    <w:rsid w:val="00B1581A"/>
    <w:rsid w:val="00B16403"/>
    <w:rsid w:val="00B201F1"/>
    <w:rsid w:val="00B20B87"/>
    <w:rsid w:val="00B21DF0"/>
    <w:rsid w:val="00B21F09"/>
    <w:rsid w:val="00B2201D"/>
    <w:rsid w:val="00B241A0"/>
    <w:rsid w:val="00B25A2F"/>
    <w:rsid w:val="00B26232"/>
    <w:rsid w:val="00B27B19"/>
    <w:rsid w:val="00B30033"/>
    <w:rsid w:val="00B30091"/>
    <w:rsid w:val="00B30B7C"/>
    <w:rsid w:val="00B30FDE"/>
    <w:rsid w:val="00B31C8C"/>
    <w:rsid w:val="00B3200B"/>
    <w:rsid w:val="00B3230E"/>
    <w:rsid w:val="00B3256A"/>
    <w:rsid w:val="00B33504"/>
    <w:rsid w:val="00B33A38"/>
    <w:rsid w:val="00B34D3C"/>
    <w:rsid w:val="00B3658B"/>
    <w:rsid w:val="00B36AF8"/>
    <w:rsid w:val="00B41B41"/>
    <w:rsid w:val="00B44D5D"/>
    <w:rsid w:val="00B44FCE"/>
    <w:rsid w:val="00B47E84"/>
    <w:rsid w:val="00B514D1"/>
    <w:rsid w:val="00B518C6"/>
    <w:rsid w:val="00B521D1"/>
    <w:rsid w:val="00B5220E"/>
    <w:rsid w:val="00B531B6"/>
    <w:rsid w:val="00B53D3C"/>
    <w:rsid w:val="00B53D6A"/>
    <w:rsid w:val="00B55012"/>
    <w:rsid w:val="00B56112"/>
    <w:rsid w:val="00B56FCC"/>
    <w:rsid w:val="00B60D54"/>
    <w:rsid w:val="00B6137A"/>
    <w:rsid w:val="00B616B4"/>
    <w:rsid w:val="00B621FD"/>
    <w:rsid w:val="00B626F2"/>
    <w:rsid w:val="00B634AA"/>
    <w:rsid w:val="00B644A7"/>
    <w:rsid w:val="00B653E0"/>
    <w:rsid w:val="00B70873"/>
    <w:rsid w:val="00B70E18"/>
    <w:rsid w:val="00B710A8"/>
    <w:rsid w:val="00B723A5"/>
    <w:rsid w:val="00B72986"/>
    <w:rsid w:val="00B74AEC"/>
    <w:rsid w:val="00B7580C"/>
    <w:rsid w:val="00B75F59"/>
    <w:rsid w:val="00B7778B"/>
    <w:rsid w:val="00B77830"/>
    <w:rsid w:val="00B77BCC"/>
    <w:rsid w:val="00B818F3"/>
    <w:rsid w:val="00B8258E"/>
    <w:rsid w:val="00B8290A"/>
    <w:rsid w:val="00B83ACC"/>
    <w:rsid w:val="00B8478E"/>
    <w:rsid w:val="00B853D8"/>
    <w:rsid w:val="00B85C36"/>
    <w:rsid w:val="00B85DA6"/>
    <w:rsid w:val="00B861B6"/>
    <w:rsid w:val="00B86FE0"/>
    <w:rsid w:val="00B9197C"/>
    <w:rsid w:val="00B920AD"/>
    <w:rsid w:val="00B94128"/>
    <w:rsid w:val="00B94BB6"/>
    <w:rsid w:val="00B95E4F"/>
    <w:rsid w:val="00B96042"/>
    <w:rsid w:val="00B962B5"/>
    <w:rsid w:val="00BA1954"/>
    <w:rsid w:val="00BA2558"/>
    <w:rsid w:val="00BA2E7F"/>
    <w:rsid w:val="00BA32BC"/>
    <w:rsid w:val="00BA41F5"/>
    <w:rsid w:val="00BA6473"/>
    <w:rsid w:val="00BA64C0"/>
    <w:rsid w:val="00BB1032"/>
    <w:rsid w:val="00BB1D69"/>
    <w:rsid w:val="00BB2D6C"/>
    <w:rsid w:val="00BB2E02"/>
    <w:rsid w:val="00BB3FD5"/>
    <w:rsid w:val="00BB5EBD"/>
    <w:rsid w:val="00BB66FB"/>
    <w:rsid w:val="00BC0B5F"/>
    <w:rsid w:val="00BC3BF2"/>
    <w:rsid w:val="00BC4893"/>
    <w:rsid w:val="00BC6091"/>
    <w:rsid w:val="00BC63FD"/>
    <w:rsid w:val="00BC6A64"/>
    <w:rsid w:val="00BD0C6E"/>
    <w:rsid w:val="00BD23CE"/>
    <w:rsid w:val="00BD3E29"/>
    <w:rsid w:val="00BD4165"/>
    <w:rsid w:val="00BD5772"/>
    <w:rsid w:val="00BD6089"/>
    <w:rsid w:val="00BD626B"/>
    <w:rsid w:val="00BE48D1"/>
    <w:rsid w:val="00BE494F"/>
    <w:rsid w:val="00BE5D61"/>
    <w:rsid w:val="00BE6DB3"/>
    <w:rsid w:val="00BF043A"/>
    <w:rsid w:val="00BF09FB"/>
    <w:rsid w:val="00BF283B"/>
    <w:rsid w:val="00BF3FD2"/>
    <w:rsid w:val="00BF5E10"/>
    <w:rsid w:val="00BF6630"/>
    <w:rsid w:val="00BF7C08"/>
    <w:rsid w:val="00BF7FC6"/>
    <w:rsid w:val="00C0054A"/>
    <w:rsid w:val="00C00D5C"/>
    <w:rsid w:val="00C0143F"/>
    <w:rsid w:val="00C01CB3"/>
    <w:rsid w:val="00C01D5A"/>
    <w:rsid w:val="00C036F8"/>
    <w:rsid w:val="00C05A7C"/>
    <w:rsid w:val="00C0653D"/>
    <w:rsid w:val="00C0653F"/>
    <w:rsid w:val="00C07F79"/>
    <w:rsid w:val="00C11D06"/>
    <w:rsid w:val="00C11FB9"/>
    <w:rsid w:val="00C121E5"/>
    <w:rsid w:val="00C15059"/>
    <w:rsid w:val="00C21940"/>
    <w:rsid w:val="00C219E9"/>
    <w:rsid w:val="00C2325F"/>
    <w:rsid w:val="00C23C5F"/>
    <w:rsid w:val="00C248D7"/>
    <w:rsid w:val="00C30E08"/>
    <w:rsid w:val="00C31B63"/>
    <w:rsid w:val="00C31C8A"/>
    <w:rsid w:val="00C3486C"/>
    <w:rsid w:val="00C35F2F"/>
    <w:rsid w:val="00C362FA"/>
    <w:rsid w:val="00C378C8"/>
    <w:rsid w:val="00C37E8D"/>
    <w:rsid w:val="00C40527"/>
    <w:rsid w:val="00C43A22"/>
    <w:rsid w:val="00C43F02"/>
    <w:rsid w:val="00C440EB"/>
    <w:rsid w:val="00C44C02"/>
    <w:rsid w:val="00C452A5"/>
    <w:rsid w:val="00C50D6E"/>
    <w:rsid w:val="00C51520"/>
    <w:rsid w:val="00C5265B"/>
    <w:rsid w:val="00C538CD"/>
    <w:rsid w:val="00C53E54"/>
    <w:rsid w:val="00C5450D"/>
    <w:rsid w:val="00C54A7F"/>
    <w:rsid w:val="00C559EA"/>
    <w:rsid w:val="00C56464"/>
    <w:rsid w:val="00C618EE"/>
    <w:rsid w:val="00C62BDF"/>
    <w:rsid w:val="00C63B13"/>
    <w:rsid w:val="00C66D49"/>
    <w:rsid w:val="00C67FD6"/>
    <w:rsid w:val="00C70376"/>
    <w:rsid w:val="00C70894"/>
    <w:rsid w:val="00C71500"/>
    <w:rsid w:val="00C7219D"/>
    <w:rsid w:val="00C72577"/>
    <w:rsid w:val="00C72B12"/>
    <w:rsid w:val="00C731CE"/>
    <w:rsid w:val="00C742A8"/>
    <w:rsid w:val="00C74606"/>
    <w:rsid w:val="00C75374"/>
    <w:rsid w:val="00C77D87"/>
    <w:rsid w:val="00C80353"/>
    <w:rsid w:val="00C817FA"/>
    <w:rsid w:val="00C81BEF"/>
    <w:rsid w:val="00C81E0C"/>
    <w:rsid w:val="00C821EA"/>
    <w:rsid w:val="00C82EEE"/>
    <w:rsid w:val="00C82EF8"/>
    <w:rsid w:val="00C83B4E"/>
    <w:rsid w:val="00C8419B"/>
    <w:rsid w:val="00C84539"/>
    <w:rsid w:val="00C85B6C"/>
    <w:rsid w:val="00C92118"/>
    <w:rsid w:val="00C92616"/>
    <w:rsid w:val="00C92CC5"/>
    <w:rsid w:val="00C93166"/>
    <w:rsid w:val="00C9357A"/>
    <w:rsid w:val="00C95EA1"/>
    <w:rsid w:val="00C95F19"/>
    <w:rsid w:val="00CA27AC"/>
    <w:rsid w:val="00CA32D8"/>
    <w:rsid w:val="00CA363D"/>
    <w:rsid w:val="00CA3AB1"/>
    <w:rsid w:val="00CA6664"/>
    <w:rsid w:val="00CB0A3C"/>
    <w:rsid w:val="00CB0BCF"/>
    <w:rsid w:val="00CB1179"/>
    <w:rsid w:val="00CB1B75"/>
    <w:rsid w:val="00CB23F3"/>
    <w:rsid w:val="00CB3812"/>
    <w:rsid w:val="00CB3A90"/>
    <w:rsid w:val="00CB4A34"/>
    <w:rsid w:val="00CB5F19"/>
    <w:rsid w:val="00CB7176"/>
    <w:rsid w:val="00CB76D2"/>
    <w:rsid w:val="00CC0B6F"/>
    <w:rsid w:val="00CC1BDA"/>
    <w:rsid w:val="00CC1D23"/>
    <w:rsid w:val="00CC3EB0"/>
    <w:rsid w:val="00CC5159"/>
    <w:rsid w:val="00CC7917"/>
    <w:rsid w:val="00CD0289"/>
    <w:rsid w:val="00CD058B"/>
    <w:rsid w:val="00CD1BF8"/>
    <w:rsid w:val="00CD253C"/>
    <w:rsid w:val="00CD27BA"/>
    <w:rsid w:val="00CD2950"/>
    <w:rsid w:val="00CD399A"/>
    <w:rsid w:val="00CE102C"/>
    <w:rsid w:val="00CE13B0"/>
    <w:rsid w:val="00CE24CA"/>
    <w:rsid w:val="00CE38B2"/>
    <w:rsid w:val="00CE3A6B"/>
    <w:rsid w:val="00CE44D7"/>
    <w:rsid w:val="00CE4676"/>
    <w:rsid w:val="00CE4EA9"/>
    <w:rsid w:val="00CE56FF"/>
    <w:rsid w:val="00CE674A"/>
    <w:rsid w:val="00CE6BFF"/>
    <w:rsid w:val="00CF0759"/>
    <w:rsid w:val="00CF079C"/>
    <w:rsid w:val="00CF0EA1"/>
    <w:rsid w:val="00CF1DC9"/>
    <w:rsid w:val="00CF1EAF"/>
    <w:rsid w:val="00CF21B5"/>
    <w:rsid w:val="00CF300E"/>
    <w:rsid w:val="00CF4442"/>
    <w:rsid w:val="00CF4D2F"/>
    <w:rsid w:val="00CF646B"/>
    <w:rsid w:val="00CF68E7"/>
    <w:rsid w:val="00D00E3C"/>
    <w:rsid w:val="00D023CB"/>
    <w:rsid w:val="00D03134"/>
    <w:rsid w:val="00D03768"/>
    <w:rsid w:val="00D03BF1"/>
    <w:rsid w:val="00D04BFD"/>
    <w:rsid w:val="00D05878"/>
    <w:rsid w:val="00D05927"/>
    <w:rsid w:val="00D05A49"/>
    <w:rsid w:val="00D075E3"/>
    <w:rsid w:val="00D10736"/>
    <w:rsid w:val="00D1085B"/>
    <w:rsid w:val="00D12D8E"/>
    <w:rsid w:val="00D2102C"/>
    <w:rsid w:val="00D218AB"/>
    <w:rsid w:val="00D23868"/>
    <w:rsid w:val="00D24DEA"/>
    <w:rsid w:val="00D25DE8"/>
    <w:rsid w:val="00D27227"/>
    <w:rsid w:val="00D2734F"/>
    <w:rsid w:val="00D31D45"/>
    <w:rsid w:val="00D32606"/>
    <w:rsid w:val="00D347B8"/>
    <w:rsid w:val="00D349B5"/>
    <w:rsid w:val="00D34CDC"/>
    <w:rsid w:val="00D361E9"/>
    <w:rsid w:val="00D36287"/>
    <w:rsid w:val="00D363B0"/>
    <w:rsid w:val="00D36B03"/>
    <w:rsid w:val="00D404F0"/>
    <w:rsid w:val="00D4096D"/>
    <w:rsid w:val="00D445C7"/>
    <w:rsid w:val="00D45CCD"/>
    <w:rsid w:val="00D45D11"/>
    <w:rsid w:val="00D4752B"/>
    <w:rsid w:val="00D501D3"/>
    <w:rsid w:val="00D51504"/>
    <w:rsid w:val="00D524A9"/>
    <w:rsid w:val="00D5277C"/>
    <w:rsid w:val="00D531F0"/>
    <w:rsid w:val="00D544AA"/>
    <w:rsid w:val="00D56129"/>
    <w:rsid w:val="00D6026F"/>
    <w:rsid w:val="00D60EA6"/>
    <w:rsid w:val="00D60F20"/>
    <w:rsid w:val="00D626EF"/>
    <w:rsid w:val="00D62D2C"/>
    <w:rsid w:val="00D62E28"/>
    <w:rsid w:val="00D66DAA"/>
    <w:rsid w:val="00D671C6"/>
    <w:rsid w:val="00D67E2F"/>
    <w:rsid w:val="00D67F6F"/>
    <w:rsid w:val="00D702BA"/>
    <w:rsid w:val="00D709DF"/>
    <w:rsid w:val="00D711AC"/>
    <w:rsid w:val="00D73E82"/>
    <w:rsid w:val="00D74BFB"/>
    <w:rsid w:val="00D77809"/>
    <w:rsid w:val="00D77FBF"/>
    <w:rsid w:val="00D80B00"/>
    <w:rsid w:val="00D80EBE"/>
    <w:rsid w:val="00D823AB"/>
    <w:rsid w:val="00D827B3"/>
    <w:rsid w:val="00D84CC5"/>
    <w:rsid w:val="00D86559"/>
    <w:rsid w:val="00D91618"/>
    <w:rsid w:val="00D9197E"/>
    <w:rsid w:val="00D9397F"/>
    <w:rsid w:val="00D93BDF"/>
    <w:rsid w:val="00D944D9"/>
    <w:rsid w:val="00D95126"/>
    <w:rsid w:val="00D9557A"/>
    <w:rsid w:val="00D967DF"/>
    <w:rsid w:val="00D96966"/>
    <w:rsid w:val="00D96D07"/>
    <w:rsid w:val="00D97626"/>
    <w:rsid w:val="00D97779"/>
    <w:rsid w:val="00DA1760"/>
    <w:rsid w:val="00DA3E4A"/>
    <w:rsid w:val="00DA40DB"/>
    <w:rsid w:val="00DA4A7A"/>
    <w:rsid w:val="00DA55CC"/>
    <w:rsid w:val="00DB1C8D"/>
    <w:rsid w:val="00DB295D"/>
    <w:rsid w:val="00DB32D6"/>
    <w:rsid w:val="00DB3901"/>
    <w:rsid w:val="00DB3CB9"/>
    <w:rsid w:val="00DB3CD7"/>
    <w:rsid w:val="00DB5FC4"/>
    <w:rsid w:val="00DB7ACD"/>
    <w:rsid w:val="00DC1EB8"/>
    <w:rsid w:val="00DC2175"/>
    <w:rsid w:val="00DC286A"/>
    <w:rsid w:val="00DC6308"/>
    <w:rsid w:val="00DC7123"/>
    <w:rsid w:val="00DC78FD"/>
    <w:rsid w:val="00DD0744"/>
    <w:rsid w:val="00DD2459"/>
    <w:rsid w:val="00DD2F72"/>
    <w:rsid w:val="00DD3918"/>
    <w:rsid w:val="00DD3AC9"/>
    <w:rsid w:val="00DD4BB7"/>
    <w:rsid w:val="00DD51B8"/>
    <w:rsid w:val="00DD567A"/>
    <w:rsid w:val="00DD6783"/>
    <w:rsid w:val="00DE010D"/>
    <w:rsid w:val="00DE0F58"/>
    <w:rsid w:val="00DE1911"/>
    <w:rsid w:val="00DE227E"/>
    <w:rsid w:val="00DE42D0"/>
    <w:rsid w:val="00DE5205"/>
    <w:rsid w:val="00DE56CC"/>
    <w:rsid w:val="00DE6411"/>
    <w:rsid w:val="00DE64D0"/>
    <w:rsid w:val="00DE7B02"/>
    <w:rsid w:val="00DF0A27"/>
    <w:rsid w:val="00DF130F"/>
    <w:rsid w:val="00DF15FB"/>
    <w:rsid w:val="00DF1BB7"/>
    <w:rsid w:val="00DF2311"/>
    <w:rsid w:val="00DF3141"/>
    <w:rsid w:val="00DF3F03"/>
    <w:rsid w:val="00DF572E"/>
    <w:rsid w:val="00DF6982"/>
    <w:rsid w:val="00DF763D"/>
    <w:rsid w:val="00E00014"/>
    <w:rsid w:val="00E02C1B"/>
    <w:rsid w:val="00E03776"/>
    <w:rsid w:val="00E04708"/>
    <w:rsid w:val="00E05F37"/>
    <w:rsid w:val="00E06CAC"/>
    <w:rsid w:val="00E071A0"/>
    <w:rsid w:val="00E07995"/>
    <w:rsid w:val="00E079E6"/>
    <w:rsid w:val="00E104F7"/>
    <w:rsid w:val="00E115F4"/>
    <w:rsid w:val="00E12A1F"/>
    <w:rsid w:val="00E13164"/>
    <w:rsid w:val="00E13B78"/>
    <w:rsid w:val="00E1482A"/>
    <w:rsid w:val="00E15C10"/>
    <w:rsid w:val="00E161C2"/>
    <w:rsid w:val="00E17909"/>
    <w:rsid w:val="00E21497"/>
    <w:rsid w:val="00E21A6C"/>
    <w:rsid w:val="00E223C1"/>
    <w:rsid w:val="00E22D75"/>
    <w:rsid w:val="00E26AA6"/>
    <w:rsid w:val="00E27960"/>
    <w:rsid w:val="00E30BB8"/>
    <w:rsid w:val="00E32BD5"/>
    <w:rsid w:val="00E32CF2"/>
    <w:rsid w:val="00E331D6"/>
    <w:rsid w:val="00E3725B"/>
    <w:rsid w:val="00E431EA"/>
    <w:rsid w:val="00E4517D"/>
    <w:rsid w:val="00E45EA3"/>
    <w:rsid w:val="00E46470"/>
    <w:rsid w:val="00E4651D"/>
    <w:rsid w:val="00E5008A"/>
    <w:rsid w:val="00E516A9"/>
    <w:rsid w:val="00E519B3"/>
    <w:rsid w:val="00E51F33"/>
    <w:rsid w:val="00E52E7B"/>
    <w:rsid w:val="00E5311D"/>
    <w:rsid w:val="00E54BD9"/>
    <w:rsid w:val="00E54EBA"/>
    <w:rsid w:val="00E56100"/>
    <w:rsid w:val="00E566BC"/>
    <w:rsid w:val="00E57041"/>
    <w:rsid w:val="00E57528"/>
    <w:rsid w:val="00E575B2"/>
    <w:rsid w:val="00E60625"/>
    <w:rsid w:val="00E608C2"/>
    <w:rsid w:val="00E608E7"/>
    <w:rsid w:val="00E621D4"/>
    <w:rsid w:val="00E63164"/>
    <w:rsid w:val="00E634DD"/>
    <w:rsid w:val="00E65793"/>
    <w:rsid w:val="00E662BD"/>
    <w:rsid w:val="00E66865"/>
    <w:rsid w:val="00E72D3E"/>
    <w:rsid w:val="00E73FBA"/>
    <w:rsid w:val="00E75EFA"/>
    <w:rsid w:val="00E80909"/>
    <w:rsid w:val="00E81674"/>
    <w:rsid w:val="00E82026"/>
    <w:rsid w:val="00E82EB3"/>
    <w:rsid w:val="00E84F1B"/>
    <w:rsid w:val="00E852C5"/>
    <w:rsid w:val="00E8611D"/>
    <w:rsid w:val="00E87BF3"/>
    <w:rsid w:val="00E87ED8"/>
    <w:rsid w:val="00E909C2"/>
    <w:rsid w:val="00E90D01"/>
    <w:rsid w:val="00E91184"/>
    <w:rsid w:val="00E9287A"/>
    <w:rsid w:val="00E92B91"/>
    <w:rsid w:val="00E932D9"/>
    <w:rsid w:val="00E93C91"/>
    <w:rsid w:val="00E94652"/>
    <w:rsid w:val="00E95812"/>
    <w:rsid w:val="00E959AB"/>
    <w:rsid w:val="00E974D6"/>
    <w:rsid w:val="00E97AA9"/>
    <w:rsid w:val="00EA048F"/>
    <w:rsid w:val="00EA24F9"/>
    <w:rsid w:val="00EA29BC"/>
    <w:rsid w:val="00EA482E"/>
    <w:rsid w:val="00EA74B8"/>
    <w:rsid w:val="00EA76A5"/>
    <w:rsid w:val="00EA7B67"/>
    <w:rsid w:val="00EB1934"/>
    <w:rsid w:val="00EB3ACD"/>
    <w:rsid w:val="00EB45FB"/>
    <w:rsid w:val="00EB5211"/>
    <w:rsid w:val="00EB6788"/>
    <w:rsid w:val="00EB6D60"/>
    <w:rsid w:val="00EB6E7B"/>
    <w:rsid w:val="00EB6F4D"/>
    <w:rsid w:val="00EB7193"/>
    <w:rsid w:val="00EB7838"/>
    <w:rsid w:val="00EB79F2"/>
    <w:rsid w:val="00EC1683"/>
    <w:rsid w:val="00EC2BC2"/>
    <w:rsid w:val="00EC5896"/>
    <w:rsid w:val="00EC58AE"/>
    <w:rsid w:val="00EC5AC6"/>
    <w:rsid w:val="00EC5FC3"/>
    <w:rsid w:val="00EC7DD2"/>
    <w:rsid w:val="00ED18F6"/>
    <w:rsid w:val="00ED1ABD"/>
    <w:rsid w:val="00ED281E"/>
    <w:rsid w:val="00ED338F"/>
    <w:rsid w:val="00ED38D7"/>
    <w:rsid w:val="00ED3DEB"/>
    <w:rsid w:val="00ED44EC"/>
    <w:rsid w:val="00ED4C74"/>
    <w:rsid w:val="00ED4E17"/>
    <w:rsid w:val="00ED4EA1"/>
    <w:rsid w:val="00ED7183"/>
    <w:rsid w:val="00EE28E5"/>
    <w:rsid w:val="00EE2B5B"/>
    <w:rsid w:val="00EE2CBD"/>
    <w:rsid w:val="00EE45E3"/>
    <w:rsid w:val="00EE6B93"/>
    <w:rsid w:val="00EE73BD"/>
    <w:rsid w:val="00EE7789"/>
    <w:rsid w:val="00EF0023"/>
    <w:rsid w:val="00EF2E40"/>
    <w:rsid w:val="00EF3008"/>
    <w:rsid w:val="00EF30B0"/>
    <w:rsid w:val="00EF3223"/>
    <w:rsid w:val="00EF352C"/>
    <w:rsid w:val="00EF35DA"/>
    <w:rsid w:val="00EF39AE"/>
    <w:rsid w:val="00EF4429"/>
    <w:rsid w:val="00EF4A17"/>
    <w:rsid w:val="00EF7049"/>
    <w:rsid w:val="00F00E83"/>
    <w:rsid w:val="00F00E97"/>
    <w:rsid w:val="00F06018"/>
    <w:rsid w:val="00F06185"/>
    <w:rsid w:val="00F061F7"/>
    <w:rsid w:val="00F069EA"/>
    <w:rsid w:val="00F06C66"/>
    <w:rsid w:val="00F1023F"/>
    <w:rsid w:val="00F123E0"/>
    <w:rsid w:val="00F125C4"/>
    <w:rsid w:val="00F12B80"/>
    <w:rsid w:val="00F15461"/>
    <w:rsid w:val="00F1546C"/>
    <w:rsid w:val="00F1550F"/>
    <w:rsid w:val="00F15637"/>
    <w:rsid w:val="00F162C7"/>
    <w:rsid w:val="00F173E1"/>
    <w:rsid w:val="00F17BEC"/>
    <w:rsid w:val="00F208A4"/>
    <w:rsid w:val="00F21B90"/>
    <w:rsid w:val="00F23128"/>
    <w:rsid w:val="00F231E0"/>
    <w:rsid w:val="00F24608"/>
    <w:rsid w:val="00F252B9"/>
    <w:rsid w:val="00F25489"/>
    <w:rsid w:val="00F256E9"/>
    <w:rsid w:val="00F258DA"/>
    <w:rsid w:val="00F25F6B"/>
    <w:rsid w:val="00F263C2"/>
    <w:rsid w:val="00F269D5"/>
    <w:rsid w:val="00F34324"/>
    <w:rsid w:val="00F34FF1"/>
    <w:rsid w:val="00F358B5"/>
    <w:rsid w:val="00F36E38"/>
    <w:rsid w:val="00F442FC"/>
    <w:rsid w:val="00F46670"/>
    <w:rsid w:val="00F47B8E"/>
    <w:rsid w:val="00F504EA"/>
    <w:rsid w:val="00F506CA"/>
    <w:rsid w:val="00F5092B"/>
    <w:rsid w:val="00F50C69"/>
    <w:rsid w:val="00F522EB"/>
    <w:rsid w:val="00F52C1A"/>
    <w:rsid w:val="00F52FC1"/>
    <w:rsid w:val="00F54FAF"/>
    <w:rsid w:val="00F5594F"/>
    <w:rsid w:val="00F55FFF"/>
    <w:rsid w:val="00F5641B"/>
    <w:rsid w:val="00F573FF"/>
    <w:rsid w:val="00F606F3"/>
    <w:rsid w:val="00F6174E"/>
    <w:rsid w:val="00F61BA8"/>
    <w:rsid w:val="00F62D61"/>
    <w:rsid w:val="00F64936"/>
    <w:rsid w:val="00F64D10"/>
    <w:rsid w:val="00F64DB6"/>
    <w:rsid w:val="00F66FDF"/>
    <w:rsid w:val="00F66FE4"/>
    <w:rsid w:val="00F7050C"/>
    <w:rsid w:val="00F72564"/>
    <w:rsid w:val="00F72F79"/>
    <w:rsid w:val="00F73958"/>
    <w:rsid w:val="00F73B3C"/>
    <w:rsid w:val="00F75B6E"/>
    <w:rsid w:val="00F764F8"/>
    <w:rsid w:val="00F768C9"/>
    <w:rsid w:val="00F779F8"/>
    <w:rsid w:val="00F82CFC"/>
    <w:rsid w:val="00F85D8A"/>
    <w:rsid w:val="00F87FF6"/>
    <w:rsid w:val="00F9110C"/>
    <w:rsid w:val="00F9152C"/>
    <w:rsid w:val="00FA0129"/>
    <w:rsid w:val="00FA19D9"/>
    <w:rsid w:val="00FA3C24"/>
    <w:rsid w:val="00FA4B2C"/>
    <w:rsid w:val="00FA526E"/>
    <w:rsid w:val="00FA5979"/>
    <w:rsid w:val="00FA65D9"/>
    <w:rsid w:val="00FA6CB3"/>
    <w:rsid w:val="00FA700F"/>
    <w:rsid w:val="00FB0A29"/>
    <w:rsid w:val="00FB0CC8"/>
    <w:rsid w:val="00FB1074"/>
    <w:rsid w:val="00FB10E5"/>
    <w:rsid w:val="00FB18A5"/>
    <w:rsid w:val="00FB1D03"/>
    <w:rsid w:val="00FB2633"/>
    <w:rsid w:val="00FB36B7"/>
    <w:rsid w:val="00FB3CC3"/>
    <w:rsid w:val="00FB5A07"/>
    <w:rsid w:val="00FB5D25"/>
    <w:rsid w:val="00FC0E34"/>
    <w:rsid w:val="00FC13E8"/>
    <w:rsid w:val="00FC385F"/>
    <w:rsid w:val="00FC39E6"/>
    <w:rsid w:val="00FC5293"/>
    <w:rsid w:val="00FC60BA"/>
    <w:rsid w:val="00FC7357"/>
    <w:rsid w:val="00FC7567"/>
    <w:rsid w:val="00FD0CB9"/>
    <w:rsid w:val="00FD2986"/>
    <w:rsid w:val="00FD3124"/>
    <w:rsid w:val="00FD321A"/>
    <w:rsid w:val="00FD3FB9"/>
    <w:rsid w:val="00FD53A2"/>
    <w:rsid w:val="00FD568A"/>
    <w:rsid w:val="00FD60F2"/>
    <w:rsid w:val="00FD62F6"/>
    <w:rsid w:val="00FE0896"/>
    <w:rsid w:val="00FE0FC4"/>
    <w:rsid w:val="00FE1AAB"/>
    <w:rsid w:val="00FE3F28"/>
    <w:rsid w:val="00FE4CFE"/>
    <w:rsid w:val="00FE5103"/>
    <w:rsid w:val="00FE5C75"/>
    <w:rsid w:val="00FF340C"/>
    <w:rsid w:val="00FF44B1"/>
    <w:rsid w:val="00FF49AC"/>
    <w:rsid w:val="00FF4D3F"/>
    <w:rsid w:val="00FF5368"/>
    <w:rsid w:val="00FF6384"/>
    <w:rsid w:val="04772265"/>
    <w:rsid w:val="0558FA6A"/>
    <w:rsid w:val="0A45E27C"/>
    <w:rsid w:val="11F35245"/>
    <w:rsid w:val="17575753"/>
    <w:rsid w:val="2604A81E"/>
    <w:rsid w:val="410AE336"/>
    <w:rsid w:val="5465A504"/>
    <w:rsid w:val="58CB4FE3"/>
    <w:rsid w:val="5FAD32C6"/>
    <w:rsid w:val="60C81FB1"/>
    <w:rsid w:val="790C5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AABB7"/>
  <w15:chartTrackingRefBased/>
  <w15:docId w15:val="{0FA97BE0-F54F-4DBA-9C17-A40A3B05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1B"/>
  </w:style>
  <w:style w:type="paragraph" w:styleId="Heading1">
    <w:name w:val="heading 1"/>
    <w:basedOn w:val="Normal"/>
    <w:next w:val="Normal"/>
    <w:link w:val="Heading1Char"/>
    <w:uiPriority w:val="9"/>
    <w:qFormat/>
    <w:rsid w:val="00691B08"/>
    <w:pPr>
      <w:keepNext/>
      <w:keepLines/>
      <w:numPr>
        <w:numId w:val="4"/>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4"/>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4"/>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4"/>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4"/>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4"/>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4"/>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4"/>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4"/>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691B08"/>
    <w:pPr>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styleId="TableGridLight">
    <w:name w:val="Grid Table Light"/>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C2D10"/>
    <w:pPr>
      <w:ind w:left="720"/>
      <w:contextualSpacing/>
    </w:pPr>
  </w:style>
  <w:style w:type="paragraph" w:styleId="Caption">
    <w:name w:val="caption"/>
    <w:aliases w:val="Légende italique,RefDoc,ASSET_caption,topic,Legend,3559Caption, Char,Char,Didascalia Carattere1,Didascalia Carattere2 Carattere, Char Carattere Carattere1,Didascalia Carattere1 Carattere1 Carattere, Carattere Carattere1 Carattere,c"/>
    <w:basedOn w:val="Normal"/>
    <w:next w:val="Normal"/>
    <w:link w:val="CaptionChar"/>
    <w:unhideWhenUsed/>
    <w:qFormat/>
    <w:rsid w:val="00A43223"/>
    <w:pPr>
      <w:spacing w:after="200" w:line="240" w:lineRule="auto"/>
    </w:pPr>
    <w:rPr>
      <w:i/>
      <w:iCs/>
      <w:color w:val="005596" w:themeColor="text2"/>
      <w:sz w:val="18"/>
      <w:szCs w:val="18"/>
    </w:rPr>
  </w:style>
  <w:style w:type="paragraph" w:styleId="BalloonText">
    <w:name w:val="Balloon Text"/>
    <w:basedOn w:val="Normal"/>
    <w:link w:val="BalloonTextChar"/>
    <w:uiPriority w:val="99"/>
    <w:semiHidden/>
    <w:unhideWhenUsed/>
    <w:rsid w:val="001B7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E46"/>
    <w:rPr>
      <w:rFonts w:ascii="Segoe UI" w:hAnsi="Segoe UI" w:cs="Segoe UI"/>
      <w:sz w:val="18"/>
      <w:szCs w:val="18"/>
    </w:rPr>
  </w:style>
  <w:style w:type="character" w:styleId="CommentReference">
    <w:name w:val="annotation reference"/>
    <w:basedOn w:val="DefaultParagraphFont"/>
    <w:uiPriority w:val="99"/>
    <w:semiHidden/>
    <w:unhideWhenUsed/>
    <w:rsid w:val="00D9557A"/>
    <w:rPr>
      <w:sz w:val="16"/>
      <w:szCs w:val="16"/>
    </w:rPr>
  </w:style>
  <w:style w:type="paragraph" w:styleId="CommentText">
    <w:name w:val="annotation text"/>
    <w:basedOn w:val="Normal"/>
    <w:link w:val="CommentTextChar"/>
    <w:uiPriority w:val="99"/>
    <w:semiHidden/>
    <w:unhideWhenUsed/>
    <w:rsid w:val="00D9557A"/>
    <w:pPr>
      <w:spacing w:line="240" w:lineRule="auto"/>
    </w:pPr>
    <w:rPr>
      <w:sz w:val="20"/>
      <w:szCs w:val="20"/>
    </w:rPr>
  </w:style>
  <w:style w:type="character" w:customStyle="1" w:styleId="CommentTextChar">
    <w:name w:val="Comment Text Char"/>
    <w:basedOn w:val="DefaultParagraphFont"/>
    <w:link w:val="CommentText"/>
    <w:uiPriority w:val="99"/>
    <w:semiHidden/>
    <w:rsid w:val="00D9557A"/>
    <w:rPr>
      <w:sz w:val="20"/>
      <w:szCs w:val="20"/>
    </w:rPr>
  </w:style>
  <w:style w:type="paragraph" w:styleId="CommentSubject">
    <w:name w:val="annotation subject"/>
    <w:basedOn w:val="CommentText"/>
    <w:next w:val="CommentText"/>
    <w:link w:val="CommentSubjectChar"/>
    <w:uiPriority w:val="99"/>
    <w:semiHidden/>
    <w:unhideWhenUsed/>
    <w:rsid w:val="00D9557A"/>
    <w:rPr>
      <w:b/>
      <w:bCs/>
    </w:rPr>
  </w:style>
  <w:style w:type="character" w:customStyle="1" w:styleId="CommentSubjectChar">
    <w:name w:val="Comment Subject Char"/>
    <w:basedOn w:val="CommentTextChar"/>
    <w:link w:val="CommentSubject"/>
    <w:uiPriority w:val="99"/>
    <w:semiHidden/>
    <w:rsid w:val="00D9557A"/>
    <w:rPr>
      <w:b/>
      <w:bCs/>
      <w:sz w:val="20"/>
      <w:szCs w:val="20"/>
    </w:rPr>
  </w:style>
  <w:style w:type="character" w:customStyle="1" w:styleId="CaptionChar">
    <w:name w:val="Caption Char"/>
    <w:aliases w:val="Légende italique Char,RefDoc Char,ASSET_caption Char,topic Char,Legend Char,3559Caption Char, Char Char,Char Char,Didascalia Carattere1 Char,Didascalia Carattere2 Carattere Char, Char Carattere Carattere1 Char,c Char"/>
    <w:link w:val="Caption"/>
    <w:rsid w:val="008C5F32"/>
    <w:rPr>
      <w:i/>
      <w:iCs/>
      <w:color w:val="005596" w:themeColor="text2"/>
      <w:sz w:val="18"/>
      <w:szCs w:val="18"/>
    </w:rPr>
  </w:style>
  <w:style w:type="character" w:customStyle="1" w:styleId="UnresolvedMention1">
    <w:name w:val="Unresolved Mention1"/>
    <w:basedOn w:val="DefaultParagraphFont"/>
    <w:uiPriority w:val="99"/>
    <w:semiHidden/>
    <w:unhideWhenUsed/>
    <w:rsid w:val="008C5F32"/>
    <w:rPr>
      <w:color w:val="808080"/>
      <w:shd w:val="clear" w:color="auto" w:fill="E6E6E6"/>
    </w:rPr>
  </w:style>
  <w:style w:type="paragraph" w:customStyle="1" w:styleId="normalACRI">
    <w:name w:val="normal_ACRI"/>
    <w:basedOn w:val="Normal"/>
    <w:link w:val="normalACRICar"/>
    <w:qFormat/>
    <w:rsid w:val="002466BE"/>
    <w:pPr>
      <w:spacing w:before="240" w:after="120" w:line="240" w:lineRule="auto"/>
      <w:jc w:val="both"/>
    </w:pPr>
    <w:rPr>
      <w:rFonts w:ascii="Calibri" w:eastAsia="Times New Roman" w:hAnsi="Calibri" w:cs="Times New Roman"/>
      <w:sz w:val="24"/>
      <w:szCs w:val="20"/>
      <w:lang w:eastAsia="fr-BE"/>
    </w:rPr>
  </w:style>
  <w:style w:type="character" w:customStyle="1" w:styleId="normalACRICar">
    <w:name w:val="normal_ACRI Car"/>
    <w:link w:val="normalACRI"/>
    <w:rsid w:val="002466BE"/>
    <w:rPr>
      <w:rFonts w:ascii="Calibri" w:eastAsia="Times New Roman" w:hAnsi="Calibri" w:cs="Times New Roman"/>
      <w:sz w:val="24"/>
      <w:szCs w:val="20"/>
      <w:lang w:eastAsia="fr-BE"/>
    </w:rPr>
  </w:style>
  <w:style w:type="character" w:customStyle="1" w:styleId="st">
    <w:name w:val="st"/>
    <w:basedOn w:val="DefaultParagraphFont"/>
    <w:rsid w:val="00893BE1"/>
  </w:style>
  <w:style w:type="paragraph" w:styleId="Revision">
    <w:name w:val="Revision"/>
    <w:hidden/>
    <w:uiPriority w:val="99"/>
    <w:semiHidden/>
    <w:rsid w:val="001415DE"/>
    <w:pPr>
      <w:spacing w:after="0" w:line="240" w:lineRule="auto"/>
    </w:pPr>
  </w:style>
  <w:style w:type="character" w:customStyle="1" w:styleId="ilfuvd">
    <w:name w:val="ilfuvd"/>
    <w:basedOn w:val="DefaultParagraphFont"/>
    <w:rsid w:val="00FF49AC"/>
  </w:style>
  <w:style w:type="table" w:customStyle="1" w:styleId="TableGrid1">
    <w:name w:val="Table Grid1"/>
    <w:basedOn w:val="TableNormal"/>
    <w:next w:val="TableGrid"/>
    <w:uiPriority w:val="39"/>
    <w:rsid w:val="0047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67A0C"/>
    <w:pPr>
      <w:spacing w:after="0"/>
    </w:pPr>
  </w:style>
  <w:style w:type="table" w:customStyle="1" w:styleId="TableGridLight1">
    <w:name w:val="Table Grid Light1"/>
    <w:basedOn w:val="TableNormal"/>
    <w:uiPriority w:val="40"/>
    <w:rsid w:val="008B7C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253985">
      <w:bodyDiv w:val="1"/>
      <w:marLeft w:val="0"/>
      <w:marRight w:val="0"/>
      <w:marTop w:val="0"/>
      <w:marBottom w:val="0"/>
      <w:divBdr>
        <w:top w:val="none" w:sz="0" w:space="0" w:color="auto"/>
        <w:left w:val="none" w:sz="0" w:space="0" w:color="auto"/>
        <w:bottom w:val="none" w:sz="0" w:space="0" w:color="auto"/>
        <w:right w:val="none" w:sz="0" w:space="0" w:color="auto"/>
      </w:divBdr>
    </w:div>
    <w:div w:id="312218713">
      <w:bodyDiv w:val="1"/>
      <w:marLeft w:val="0"/>
      <w:marRight w:val="0"/>
      <w:marTop w:val="0"/>
      <w:marBottom w:val="0"/>
      <w:divBdr>
        <w:top w:val="none" w:sz="0" w:space="0" w:color="auto"/>
        <w:left w:val="none" w:sz="0" w:space="0" w:color="auto"/>
        <w:bottom w:val="none" w:sz="0" w:space="0" w:color="auto"/>
        <w:right w:val="none" w:sz="0" w:space="0" w:color="auto"/>
      </w:divBdr>
    </w:div>
    <w:div w:id="366151553">
      <w:bodyDiv w:val="1"/>
      <w:marLeft w:val="0"/>
      <w:marRight w:val="0"/>
      <w:marTop w:val="0"/>
      <w:marBottom w:val="0"/>
      <w:divBdr>
        <w:top w:val="none" w:sz="0" w:space="0" w:color="auto"/>
        <w:left w:val="none" w:sz="0" w:space="0" w:color="auto"/>
        <w:bottom w:val="none" w:sz="0" w:space="0" w:color="auto"/>
        <w:right w:val="none" w:sz="0" w:space="0" w:color="auto"/>
      </w:divBdr>
    </w:div>
    <w:div w:id="379477284">
      <w:bodyDiv w:val="1"/>
      <w:marLeft w:val="0"/>
      <w:marRight w:val="0"/>
      <w:marTop w:val="0"/>
      <w:marBottom w:val="0"/>
      <w:divBdr>
        <w:top w:val="none" w:sz="0" w:space="0" w:color="auto"/>
        <w:left w:val="none" w:sz="0" w:space="0" w:color="auto"/>
        <w:bottom w:val="none" w:sz="0" w:space="0" w:color="auto"/>
        <w:right w:val="none" w:sz="0" w:space="0" w:color="auto"/>
      </w:divBdr>
    </w:div>
    <w:div w:id="551573137">
      <w:bodyDiv w:val="1"/>
      <w:marLeft w:val="0"/>
      <w:marRight w:val="0"/>
      <w:marTop w:val="0"/>
      <w:marBottom w:val="0"/>
      <w:divBdr>
        <w:top w:val="none" w:sz="0" w:space="0" w:color="auto"/>
        <w:left w:val="none" w:sz="0" w:space="0" w:color="auto"/>
        <w:bottom w:val="none" w:sz="0" w:space="0" w:color="auto"/>
        <w:right w:val="none" w:sz="0" w:space="0" w:color="auto"/>
      </w:divBdr>
    </w:div>
    <w:div w:id="633292872">
      <w:bodyDiv w:val="1"/>
      <w:marLeft w:val="0"/>
      <w:marRight w:val="0"/>
      <w:marTop w:val="0"/>
      <w:marBottom w:val="0"/>
      <w:divBdr>
        <w:top w:val="none" w:sz="0" w:space="0" w:color="auto"/>
        <w:left w:val="none" w:sz="0" w:space="0" w:color="auto"/>
        <w:bottom w:val="none" w:sz="0" w:space="0" w:color="auto"/>
        <w:right w:val="none" w:sz="0" w:space="0" w:color="auto"/>
      </w:divBdr>
    </w:div>
    <w:div w:id="697896146">
      <w:bodyDiv w:val="1"/>
      <w:marLeft w:val="0"/>
      <w:marRight w:val="0"/>
      <w:marTop w:val="0"/>
      <w:marBottom w:val="0"/>
      <w:divBdr>
        <w:top w:val="none" w:sz="0" w:space="0" w:color="auto"/>
        <w:left w:val="none" w:sz="0" w:space="0" w:color="auto"/>
        <w:bottom w:val="none" w:sz="0" w:space="0" w:color="auto"/>
        <w:right w:val="none" w:sz="0" w:space="0" w:color="auto"/>
      </w:divBdr>
    </w:div>
    <w:div w:id="736129595">
      <w:bodyDiv w:val="1"/>
      <w:marLeft w:val="0"/>
      <w:marRight w:val="0"/>
      <w:marTop w:val="0"/>
      <w:marBottom w:val="0"/>
      <w:divBdr>
        <w:top w:val="none" w:sz="0" w:space="0" w:color="auto"/>
        <w:left w:val="none" w:sz="0" w:space="0" w:color="auto"/>
        <w:bottom w:val="none" w:sz="0" w:space="0" w:color="auto"/>
        <w:right w:val="none" w:sz="0" w:space="0" w:color="auto"/>
      </w:divBdr>
    </w:div>
    <w:div w:id="743066000">
      <w:bodyDiv w:val="1"/>
      <w:marLeft w:val="0"/>
      <w:marRight w:val="0"/>
      <w:marTop w:val="0"/>
      <w:marBottom w:val="0"/>
      <w:divBdr>
        <w:top w:val="none" w:sz="0" w:space="0" w:color="auto"/>
        <w:left w:val="none" w:sz="0" w:space="0" w:color="auto"/>
        <w:bottom w:val="none" w:sz="0" w:space="0" w:color="auto"/>
        <w:right w:val="none" w:sz="0" w:space="0" w:color="auto"/>
      </w:divBdr>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
    <w:div w:id="1291863249">
      <w:bodyDiv w:val="1"/>
      <w:marLeft w:val="0"/>
      <w:marRight w:val="0"/>
      <w:marTop w:val="0"/>
      <w:marBottom w:val="0"/>
      <w:divBdr>
        <w:top w:val="none" w:sz="0" w:space="0" w:color="auto"/>
        <w:left w:val="none" w:sz="0" w:space="0" w:color="auto"/>
        <w:bottom w:val="none" w:sz="0" w:space="0" w:color="auto"/>
        <w:right w:val="none" w:sz="0" w:space="0" w:color="auto"/>
      </w:divBdr>
    </w:div>
    <w:div w:id="1292515317">
      <w:bodyDiv w:val="1"/>
      <w:marLeft w:val="0"/>
      <w:marRight w:val="0"/>
      <w:marTop w:val="0"/>
      <w:marBottom w:val="0"/>
      <w:divBdr>
        <w:top w:val="none" w:sz="0" w:space="0" w:color="auto"/>
        <w:left w:val="none" w:sz="0" w:space="0" w:color="auto"/>
        <w:bottom w:val="none" w:sz="0" w:space="0" w:color="auto"/>
        <w:right w:val="none" w:sz="0" w:space="0" w:color="auto"/>
      </w:divBdr>
    </w:div>
    <w:div w:id="1360935319">
      <w:bodyDiv w:val="1"/>
      <w:marLeft w:val="0"/>
      <w:marRight w:val="0"/>
      <w:marTop w:val="0"/>
      <w:marBottom w:val="0"/>
      <w:divBdr>
        <w:top w:val="none" w:sz="0" w:space="0" w:color="auto"/>
        <w:left w:val="none" w:sz="0" w:space="0" w:color="auto"/>
        <w:bottom w:val="none" w:sz="0" w:space="0" w:color="auto"/>
        <w:right w:val="none" w:sz="0" w:space="0" w:color="auto"/>
      </w:divBdr>
    </w:div>
    <w:div w:id="1434206605">
      <w:bodyDiv w:val="1"/>
      <w:marLeft w:val="0"/>
      <w:marRight w:val="0"/>
      <w:marTop w:val="0"/>
      <w:marBottom w:val="0"/>
      <w:divBdr>
        <w:top w:val="none" w:sz="0" w:space="0" w:color="auto"/>
        <w:left w:val="none" w:sz="0" w:space="0" w:color="auto"/>
        <w:bottom w:val="none" w:sz="0" w:space="0" w:color="auto"/>
        <w:right w:val="none" w:sz="0" w:space="0" w:color="auto"/>
      </w:divBdr>
    </w:div>
    <w:div w:id="1667174772">
      <w:bodyDiv w:val="1"/>
      <w:marLeft w:val="0"/>
      <w:marRight w:val="0"/>
      <w:marTop w:val="0"/>
      <w:marBottom w:val="0"/>
      <w:divBdr>
        <w:top w:val="none" w:sz="0" w:space="0" w:color="auto"/>
        <w:left w:val="none" w:sz="0" w:space="0" w:color="auto"/>
        <w:bottom w:val="none" w:sz="0" w:space="0" w:color="auto"/>
        <w:right w:val="none" w:sz="0" w:space="0" w:color="auto"/>
      </w:divBdr>
    </w:div>
    <w:div w:id="1682583876">
      <w:bodyDiv w:val="1"/>
      <w:marLeft w:val="0"/>
      <w:marRight w:val="0"/>
      <w:marTop w:val="0"/>
      <w:marBottom w:val="0"/>
      <w:divBdr>
        <w:top w:val="none" w:sz="0" w:space="0" w:color="auto"/>
        <w:left w:val="none" w:sz="0" w:space="0" w:color="auto"/>
        <w:bottom w:val="none" w:sz="0" w:space="0" w:color="auto"/>
        <w:right w:val="none" w:sz="0" w:space="0" w:color="auto"/>
      </w:divBdr>
    </w:div>
    <w:div w:id="1777629249">
      <w:bodyDiv w:val="1"/>
      <w:marLeft w:val="0"/>
      <w:marRight w:val="0"/>
      <w:marTop w:val="0"/>
      <w:marBottom w:val="0"/>
      <w:divBdr>
        <w:top w:val="none" w:sz="0" w:space="0" w:color="auto"/>
        <w:left w:val="none" w:sz="0" w:space="0" w:color="auto"/>
        <w:bottom w:val="none" w:sz="0" w:space="0" w:color="auto"/>
        <w:right w:val="none" w:sz="0" w:space="0" w:color="auto"/>
      </w:divBdr>
    </w:div>
    <w:div w:id="1785535601">
      <w:bodyDiv w:val="1"/>
      <w:marLeft w:val="0"/>
      <w:marRight w:val="0"/>
      <w:marTop w:val="0"/>
      <w:marBottom w:val="0"/>
      <w:divBdr>
        <w:top w:val="none" w:sz="0" w:space="0" w:color="auto"/>
        <w:left w:val="none" w:sz="0" w:space="0" w:color="auto"/>
        <w:bottom w:val="none" w:sz="0" w:space="0" w:color="auto"/>
        <w:right w:val="none" w:sz="0" w:space="0" w:color="auto"/>
      </w:divBdr>
    </w:div>
    <w:div w:id="1968968985">
      <w:bodyDiv w:val="1"/>
      <w:marLeft w:val="0"/>
      <w:marRight w:val="0"/>
      <w:marTop w:val="0"/>
      <w:marBottom w:val="0"/>
      <w:divBdr>
        <w:top w:val="none" w:sz="0" w:space="0" w:color="auto"/>
        <w:left w:val="none" w:sz="0" w:space="0" w:color="auto"/>
        <w:bottom w:val="none" w:sz="0" w:space="0" w:color="auto"/>
        <w:right w:val="none" w:sz="0" w:space="0" w:color="auto"/>
      </w:divBdr>
    </w:div>
    <w:div w:id="2043554444">
      <w:bodyDiv w:val="1"/>
      <w:marLeft w:val="0"/>
      <w:marRight w:val="0"/>
      <w:marTop w:val="0"/>
      <w:marBottom w:val="0"/>
      <w:divBdr>
        <w:top w:val="none" w:sz="0" w:space="0" w:color="auto"/>
        <w:left w:val="none" w:sz="0" w:space="0" w:color="auto"/>
        <w:bottom w:val="none" w:sz="0" w:space="0" w:color="auto"/>
        <w:right w:val="none" w:sz="0" w:space="0" w:color="auto"/>
      </w:divBdr>
    </w:div>
    <w:div w:id="205862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package" Target="embeddings/Microsoft_Visio_Drawing2.vsdx"/><Relationship Id="rId21" Type="http://schemas.openxmlformats.org/officeDocument/2006/relationships/image" Target="media/image7.png"/><Relationship Id="rId34" Type="http://schemas.openxmlformats.org/officeDocument/2006/relationships/package" Target="embeddings/Microsoft_Visio_Drawing.vsdx"/><Relationship Id="rId42"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package" Target="embeddings/Microsoft_Visio_Drawing1.vsdx"/><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2.emf"/></Relationship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ETh10</b:Tag>
    <b:SourceType>Report</b:SourceType>
    <b:Guid>{E75AFF73-B00E-42D0-B4D6-420CFE6F6FC2}</b:Guid>
    <b:Title>CEOS comparison of IR brightness temperature measurements in support of satellite validation.  Part II: Laboratory comparison of the brightness temperature of blackbodies.</b:Title>
    <b:Year>2010</b:Year>
    <b:Publisher>NPL</b:Publisher>
    <b:Author>
      <b:Author>
        <b:NameList>
          <b:Person>
            <b:Last>Theocharous</b:Last>
            <b:First>E.</b:First>
          </b:Person>
        </b:NameList>
      </b:Author>
    </b:Author>
    <b:RefOrder>1</b:RefOrder>
  </b:Source>
  <b:Source>
    <b:Tag>GSc06</b:Tag>
    <b:SourceType>Report</b:SourceType>
    <b:Guid>{BFE5CC2A-20CE-4AF1-87A5-3CF9D7721865}</b:Guid>
    <b:Author>
      <b:Author>
        <b:NameList>
          <b:Person>
            <b:Last>Schaepman-Strub</b:Last>
            <b:First>G.</b:First>
          </b:Person>
        </b:NameList>
      </b:Author>
    </b:Author>
    <b:Title>Reflectance quantities in optical remote sensing - definitions and case studies</b:Title>
    <b:Year>2006</b:Year>
    <b:Publisher>Remote sensing of environment</b:Publisher>
    <b:RefOrder>10</b:RefOrder>
  </b:Source>
  <b:Source>
    <b:Tag>Edw06</b:Tag>
    <b:SourceType>Report</b:SourceType>
    <b:Guid>{57E38999-9E3B-4FAE-8C12-BF6EC3D432B0}</b:Guid>
    <b:Author>
      <b:Author>
        <b:NameList>
          <b:Person>
            <b:Last>Milton</b:Last>
            <b:First>Edward</b:First>
            <b:Middle>J.</b:Middle>
          </b:Person>
        </b:NameList>
      </b:Author>
    </b:Author>
    <b:Title>Progress in Field Spectroscopy </b:Title>
    <b:Year>2006</b:Year>
    <b:Publisher>IEEE</b:Publisher>
    <b:RefOrder>4</b:RefOrder>
  </b:Source>
  <b:Source>
    <b:Tag>Mic17</b:Tag>
    <b:SourceType>Report</b:SourceType>
    <b:Guid>{5B216255-A0B2-427B-B598-245640AFCBC4}</b:Guid>
    <b:Author>
      <b:Author>
        <b:NameList>
          <b:Person>
            <b:Last>Michavila</b:Last>
            <b:First>Marcos</b:First>
            <b:Middle>Jiménez</b:Middle>
          </b:Person>
        </b:NameList>
      </b:Author>
    </b:Author>
    <b:Title>Towards a complete spectral reflectance uncertainty model for Field Spectroscopy</b:Title>
    <b:Year>2017</b:Year>
    <b:Publisher>The 5th International Symposium on Recent Advances in Quantitative Remote Sensing: RAQRS'V</b:Publisher>
    <b:RefOrder>2</b:RefOrder>
  </b:Source>
  <b:Source>
    <b:Tag>Kar15</b:Tag>
    <b:SourceType>Report</b:SourceType>
    <b:Guid>{FB1907DC-993A-458D-BC25-48E55EE5795D}</b:Guid>
    <b:Author>
      <b:Author>
        <b:NameList>
          <b:Person>
            <b:Last>Sakowska</b:Last>
            <b:First>Karolina</b:First>
          </b:Person>
        </b:NameList>
      </b:Author>
    </b:Author>
    <b:Title>WhiteRef: A New Tower-Based Hyperspectral System for Continuous Reflectance Measurements</b:Title>
    <b:Year>2015</b:Year>
    <b:Publisher>sensors</b:Publisher>
    <b:RefOrder>3</b:RefOrder>
  </b:Source>
  <b:Source>
    <b:Tag>Cha13</b:Tag>
    <b:SourceType>Report</b:SourceType>
    <b:Guid>{E9E7B163-C52E-481C-B598-A470681772D4}</b:Guid>
    <b:Author>
      <b:Author>
        <b:NameList>
          <b:Person>
            <b:Last>Huang</b:Last>
            <b:First>Changping</b:First>
          </b:Person>
        </b:NameList>
      </b:Author>
    </b:Author>
    <b:Title>A Radiometric Calibration Model for the Field Imaging Spectrometer System</b:Title>
    <b:Year>2013</b:Year>
    <b:Publisher>IEEE Transactions on Geoscience and Remote Sensing</b:Publisher>
    <b:RefOrder>5</b:RefOrder>
  </b:Source>
  <b:Source>
    <b:Tag>HJK97</b:Tag>
    <b:SourceType>Book</b:SourceType>
    <b:Guid>{236A0EFC-5CC3-49B8-834C-C66E719DB048}</b:Guid>
    <b:Author>
      <b:Author>
        <b:NameList>
          <b:Person>
            <b:Last>H.J.Kostkowski</b:Last>
          </b:Person>
        </b:NameList>
      </b:Author>
    </b:Author>
    <b:Title>Reliable Spectroradiometry</b:Title>
    <b:Year>1997</b:Year>
    <b:Publisher>Spectroradiometry Consulting</b:Publisher>
    <b:RefOrder>6</b:RefOrder>
  </b:Source>
  <b:Source>
    <b:Tag>Mic98</b:Tag>
    <b:SourceType>Report</b:SourceType>
    <b:Guid>{E885EA6D-0852-464C-B293-D1F9FF7F44A3}</b:Guid>
    <b:Title>Calibration of Field Spectroradiometer</b:Title>
    <b:Year>1998</b:Year>
    <b:Publisher>University of Zurich</b:Publisher>
    <b:Author>
      <b:Author>
        <b:NameList>
          <b:Person>
            <b:Last>Shaepman</b:Last>
            <b:First>Michael</b:First>
            <b:Middle>Ellert</b:Middle>
          </b:Person>
        </b:NameList>
      </b:Author>
    </b:Author>
    <b:RefOrder>7</b:RefOrder>
  </b:Source>
  <b:Source>
    <b:Tag>Nia201</b:Tag>
    <b:SourceType>Report</b:SourceType>
    <b:Guid>{E7182CED-EFEF-4F96-877D-B7FF51DF6CD9}</b:Guid>
    <b:Author>
      <b:Author>
        <b:NameList>
          <b:Person>
            <b:Last>Origo</b:Last>
            <b:First>Niall</b:First>
          </b:Person>
        </b:NameList>
      </b:Author>
    </b:Author>
    <b:Title>Fiducial Reference Measurements for validation of Sentinel-2 and Proba-V surface reflectance products</b:Title>
    <b:Year>2020</b:Year>
    <b:Publisher>Remote Sensing of Environment</b:Publisher>
    <b:RefOrder>9</b:RefOrder>
  </b:Source>
  <b:Source>
    <b:Tag>Jac18</b:Tag>
    <b:SourceType>Report</b:SourceType>
    <b:Guid>{9CCB82BE-3FD5-4EB7-B12B-F8A610CDC22D}</b:Guid>
    <b:Author>
      <b:Author>
        <b:NameList>
          <b:Person>
            <b:Last>Chang</b:Last>
            <b:First>Jackson</b:First>
            <b:Middle>H.W.</b:Middle>
          </b:Person>
        </b:NameList>
      </b:Author>
    </b:Author>
    <b:Title>Langley Calibration of Sunphotometer using Perez’s Clearness Index at Tropical Climate</b:Title>
    <b:Year>2018</b:Year>
    <b:Publisher>Taiwan Association for Aerosol Research</b:Publisher>
    <b:RefOrder>8</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DD202E49FCCF4B813D7CC716761A92" ma:contentTypeVersion="10" ma:contentTypeDescription="Create a new document." ma:contentTypeScope="" ma:versionID="89e9286be55be7cd9b3a55cef4610f04">
  <xsd:schema xmlns:xsd="http://www.w3.org/2001/XMLSchema" xmlns:xs="http://www.w3.org/2001/XMLSchema" xmlns:p="http://schemas.microsoft.com/office/2006/metadata/properties" xmlns:ns1="http://schemas.microsoft.com/sharepoint/v3" xmlns:ns2="6f00ec74-ddba-4a9f-aa29-f5f4dccaf33a" targetNamespace="http://schemas.microsoft.com/office/2006/metadata/properties" ma:root="true" ma:fieldsID="df772f370df2b25a70969e6e74038044" ns1:_="" ns2:_="">
    <xsd:import namespace="http://schemas.microsoft.com/sharepoint/v3"/>
    <xsd:import namespace="6f00ec74-ddba-4a9f-aa29-f5f4dccaf33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Location" minOccurs="0"/>
                <xsd:element ref="ns2:MediaServiceAutoTags"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0ec74-ddba-4a9f-aa29-f5f4dccaf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578E641-AE58-4045-B52D-FAE7CB762B4D}">
  <ds:schemaRefs>
    <ds:schemaRef ds:uri="http://schemas.openxmlformats.org/officeDocument/2006/bibliography"/>
  </ds:schemaRefs>
</ds:datastoreItem>
</file>

<file path=customXml/itemProps2.xml><?xml version="1.0" encoding="utf-8"?>
<ds:datastoreItem xmlns:ds="http://schemas.openxmlformats.org/officeDocument/2006/customXml" ds:itemID="{03F158D6-4F91-4214-BE8F-67964B67031E}">
  <ds:schemaRefs>
    <ds:schemaRef ds:uri="http://schemas.microsoft.com/sharepoint/v3/contenttype/forms"/>
  </ds:schemaRefs>
</ds:datastoreItem>
</file>

<file path=customXml/itemProps3.xml><?xml version="1.0" encoding="utf-8"?>
<ds:datastoreItem xmlns:ds="http://schemas.openxmlformats.org/officeDocument/2006/customXml" ds:itemID="{8ACBE3A4-C6D0-45CE-B922-71389C41E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0ec74-ddba-4a9f-aa29-f5f4dccaf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445EED-5CC8-4683-86C7-F07D1E437BF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51</Pages>
  <Words>32187</Words>
  <Characters>183469</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Technical Handbooks of FRM4VEG Instrumentation (TR-1): Delta-T Devices BF3 Sunshine Sensor</vt:lpstr>
    </vt:vector>
  </TitlesOfParts>
  <Company/>
  <LinksUpToDate>false</LinksUpToDate>
  <CharactersWithSpaces>215226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Handbooks of FRM4VEG Instrumentation (TR-1): Delta-T Devices BF3 Sunshine Sensor</dc:title>
  <dc:subject/>
  <dc:creator>Luke Brown</dc:creator>
  <cp:keywords/>
  <dc:description/>
  <cp:lastModifiedBy>Luke</cp:lastModifiedBy>
  <cp:revision>24</cp:revision>
  <cp:lastPrinted>2019-03-08T20:14:00Z</cp:lastPrinted>
  <dcterms:created xsi:type="dcterms:W3CDTF">2020-05-28T18:45:00Z</dcterms:created>
  <dcterms:modified xsi:type="dcterms:W3CDTF">2020-07-01T16:12:00Z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(deprecated)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http://www.zotero.org/styles/international-journal-of-remote-sensing</vt:lpwstr>
  </property>
  <property fmtid="{D5CDD505-2E9C-101B-9397-08002B2CF9AE}" pid="13" name="Mendeley Recent Style Name 4_1">
    <vt:lpwstr>International Journal of Remote Sensing</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http://www.zotero.org/styles/remote-sensing</vt:lpwstr>
  </property>
  <property fmtid="{D5CDD505-2E9C-101B-9397-08002B2CF9AE}" pid="21" name="Mendeley Recent Style Name 8_1">
    <vt:lpwstr>Remote Sensing</vt:lpwstr>
  </property>
  <property fmtid="{D5CDD505-2E9C-101B-9397-08002B2CF9AE}" pid="22" name="Mendeley Recent Style Id 9_1">
    <vt:lpwstr>http://www.zotero.org/styles/remote-sensing-of-environment</vt:lpwstr>
  </property>
  <property fmtid="{D5CDD505-2E9C-101B-9397-08002B2CF9AE}" pid="23" name="Mendeley Recent Style Name 9_1">
    <vt:lpwstr>Remote Sensing of Environment</vt:lpwstr>
  </property>
  <property fmtid="{D5CDD505-2E9C-101B-9397-08002B2CF9AE}" pid="24" name="Mendeley Document_1">
    <vt:lpwstr>True</vt:lpwstr>
  </property>
  <property fmtid="{D5CDD505-2E9C-101B-9397-08002B2CF9AE}" pid="25" name="Mendeley Unique User Id_1">
    <vt:lpwstr>1e82b55a-7a0a-364c-97c1-2b558126b23e</vt:lpwstr>
  </property>
  <property fmtid="{D5CDD505-2E9C-101B-9397-08002B2CF9AE}" pid="26" name="Mendeley Citation Style_1">
    <vt:lpwstr>http://www.zotero.org/styles/ieee</vt:lpwstr>
  </property>
  <property fmtid="{D5CDD505-2E9C-101B-9397-08002B2CF9AE}" pid="27" name="ContentTypeId">
    <vt:lpwstr>0x0101006FDD202E49FCCF4B813D7CC716761A92</vt:lpwstr>
  </property>
  <property fmtid="{D5CDD505-2E9C-101B-9397-08002B2CF9AE}" pid="28" name="AuthorIds_UIVersion_1024">
    <vt:lpwstr>31</vt:lpwstr>
  </property>
</Properties>
</file>