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4B0A" w14:textId="4A5FA6DF" w:rsidR="00C50D6E" w:rsidRDefault="00C50D6E"/>
    <w:p w14:paraId="5291A415" w14:textId="77777777" w:rsidR="00C50D6E" w:rsidRDefault="00C50D6E"/>
    <w:tbl>
      <w:tblPr>
        <w:tblStyle w:val="TableGrid"/>
        <w:tblW w:w="101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177"/>
      </w:tblGrid>
      <w:tr w:rsidR="0059409D" w:rsidRPr="0041691B" w14:paraId="76C3CF25" w14:textId="77777777" w:rsidTr="005E32FC">
        <w:trPr>
          <w:trHeight w:val="8222"/>
        </w:trPr>
        <w:tc>
          <w:tcPr>
            <w:tcW w:w="5018" w:type="dxa"/>
            <w:tcBorders>
              <w:right w:val="single" w:sz="12" w:space="0" w:color="005596" w:themeColor="text2"/>
            </w:tcBorders>
            <w:vAlign w:val="center"/>
          </w:tcPr>
          <w:p w14:paraId="3EEF4AE0" w14:textId="6084B1D8" w:rsidR="0059409D" w:rsidRPr="0041691B" w:rsidRDefault="00FA19D9" w:rsidP="00FA19D9">
            <w:pPr>
              <w:ind w:right="1021"/>
              <w:jc w:val="right"/>
            </w:pPr>
            <w:r>
              <w:rPr>
                <w:noProof/>
                <w:lang w:eastAsia="en-GB"/>
              </w:rPr>
              <w:drawing>
                <wp:anchor distT="0" distB="0" distL="114300" distR="114300" simplePos="0" relativeHeight="251658240" behindDoc="0" locked="0" layoutInCell="1" allowOverlap="1" wp14:anchorId="300DE6B8" wp14:editId="1065E4F9">
                  <wp:simplePos x="0" y="0"/>
                  <wp:positionH relativeFrom="column">
                    <wp:posOffset>492125</wp:posOffset>
                  </wp:positionH>
                  <wp:positionV relativeFrom="page">
                    <wp:posOffset>104775</wp:posOffset>
                  </wp:positionV>
                  <wp:extent cx="2176780" cy="923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m4veg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80" cy="92392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1" behindDoc="1" locked="0" layoutInCell="1" allowOverlap="1" wp14:anchorId="216EDCFA" wp14:editId="3520323F">
                  <wp:simplePos x="0" y="0"/>
                  <wp:positionH relativeFrom="column">
                    <wp:posOffset>-83820</wp:posOffset>
                  </wp:positionH>
                  <wp:positionV relativeFrom="page">
                    <wp:posOffset>5337810</wp:posOffset>
                  </wp:positionV>
                  <wp:extent cx="1760855" cy="389255"/>
                  <wp:effectExtent l="0" t="0" r="0" b="0"/>
                  <wp:wrapTight wrapText="bothSides">
                    <wp:wrapPolygon edited="0">
                      <wp:start x="7945" y="0"/>
                      <wp:lineTo x="0" y="2114"/>
                      <wp:lineTo x="0" y="16914"/>
                      <wp:lineTo x="234" y="17971"/>
                      <wp:lineTo x="13787" y="20085"/>
                      <wp:lineTo x="15189" y="20085"/>
                      <wp:lineTo x="21265" y="16914"/>
                      <wp:lineTo x="21265" y="7400"/>
                      <wp:lineTo x="19396" y="0"/>
                      <wp:lineTo x="7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_uni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38925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3" behindDoc="1" locked="0" layoutInCell="1" allowOverlap="1" wp14:anchorId="2F34630B" wp14:editId="5DA7836F">
                  <wp:simplePos x="0" y="0"/>
                  <wp:positionH relativeFrom="column">
                    <wp:posOffset>1890395</wp:posOffset>
                  </wp:positionH>
                  <wp:positionV relativeFrom="page">
                    <wp:posOffset>5116195</wp:posOffset>
                  </wp:positionV>
                  <wp:extent cx="1066800" cy="654685"/>
                  <wp:effectExtent l="0" t="0" r="0" b="0"/>
                  <wp:wrapTight wrapText="bothSides">
                    <wp:wrapPolygon edited="0">
                      <wp:start x="0" y="0"/>
                      <wp:lineTo x="0" y="20741"/>
                      <wp:lineTo x="21214" y="20741"/>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olablogo.jpg"/>
                          <pic:cNvPicPr/>
                        </pic:nvPicPr>
                        <pic:blipFill>
                          <a:blip r:embed="rId13">
                            <a:extLst>
                              <a:ext uri="{28A0092B-C50C-407E-A947-70E740481C1C}">
                                <a14:useLocalDpi xmlns:a14="http://schemas.microsoft.com/office/drawing/2010/main" val="0"/>
                              </a:ext>
                            </a:extLst>
                          </a:blip>
                          <a:stretch>
                            <a:fillRect/>
                          </a:stretch>
                        </pic:blipFill>
                        <pic:spPr>
                          <a:xfrm>
                            <a:off x="0" y="0"/>
                            <a:ext cx="1066800" cy="654685"/>
                          </a:xfrm>
                          <a:prstGeom prst="rect">
                            <a:avLst/>
                          </a:prstGeom>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vAlign w:val="center"/>
          </w:tcPr>
          <w:p w14:paraId="1EFBC009" w14:textId="77777777" w:rsidR="00FC028E" w:rsidRDefault="00FC028E" w:rsidP="00FC028E">
            <w:pPr>
              <w:pStyle w:val="NoSpacing"/>
              <w:rPr>
                <w:b/>
                <w:bCs/>
                <w:color w:val="005596" w:themeColor="text2"/>
                <w:sz w:val="36"/>
                <w:szCs w:val="36"/>
                <w:lang w:val="en-GB"/>
              </w:rPr>
            </w:pPr>
            <w:r>
              <w:rPr>
                <w:b/>
                <w:bCs/>
                <w:color w:val="005596" w:themeColor="text2"/>
                <w:sz w:val="36"/>
                <w:szCs w:val="36"/>
                <w:lang w:val="en-GB"/>
              </w:rPr>
              <w:t>Technical Handbooks of FRM4VEG Instrumentation</w:t>
            </w:r>
          </w:p>
          <w:p w14:paraId="3E64AE89" w14:textId="4BFB9D89" w:rsidR="009556C3" w:rsidRDefault="00FC028E" w:rsidP="009556C3">
            <w:pPr>
              <w:pStyle w:val="NoSpacing"/>
              <w:rPr>
                <w:b/>
                <w:bCs/>
                <w:color w:val="005596" w:themeColor="text2"/>
                <w:sz w:val="36"/>
                <w:szCs w:val="36"/>
              </w:rPr>
            </w:pPr>
            <w:r>
              <w:rPr>
                <w:b/>
                <w:bCs/>
                <w:color w:val="005596" w:themeColor="text2"/>
                <w:sz w:val="36"/>
                <w:szCs w:val="36"/>
              </w:rPr>
              <w:t xml:space="preserve">(TR-1): </w:t>
            </w:r>
            <w:r w:rsidR="006C674A">
              <w:rPr>
                <w:b/>
                <w:bCs/>
                <w:color w:val="005596" w:themeColor="text2"/>
                <w:sz w:val="36"/>
                <w:szCs w:val="36"/>
              </w:rPr>
              <w:t>SQ-110 PAR Sensor</w:t>
            </w:r>
          </w:p>
          <w:p w14:paraId="1322C039" w14:textId="6C34BDDD" w:rsidR="009556C3" w:rsidRDefault="005E32FC" w:rsidP="009556C3">
            <w:pPr>
              <w:pStyle w:val="NoSpacing"/>
              <w:rPr>
                <w:caps/>
                <w:color w:val="005596" w:themeColor="text2"/>
                <w:sz w:val="26"/>
                <w:szCs w:val="26"/>
                <w:lang w:val="en-GB"/>
              </w:rPr>
            </w:pPr>
            <w:r>
              <w:rPr>
                <w:color w:val="005596" w:themeColor="text2"/>
                <w:sz w:val="26"/>
                <w:szCs w:val="26"/>
                <w:lang w:val="en-GB"/>
              </w:rPr>
              <w:br/>
            </w:r>
            <w:r w:rsidR="009556C3">
              <w:rPr>
                <w:caps/>
                <w:color w:val="005596" w:themeColor="text2"/>
                <w:sz w:val="26"/>
                <w:szCs w:val="26"/>
                <w:lang w:val="en-GB"/>
              </w:rPr>
              <w:t>version 1.0</w:t>
            </w:r>
          </w:p>
          <w:p w14:paraId="7D18542E" w14:textId="48828B6A" w:rsidR="001524A9" w:rsidRDefault="001524A9" w:rsidP="00FC028E">
            <w:pPr>
              <w:pStyle w:val="NoSpacing"/>
              <w:rPr>
                <w:caps/>
                <w:color w:val="005596" w:themeColor="text2"/>
                <w:sz w:val="26"/>
                <w:szCs w:val="26"/>
                <w:lang w:val="en-GB"/>
              </w:rPr>
            </w:pPr>
          </w:p>
          <w:p w14:paraId="29625CA0" w14:textId="77777777" w:rsidR="001524A9" w:rsidRDefault="001524A9" w:rsidP="0059409D">
            <w:pPr>
              <w:pStyle w:val="NoSpacing"/>
              <w:rPr>
                <w:caps/>
                <w:color w:val="005596" w:themeColor="text2"/>
                <w:sz w:val="26"/>
                <w:szCs w:val="26"/>
                <w:lang w:val="en-GB"/>
              </w:rPr>
            </w:pPr>
          </w:p>
          <w:p w14:paraId="3D883FF7" w14:textId="77777777" w:rsidR="001524A9" w:rsidRDefault="001524A9" w:rsidP="0059409D">
            <w:pPr>
              <w:pStyle w:val="NoSpacing"/>
              <w:rPr>
                <w:caps/>
                <w:color w:val="005596" w:themeColor="text2"/>
                <w:sz w:val="26"/>
                <w:szCs w:val="26"/>
                <w:lang w:val="en-GB"/>
              </w:rPr>
            </w:pPr>
          </w:p>
          <w:p w14:paraId="4864736D" w14:textId="77777777" w:rsidR="0041691B" w:rsidRPr="0041691B" w:rsidRDefault="0041691B" w:rsidP="0059409D">
            <w:pPr>
              <w:pStyle w:val="NoSpacing"/>
              <w:rPr>
                <w:color w:val="005596" w:themeColor="text2"/>
                <w:sz w:val="26"/>
                <w:szCs w:val="26"/>
                <w:lang w:val="en-GB"/>
              </w:rPr>
            </w:pPr>
          </w:p>
          <w:p w14:paraId="50ACE859" w14:textId="77777777" w:rsidR="0041691B" w:rsidRPr="0041691B" w:rsidRDefault="0041691B" w:rsidP="0059409D">
            <w:pPr>
              <w:pStyle w:val="NoSpacing"/>
              <w:rPr>
                <w:color w:val="005596" w:themeColor="text2"/>
                <w:sz w:val="26"/>
                <w:szCs w:val="26"/>
                <w:lang w:val="en-GB"/>
              </w:rPr>
            </w:pPr>
          </w:p>
          <w:p w14:paraId="716CF75D" w14:textId="4141404C" w:rsidR="0059409D" w:rsidRPr="0041691B" w:rsidRDefault="0059409D" w:rsidP="0059409D">
            <w:pPr>
              <w:pStyle w:val="NoSpacing"/>
              <w:rPr>
                <w:color w:val="005596" w:themeColor="text2"/>
                <w:sz w:val="26"/>
                <w:szCs w:val="26"/>
                <w:lang w:val="en-GB"/>
              </w:rPr>
            </w:pPr>
          </w:p>
          <w:p w14:paraId="7C5AA5AA" w14:textId="77777777" w:rsidR="0059409D" w:rsidRPr="0041691B" w:rsidRDefault="0059409D" w:rsidP="0059409D">
            <w:pPr>
              <w:pStyle w:val="NoSpacing"/>
              <w:rPr>
                <w:lang w:val="en-GB"/>
              </w:rPr>
            </w:pPr>
          </w:p>
          <w:p w14:paraId="3C9266C4" w14:textId="77777777" w:rsidR="0041691B" w:rsidRPr="0041691B" w:rsidRDefault="0041691B" w:rsidP="0059409D">
            <w:pPr>
              <w:pStyle w:val="NoSpacing"/>
              <w:rPr>
                <w:lang w:val="en-GB"/>
              </w:rPr>
            </w:pPr>
          </w:p>
          <w:p w14:paraId="386D55CC" w14:textId="77777777" w:rsidR="00F70C29" w:rsidRPr="0041691B" w:rsidRDefault="00F70C29" w:rsidP="00F70C29">
            <w:pPr>
              <w:pStyle w:val="NoSpacing"/>
              <w:rPr>
                <w:lang w:val="en-GB"/>
              </w:rPr>
            </w:pPr>
          </w:p>
          <w:sdt>
            <w:sdtPr>
              <w:rPr>
                <w:lang w:val="en-GB"/>
              </w:rPr>
              <w:alias w:val="Organisation"/>
              <w:tag w:val="Author organisation"/>
              <w:id w:val="-598638019"/>
            </w:sdtPr>
            <w:sdtEndPr/>
            <w:sdtContent>
              <w:sdt>
                <w:sdtPr>
                  <w:rPr>
                    <w:lang w:val="en-GB"/>
                  </w:rPr>
                  <w:alias w:val="Organisation"/>
                  <w:tag w:val="Author organisation"/>
                  <w:id w:val="-1986378487"/>
                </w:sdtPr>
                <w:sdtEndPr/>
                <w:sdtContent>
                  <w:p w14:paraId="55814694" w14:textId="77777777" w:rsidR="00F70C29" w:rsidRDefault="00F70C29" w:rsidP="00F70C29">
                    <w:pPr>
                      <w:pStyle w:val="NoSpacing"/>
                      <w:rPr>
                        <w:lang w:val="en-GB"/>
                      </w:rPr>
                    </w:pPr>
                    <w:r>
                      <w:rPr>
                        <w:lang w:val="en-GB"/>
                      </w:rPr>
                      <w:t xml:space="preserve">National Physical Laboratory </w:t>
                    </w:r>
                  </w:p>
                  <w:p w14:paraId="5B7D82F1" w14:textId="77777777" w:rsidR="00F70C29" w:rsidRDefault="00F70C29" w:rsidP="00F70C29">
                    <w:pPr>
                      <w:pStyle w:val="NoSpacing"/>
                      <w:rPr>
                        <w:lang w:val="en-GB"/>
                      </w:rPr>
                    </w:pPr>
                    <w:r>
                      <w:rPr>
                        <w:lang w:val="en-GB"/>
                      </w:rPr>
                      <w:t>University of Southampton</w:t>
                    </w:r>
                  </w:p>
                  <w:p w14:paraId="791535F5" w14:textId="77777777" w:rsidR="00F70C29" w:rsidRDefault="00F70C29" w:rsidP="00F70C29">
                    <w:pPr>
                      <w:pStyle w:val="NoSpacing"/>
                    </w:pPr>
                    <w:r>
                      <w:rPr>
                        <w:lang w:val="en-GB"/>
                      </w:rPr>
                      <w:t>EOLAB</w:t>
                    </w:r>
                  </w:p>
                </w:sdtContent>
              </w:sdt>
              <w:p w14:paraId="3DC3F31D" w14:textId="77777777" w:rsidR="00F70C29" w:rsidRDefault="00A26684" w:rsidP="00F70C29">
                <w:pPr>
                  <w:pStyle w:val="NoSpacing"/>
                  <w:rPr>
                    <w:rFonts w:eastAsiaTheme="minorHAnsi"/>
                    <w:lang w:val="en-GB"/>
                  </w:rPr>
                </w:pPr>
              </w:p>
            </w:sdtContent>
          </w:sdt>
          <w:p w14:paraId="4EF060F1" w14:textId="5D0E64AF" w:rsidR="0059409D" w:rsidRPr="0041691B" w:rsidRDefault="0076487B" w:rsidP="00F70C29">
            <w:r>
              <w:t xml:space="preserve">28 </w:t>
            </w:r>
            <w:r w:rsidR="00F70C29">
              <w:t>May 2020</w:t>
            </w:r>
          </w:p>
        </w:tc>
      </w:tr>
      <w:tr w:rsidR="0059409D" w:rsidRPr="0041691B" w14:paraId="748D73AC" w14:textId="77777777" w:rsidTr="005E32FC">
        <w:trPr>
          <w:trHeight w:val="2017"/>
        </w:trPr>
        <w:tc>
          <w:tcPr>
            <w:tcW w:w="5018" w:type="dxa"/>
            <w:tcBorders>
              <w:right w:val="single" w:sz="12" w:space="0" w:color="005596" w:themeColor="text2"/>
            </w:tcBorders>
          </w:tcPr>
          <w:p w14:paraId="50EEB73A" w14:textId="77777777" w:rsidR="0059409D" w:rsidRPr="0041691B" w:rsidRDefault="009F1DDB" w:rsidP="0041691B">
            <w:r w:rsidRPr="0041691B">
              <w:rPr>
                <w:noProof/>
                <w:lang w:eastAsia="en-GB"/>
              </w:rPr>
              <w:drawing>
                <wp:anchor distT="0" distB="0" distL="114300" distR="114300" simplePos="0" relativeHeight="251658244" behindDoc="1" locked="0" layoutInCell="1" allowOverlap="1" wp14:anchorId="0D17E578" wp14:editId="68CAEF47">
                  <wp:simplePos x="0" y="0"/>
                  <wp:positionH relativeFrom="column">
                    <wp:posOffset>1756410</wp:posOffset>
                  </wp:positionH>
                  <wp:positionV relativeFrom="page">
                    <wp:posOffset>214630</wp:posOffset>
                  </wp:positionV>
                  <wp:extent cx="1247140" cy="619125"/>
                  <wp:effectExtent l="0" t="0" r="0" b="9525"/>
                  <wp:wrapTight wrapText="bothSides">
                    <wp:wrapPolygon edited="0">
                      <wp:start x="0" y="0"/>
                      <wp:lineTo x="0" y="21268"/>
                      <wp:lineTo x="21116" y="21268"/>
                      <wp:lineTo x="211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margin">
                    <wp14:pctWidth>0</wp14:pctWidth>
                  </wp14:sizeRelH>
                  <wp14:sizeRelV relativeFrom="margin">
                    <wp14:pctHeight>0</wp14:pctHeight>
                  </wp14:sizeRelV>
                </wp:anchor>
              </w:drawing>
            </w:r>
            <w:r w:rsidRPr="0041691B">
              <w:rPr>
                <w:noProof/>
                <w:color w:val="0000FF"/>
                <w:lang w:eastAsia="en-GB"/>
              </w:rPr>
              <w:drawing>
                <wp:anchor distT="0" distB="0" distL="114300" distR="114300" simplePos="0" relativeHeight="251658242" behindDoc="1" locked="0" layoutInCell="1" allowOverlap="1" wp14:anchorId="4C4A69F5" wp14:editId="5DCFBCCF">
                  <wp:simplePos x="0" y="0"/>
                  <wp:positionH relativeFrom="column">
                    <wp:posOffset>184150</wp:posOffset>
                  </wp:positionH>
                  <wp:positionV relativeFrom="page">
                    <wp:posOffset>294005</wp:posOffset>
                  </wp:positionV>
                  <wp:extent cx="1235075" cy="533400"/>
                  <wp:effectExtent l="0" t="0" r="3175" b="0"/>
                  <wp:wrapTight wrapText="bothSides">
                    <wp:wrapPolygon edited="0">
                      <wp:start x="0" y="0"/>
                      <wp:lineTo x="0" y="20829"/>
                      <wp:lineTo x="21322" y="20829"/>
                      <wp:lineTo x="21322" y="0"/>
                      <wp:lineTo x="0" y="0"/>
                    </wp:wrapPolygon>
                  </wp:wrapTight>
                  <wp:docPr id="10" name="Picture 10"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0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tcPr>
          <w:p w14:paraId="294FF987" w14:textId="77777777" w:rsidR="003C573F" w:rsidRDefault="003C573F" w:rsidP="003C573F"/>
          <w:p w14:paraId="50E4CCB1" w14:textId="7C247B45" w:rsidR="0059409D" w:rsidRPr="0041691B" w:rsidRDefault="003C573F" w:rsidP="003C573F">
            <w:r>
              <w:t>This document was produced as part of the ESA-funded project “Fiducial Reference Measurements for Vegetation Phase 2 (FRM4VEG 2)” under ESA contract number: 4000129823/20/I-NS</w:t>
            </w:r>
          </w:p>
        </w:tc>
      </w:tr>
    </w:tbl>
    <w:p w14:paraId="719B715C" w14:textId="77777777" w:rsidR="0067464D" w:rsidRDefault="0067464D" w:rsidP="0041691B">
      <w:pPr>
        <w:pStyle w:val="Heading5"/>
      </w:pPr>
    </w:p>
    <w:p w14:paraId="7358DB91" w14:textId="77777777" w:rsidR="0067464D" w:rsidRDefault="0067464D" w:rsidP="0067464D">
      <w:pPr>
        <w:rPr>
          <w:rFonts w:asciiTheme="majorHAnsi" w:eastAsiaTheme="majorEastAsia" w:hAnsiTheme="majorHAnsi" w:cstheme="majorBidi"/>
          <w:color w:val="005596" w:themeColor="text2"/>
          <w:sz w:val="32"/>
          <w:szCs w:val="32"/>
        </w:rPr>
      </w:pPr>
      <w:r>
        <w:br w:type="page"/>
      </w:r>
    </w:p>
    <w:p w14:paraId="7E291972" w14:textId="77777777" w:rsidR="00FF6D23" w:rsidRDefault="00FF6D23" w:rsidP="00FF6D23">
      <w:pPr>
        <w:pStyle w:val="Heading5"/>
      </w:pPr>
      <w:bookmarkStart w:id="0" w:name="_Toc40019260"/>
      <w:bookmarkStart w:id="1" w:name="_Toc40020417"/>
      <w:bookmarkStart w:id="2" w:name="_Toc40109232"/>
      <w:r>
        <w:lastRenderedPageBreak/>
        <w:t>Authors</w:t>
      </w:r>
      <w:bookmarkEnd w:id="0"/>
      <w:bookmarkEnd w:id="1"/>
      <w:bookmarkEnd w:id="2"/>
    </w:p>
    <w:p w14:paraId="09C21C29" w14:textId="77777777" w:rsidR="00FF6D23" w:rsidRDefault="00FF6D23" w:rsidP="00FF6D23"/>
    <w:tbl>
      <w:tblPr>
        <w:tblStyle w:val="TableGrid"/>
        <w:tblW w:w="0" w:type="auto"/>
        <w:tblLook w:val="04A0" w:firstRow="1" w:lastRow="0" w:firstColumn="1" w:lastColumn="0" w:noHBand="0" w:noVBand="1"/>
      </w:tblPr>
      <w:tblGrid>
        <w:gridCol w:w="2254"/>
        <w:gridCol w:w="2254"/>
        <w:gridCol w:w="2717"/>
        <w:gridCol w:w="1791"/>
      </w:tblGrid>
      <w:tr w:rsidR="00FF6D23" w14:paraId="678382DA" w14:textId="77777777" w:rsidTr="00C97FA6">
        <w:tc>
          <w:tcPr>
            <w:tcW w:w="2254" w:type="dxa"/>
            <w:tcBorders>
              <w:top w:val="single" w:sz="4" w:space="0" w:color="auto"/>
              <w:left w:val="single" w:sz="4" w:space="0" w:color="auto"/>
              <w:bottom w:val="single" w:sz="4" w:space="0" w:color="auto"/>
              <w:right w:val="single" w:sz="4" w:space="0" w:color="auto"/>
            </w:tcBorders>
          </w:tcPr>
          <w:p w14:paraId="76BEFA2D" w14:textId="77777777" w:rsidR="00FF6D23" w:rsidRDefault="00FF6D23" w:rsidP="00C97FA6"/>
        </w:tc>
        <w:tc>
          <w:tcPr>
            <w:tcW w:w="2254" w:type="dxa"/>
            <w:tcBorders>
              <w:top w:val="single" w:sz="4" w:space="0" w:color="auto"/>
              <w:left w:val="single" w:sz="4" w:space="0" w:color="auto"/>
              <w:bottom w:val="single" w:sz="4" w:space="0" w:color="auto"/>
              <w:right w:val="single" w:sz="4" w:space="0" w:color="auto"/>
            </w:tcBorders>
            <w:hideMark/>
          </w:tcPr>
          <w:p w14:paraId="179093C6" w14:textId="77777777" w:rsidR="00FF6D23" w:rsidRDefault="00FF6D23" w:rsidP="00C97FA6">
            <w:pPr>
              <w:rPr>
                <w:b/>
                <w:bCs/>
              </w:rPr>
            </w:pPr>
            <w:r>
              <w:rPr>
                <w:b/>
                <w:bCs/>
              </w:rPr>
              <w:t>Name</w:t>
            </w:r>
          </w:p>
        </w:tc>
        <w:tc>
          <w:tcPr>
            <w:tcW w:w="2717" w:type="dxa"/>
            <w:tcBorders>
              <w:top w:val="single" w:sz="4" w:space="0" w:color="auto"/>
              <w:left w:val="single" w:sz="4" w:space="0" w:color="auto"/>
              <w:bottom w:val="single" w:sz="4" w:space="0" w:color="auto"/>
              <w:right w:val="single" w:sz="4" w:space="0" w:color="auto"/>
            </w:tcBorders>
            <w:hideMark/>
          </w:tcPr>
          <w:p w14:paraId="2081DD7C" w14:textId="77777777" w:rsidR="00FF6D23" w:rsidRDefault="00FF6D23" w:rsidP="00C97FA6">
            <w:pPr>
              <w:rPr>
                <w:b/>
                <w:bCs/>
              </w:rPr>
            </w:pPr>
            <w:r>
              <w:rPr>
                <w:b/>
                <w:bCs/>
              </w:rPr>
              <w:t>Organisation</w:t>
            </w:r>
          </w:p>
        </w:tc>
        <w:tc>
          <w:tcPr>
            <w:tcW w:w="1791" w:type="dxa"/>
            <w:tcBorders>
              <w:top w:val="single" w:sz="4" w:space="0" w:color="auto"/>
              <w:left w:val="single" w:sz="4" w:space="0" w:color="auto"/>
              <w:bottom w:val="single" w:sz="4" w:space="0" w:color="auto"/>
              <w:right w:val="single" w:sz="4" w:space="0" w:color="auto"/>
            </w:tcBorders>
            <w:hideMark/>
          </w:tcPr>
          <w:p w14:paraId="311AAD9F" w14:textId="77777777" w:rsidR="00FF6D23" w:rsidRDefault="00FF6D23" w:rsidP="00C97FA6">
            <w:pPr>
              <w:rPr>
                <w:b/>
                <w:bCs/>
              </w:rPr>
            </w:pPr>
            <w:r>
              <w:rPr>
                <w:b/>
                <w:bCs/>
              </w:rPr>
              <w:t>Date</w:t>
            </w:r>
          </w:p>
        </w:tc>
      </w:tr>
      <w:tr w:rsidR="00FF6D23" w14:paraId="3BAB9841"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3B3FDA16" w14:textId="77777777" w:rsidR="00FF6D23" w:rsidRDefault="00FF6D23" w:rsidP="00C97FA6">
            <w:pPr>
              <w:rPr>
                <w:b/>
                <w:bCs/>
              </w:rPr>
            </w:pPr>
            <w:r>
              <w:rPr>
                <w:b/>
                <w:bCs/>
              </w:rPr>
              <w:t>Written by</w:t>
            </w:r>
          </w:p>
        </w:tc>
        <w:tc>
          <w:tcPr>
            <w:tcW w:w="2254" w:type="dxa"/>
            <w:tcBorders>
              <w:top w:val="single" w:sz="4" w:space="0" w:color="auto"/>
              <w:left w:val="single" w:sz="4" w:space="0" w:color="auto"/>
              <w:bottom w:val="single" w:sz="4" w:space="0" w:color="auto"/>
              <w:right w:val="single" w:sz="4" w:space="0" w:color="auto"/>
            </w:tcBorders>
            <w:hideMark/>
          </w:tcPr>
          <w:p w14:paraId="1B9E3F42" w14:textId="77777777" w:rsidR="00FF6D23" w:rsidRDefault="00FF6D23" w:rsidP="00C97FA6">
            <w:r>
              <w:t>Niall Origo</w:t>
            </w:r>
          </w:p>
        </w:tc>
        <w:tc>
          <w:tcPr>
            <w:tcW w:w="2717" w:type="dxa"/>
            <w:tcBorders>
              <w:top w:val="single" w:sz="4" w:space="0" w:color="auto"/>
              <w:left w:val="single" w:sz="4" w:space="0" w:color="auto"/>
              <w:bottom w:val="single" w:sz="4" w:space="0" w:color="auto"/>
              <w:right w:val="single" w:sz="4" w:space="0" w:color="auto"/>
            </w:tcBorders>
            <w:hideMark/>
          </w:tcPr>
          <w:p w14:paraId="20ED8279" w14:textId="77777777" w:rsidR="00FF6D23" w:rsidRDefault="00FF6D23" w:rsidP="00C97FA6">
            <w:r>
              <w:t>NPL</w:t>
            </w:r>
          </w:p>
        </w:tc>
        <w:tc>
          <w:tcPr>
            <w:tcW w:w="1791" w:type="dxa"/>
            <w:tcBorders>
              <w:top w:val="single" w:sz="4" w:space="0" w:color="auto"/>
              <w:left w:val="single" w:sz="4" w:space="0" w:color="auto"/>
              <w:bottom w:val="single" w:sz="4" w:space="0" w:color="auto"/>
              <w:right w:val="single" w:sz="4" w:space="0" w:color="auto"/>
            </w:tcBorders>
            <w:hideMark/>
          </w:tcPr>
          <w:p w14:paraId="52B317F9" w14:textId="2F425A62" w:rsidR="00FF6D23" w:rsidRDefault="000D394B" w:rsidP="00C97FA6">
            <w:r>
              <w:t>28</w:t>
            </w:r>
            <w:r w:rsidR="00FF6D23">
              <w:t>/05/2020</w:t>
            </w:r>
          </w:p>
        </w:tc>
      </w:tr>
      <w:tr w:rsidR="00FF6D23" w14:paraId="03C24BB3" w14:textId="77777777" w:rsidTr="00C97FA6">
        <w:tc>
          <w:tcPr>
            <w:tcW w:w="2254" w:type="dxa"/>
            <w:tcBorders>
              <w:top w:val="single" w:sz="4" w:space="0" w:color="auto"/>
              <w:left w:val="single" w:sz="4" w:space="0" w:color="auto"/>
              <w:bottom w:val="single" w:sz="4" w:space="0" w:color="auto"/>
              <w:right w:val="single" w:sz="4" w:space="0" w:color="auto"/>
            </w:tcBorders>
          </w:tcPr>
          <w:p w14:paraId="40FCC590" w14:textId="77777777" w:rsidR="00FF6D23" w:rsidRDefault="00FF6D23" w:rsidP="00C97FA6">
            <w:pPr>
              <w:rPr>
                <w:b/>
                <w:bCs/>
              </w:rPr>
            </w:pPr>
          </w:p>
        </w:tc>
        <w:tc>
          <w:tcPr>
            <w:tcW w:w="2254" w:type="dxa"/>
            <w:tcBorders>
              <w:top w:val="single" w:sz="4" w:space="0" w:color="auto"/>
              <w:left w:val="single" w:sz="4" w:space="0" w:color="auto"/>
              <w:bottom w:val="single" w:sz="4" w:space="0" w:color="auto"/>
              <w:right w:val="single" w:sz="4" w:space="0" w:color="auto"/>
            </w:tcBorders>
            <w:hideMark/>
          </w:tcPr>
          <w:p w14:paraId="3C33F7E2" w14:textId="77777777" w:rsidR="00FF6D23" w:rsidRDefault="00FF6D23" w:rsidP="00C97FA6">
            <w:r>
              <w:t xml:space="preserve">Rosalinda Morrone </w:t>
            </w:r>
          </w:p>
        </w:tc>
        <w:tc>
          <w:tcPr>
            <w:tcW w:w="2717" w:type="dxa"/>
            <w:tcBorders>
              <w:top w:val="single" w:sz="4" w:space="0" w:color="auto"/>
              <w:left w:val="single" w:sz="4" w:space="0" w:color="auto"/>
              <w:bottom w:val="single" w:sz="4" w:space="0" w:color="auto"/>
              <w:right w:val="single" w:sz="4" w:space="0" w:color="auto"/>
            </w:tcBorders>
            <w:hideMark/>
          </w:tcPr>
          <w:p w14:paraId="30B97963" w14:textId="77777777" w:rsidR="00FF6D23" w:rsidRDefault="00FF6D23" w:rsidP="00C97FA6">
            <w:r>
              <w:t>NPL</w:t>
            </w:r>
          </w:p>
        </w:tc>
        <w:tc>
          <w:tcPr>
            <w:tcW w:w="1791" w:type="dxa"/>
            <w:tcBorders>
              <w:top w:val="single" w:sz="4" w:space="0" w:color="auto"/>
              <w:left w:val="single" w:sz="4" w:space="0" w:color="auto"/>
              <w:bottom w:val="single" w:sz="4" w:space="0" w:color="auto"/>
              <w:right w:val="single" w:sz="4" w:space="0" w:color="auto"/>
            </w:tcBorders>
          </w:tcPr>
          <w:p w14:paraId="56728E19" w14:textId="77777777" w:rsidR="00FF6D23" w:rsidRDefault="00FF6D23" w:rsidP="00C97FA6"/>
        </w:tc>
      </w:tr>
      <w:tr w:rsidR="00FF6D23" w14:paraId="5C631190" w14:textId="77777777" w:rsidTr="00C97FA6">
        <w:tc>
          <w:tcPr>
            <w:tcW w:w="2254" w:type="dxa"/>
            <w:tcBorders>
              <w:top w:val="single" w:sz="4" w:space="0" w:color="auto"/>
              <w:left w:val="single" w:sz="4" w:space="0" w:color="auto"/>
              <w:bottom w:val="single" w:sz="4" w:space="0" w:color="auto"/>
              <w:right w:val="single" w:sz="4" w:space="0" w:color="auto"/>
            </w:tcBorders>
          </w:tcPr>
          <w:p w14:paraId="4FDEB3BF" w14:textId="77777777" w:rsidR="00FF6D23" w:rsidRDefault="00FF6D23" w:rsidP="00C97FA6">
            <w:pPr>
              <w:rPr>
                <w:b/>
                <w:bCs/>
              </w:rPr>
            </w:pPr>
          </w:p>
        </w:tc>
        <w:tc>
          <w:tcPr>
            <w:tcW w:w="2254" w:type="dxa"/>
            <w:tcBorders>
              <w:top w:val="single" w:sz="4" w:space="0" w:color="auto"/>
              <w:left w:val="single" w:sz="4" w:space="0" w:color="auto"/>
              <w:bottom w:val="single" w:sz="4" w:space="0" w:color="auto"/>
              <w:right w:val="single" w:sz="4" w:space="0" w:color="auto"/>
            </w:tcBorders>
            <w:hideMark/>
          </w:tcPr>
          <w:p w14:paraId="2DA27630" w14:textId="77777777" w:rsidR="00FF6D23" w:rsidRDefault="00FF6D23" w:rsidP="00C97FA6">
            <w:r>
              <w:t>Joanne Nightingale</w:t>
            </w:r>
          </w:p>
        </w:tc>
        <w:tc>
          <w:tcPr>
            <w:tcW w:w="2717" w:type="dxa"/>
            <w:tcBorders>
              <w:top w:val="single" w:sz="4" w:space="0" w:color="auto"/>
              <w:left w:val="single" w:sz="4" w:space="0" w:color="auto"/>
              <w:bottom w:val="single" w:sz="4" w:space="0" w:color="auto"/>
              <w:right w:val="single" w:sz="4" w:space="0" w:color="auto"/>
            </w:tcBorders>
            <w:hideMark/>
          </w:tcPr>
          <w:p w14:paraId="4C9CD412" w14:textId="77777777" w:rsidR="00FF6D23" w:rsidRDefault="00FF6D23" w:rsidP="00C97FA6">
            <w:r>
              <w:t>NPL</w:t>
            </w:r>
          </w:p>
        </w:tc>
        <w:tc>
          <w:tcPr>
            <w:tcW w:w="1791" w:type="dxa"/>
            <w:tcBorders>
              <w:top w:val="single" w:sz="4" w:space="0" w:color="auto"/>
              <w:left w:val="single" w:sz="4" w:space="0" w:color="auto"/>
              <w:bottom w:val="single" w:sz="4" w:space="0" w:color="auto"/>
              <w:right w:val="single" w:sz="4" w:space="0" w:color="auto"/>
            </w:tcBorders>
          </w:tcPr>
          <w:p w14:paraId="37809F11" w14:textId="77777777" w:rsidR="00FF6D23" w:rsidRDefault="00FF6D23" w:rsidP="00C97FA6"/>
        </w:tc>
      </w:tr>
      <w:tr w:rsidR="00FF6D23" w14:paraId="24EDB695"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33D0C32F" w14:textId="77777777" w:rsidR="00FF6D23" w:rsidRDefault="00FF6D23" w:rsidP="00C97FA6">
            <w:pPr>
              <w:rPr>
                <w:b/>
                <w:bCs/>
              </w:rPr>
            </w:pPr>
            <w:r>
              <w:rPr>
                <w:b/>
                <w:bCs/>
              </w:rPr>
              <w:t>Reviewed by (consortium)</w:t>
            </w:r>
          </w:p>
        </w:tc>
        <w:tc>
          <w:tcPr>
            <w:tcW w:w="2254" w:type="dxa"/>
            <w:tcBorders>
              <w:top w:val="single" w:sz="4" w:space="0" w:color="auto"/>
              <w:left w:val="single" w:sz="4" w:space="0" w:color="auto"/>
              <w:bottom w:val="single" w:sz="4" w:space="0" w:color="auto"/>
              <w:right w:val="single" w:sz="4" w:space="0" w:color="auto"/>
            </w:tcBorders>
          </w:tcPr>
          <w:p w14:paraId="6ADCAA01" w14:textId="77777777" w:rsidR="00FF6D23" w:rsidRDefault="00FF6D23" w:rsidP="00C97FA6"/>
        </w:tc>
        <w:tc>
          <w:tcPr>
            <w:tcW w:w="2717" w:type="dxa"/>
            <w:tcBorders>
              <w:top w:val="single" w:sz="4" w:space="0" w:color="auto"/>
              <w:left w:val="single" w:sz="4" w:space="0" w:color="auto"/>
              <w:bottom w:val="single" w:sz="4" w:space="0" w:color="auto"/>
              <w:right w:val="single" w:sz="4" w:space="0" w:color="auto"/>
            </w:tcBorders>
          </w:tcPr>
          <w:p w14:paraId="2E72D097" w14:textId="77777777" w:rsidR="00FF6D23" w:rsidRDefault="00FF6D23" w:rsidP="00C97FA6"/>
        </w:tc>
        <w:tc>
          <w:tcPr>
            <w:tcW w:w="1791" w:type="dxa"/>
            <w:tcBorders>
              <w:top w:val="single" w:sz="4" w:space="0" w:color="auto"/>
              <w:left w:val="single" w:sz="4" w:space="0" w:color="auto"/>
              <w:bottom w:val="single" w:sz="4" w:space="0" w:color="auto"/>
              <w:right w:val="single" w:sz="4" w:space="0" w:color="auto"/>
            </w:tcBorders>
          </w:tcPr>
          <w:p w14:paraId="05B8FDD0" w14:textId="77777777" w:rsidR="00FF6D23" w:rsidRDefault="00FF6D23" w:rsidP="00C97FA6"/>
        </w:tc>
      </w:tr>
      <w:tr w:rsidR="00FF6D23" w14:paraId="482178EF"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4E823770" w14:textId="77777777" w:rsidR="00FF6D23" w:rsidRDefault="00FF6D23" w:rsidP="00C97FA6">
            <w:pPr>
              <w:rPr>
                <w:b/>
                <w:bCs/>
              </w:rPr>
            </w:pPr>
            <w:r>
              <w:rPr>
                <w:b/>
                <w:bCs/>
              </w:rPr>
              <w:t>Approved by (ESA)</w:t>
            </w:r>
          </w:p>
        </w:tc>
        <w:tc>
          <w:tcPr>
            <w:tcW w:w="2254" w:type="dxa"/>
            <w:tcBorders>
              <w:top w:val="single" w:sz="4" w:space="0" w:color="auto"/>
              <w:left w:val="single" w:sz="4" w:space="0" w:color="auto"/>
              <w:bottom w:val="single" w:sz="4" w:space="0" w:color="auto"/>
              <w:right w:val="single" w:sz="4" w:space="0" w:color="auto"/>
            </w:tcBorders>
          </w:tcPr>
          <w:p w14:paraId="74959E33" w14:textId="77777777" w:rsidR="00FF6D23" w:rsidRDefault="00FF6D23" w:rsidP="00C97FA6"/>
        </w:tc>
        <w:tc>
          <w:tcPr>
            <w:tcW w:w="2717" w:type="dxa"/>
            <w:tcBorders>
              <w:top w:val="single" w:sz="4" w:space="0" w:color="auto"/>
              <w:left w:val="single" w:sz="4" w:space="0" w:color="auto"/>
              <w:bottom w:val="single" w:sz="4" w:space="0" w:color="auto"/>
              <w:right w:val="single" w:sz="4" w:space="0" w:color="auto"/>
            </w:tcBorders>
          </w:tcPr>
          <w:p w14:paraId="2AE2F48D" w14:textId="77777777" w:rsidR="00FF6D23" w:rsidRDefault="00FF6D23" w:rsidP="00C97FA6"/>
        </w:tc>
        <w:tc>
          <w:tcPr>
            <w:tcW w:w="1791" w:type="dxa"/>
            <w:tcBorders>
              <w:top w:val="single" w:sz="4" w:space="0" w:color="auto"/>
              <w:left w:val="single" w:sz="4" w:space="0" w:color="auto"/>
              <w:bottom w:val="single" w:sz="4" w:space="0" w:color="auto"/>
              <w:right w:val="single" w:sz="4" w:space="0" w:color="auto"/>
            </w:tcBorders>
          </w:tcPr>
          <w:p w14:paraId="5FCC9FF6" w14:textId="77777777" w:rsidR="00FF6D23" w:rsidRDefault="00FF6D23" w:rsidP="00C97FA6"/>
        </w:tc>
      </w:tr>
    </w:tbl>
    <w:p w14:paraId="47293720" w14:textId="64A0A22D" w:rsidR="00FF6D23" w:rsidRDefault="00FF6D23" w:rsidP="00FF6D23"/>
    <w:p w14:paraId="017A7C88" w14:textId="77777777" w:rsidR="00C427C9" w:rsidRDefault="00C427C9" w:rsidP="00FF6D23"/>
    <w:p w14:paraId="13349959" w14:textId="77777777" w:rsidR="00FF6D23" w:rsidRDefault="00FF6D23" w:rsidP="00FF6D23">
      <w:pPr>
        <w:pStyle w:val="Heading5"/>
      </w:pPr>
      <w:bookmarkStart w:id="3" w:name="_Toc39760787"/>
      <w:bookmarkStart w:id="4" w:name="_Toc39745690"/>
      <w:bookmarkStart w:id="5" w:name="_Toc40019261"/>
      <w:bookmarkStart w:id="6" w:name="_Toc40020418"/>
      <w:bookmarkStart w:id="7" w:name="_Toc40109233"/>
      <w:r>
        <w:t>Version History</w:t>
      </w:r>
      <w:bookmarkEnd w:id="3"/>
      <w:bookmarkEnd w:id="4"/>
      <w:bookmarkEnd w:id="5"/>
      <w:bookmarkEnd w:id="6"/>
      <w:bookmarkEnd w:id="7"/>
    </w:p>
    <w:p w14:paraId="63EBB330" w14:textId="77777777" w:rsidR="00FF6D23" w:rsidRDefault="00FF6D23" w:rsidP="00FF6D23"/>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201"/>
      </w:tblGrid>
      <w:tr w:rsidR="00FF6D23" w14:paraId="34DB1310" w14:textId="77777777" w:rsidTr="00C97FA6">
        <w:tc>
          <w:tcPr>
            <w:tcW w:w="2122" w:type="dxa"/>
            <w:tcBorders>
              <w:top w:val="single" w:sz="4" w:space="0" w:color="auto"/>
              <w:left w:val="single" w:sz="4" w:space="0" w:color="auto"/>
              <w:bottom w:val="single" w:sz="4" w:space="0" w:color="auto"/>
              <w:right w:val="single" w:sz="4" w:space="0" w:color="auto"/>
            </w:tcBorders>
            <w:hideMark/>
          </w:tcPr>
          <w:p w14:paraId="644619B1" w14:textId="77777777" w:rsidR="00FF6D23" w:rsidRDefault="00FF6D23" w:rsidP="00C97FA6">
            <w:pPr>
              <w:rPr>
                <w:b/>
                <w:bCs/>
              </w:rPr>
            </w:pPr>
            <w:r>
              <w:rPr>
                <w:b/>
                <w:bCs/>
              </w:rPr>
              <w:t>Version</w:t>
            </w:r>
          </w:p>
        </w:tc>
        <w:tc>
          <w:tcPr>
            <w:tcW w:w="2693" w:type="dxa"/>
            <w:tcBorders>
              <w:top w:val="single" w:sz="4" w:space="0" w:color="auto"/>
              <w:left w:val="single" w:sz="4" w:space="0" w:color="auto"/>
              <w:bottom w:val="single" w:sz="4" w:space="0" w:color="auto"/>
              <w:right w:val="single" w:sz="4" w:space="0" w:color="auto"/>
            </w:tcBorders>
            <w:hideMark/>
          </w:tcPr>
          <w:p w14:paraId="705492A9" w14:textId="77777777" w:rsidR="00FF6D23" w:rsidRDefault="00FF6D23" w:rsidP="00C97FA6">
            <w:pPr>
              <w:rPr>
                <w:b/>
                <w:bCs/>
              </w:rPr>
            </w:pPr>
            <w:r>
              <w:rPr>
                <w:b/>
                <w:bCs/>
              </w:rPr>
              <w:t>Date</w:t>
            </w:r>
          </w:p>
        </w:tc>
        <w:tc>
          <w:tcPr>
            <w:tcW w:w="4201" w:type="dxa"/>
            <w:tcBorders>
              <w:top w:val="single" w:sz="4" w:space="0" w:color="auto"/>
              <w:left w:val="single" w:sz="4" w:space="0" w:color="auto"/>
              <w:bottom w:val="single" w:sz="4" w:space="0" w:color="auto"/>
              <w:right w:val="single" w:sz="4" w:space="0" w:color="auto"/>
            </w:tcBorders>
            <w:hideMark/>
          </w:tcPr>
          <w:p w14:paraId="778B44CB" w14:textId="77777777" w:rsidR="00FF6D23" w:rsidRDefault="00FF6D23" w:rsidP="00C97FA6">
            <w:pPr>
              <w:rPr>
                <w:b/>
                <w:bCs/>
              </w:rPr>
            </w:pPr>
            <w:r>
              <w:rPr>
                <w:b/>
                <w:bCs/>
              </w:rPr>
              <w:t>Publicly available or private to consortium</w:t>
            </w:r>
          </w:p>
        </w:tc>
      </w:tr>
      <w:tr w:rsidR="00FF6D23" w14:paraId="402FC5D2" w14:textId="77777777" w:rsidTr="00C97FA6">
        <w:tc>
          <w:tcPr>
            <w:tcW w:w="2122" w:type="dxa"/>
            <w:tcBorders>
              <w:top w:val="single" w:sz="4" w:space="0" w:color="auto"/>
              <w:left w:val="single" w:sz="4" w:space="0" w:color="auto"/>
              <w:bottom w:val="single" w:sz="4" w:space="0" w:color="auto"/>
              <w:right w:val="single" w:sz="4" w:space="0" w:color="auto"/>
            </w:tcBorders>
            <w:hideMark/>
          </w:tcPr>
          <w:p w14:paraId="53771544" w14:textId="77777777" w:rsidR="00FF6D23" w:rsidRDefault="00FF6D23" w:rsidP="00C97FA6">
            <w:r>
              <w:t>1.0</w:t>
            </w:r>
          </w:p>
        </w:tc>
        <w:tc>
          <w:tcPr>
            <w:tcW w:w="2693" w:type="dxa"/>
            <w:tcBorders>
              <w:top w:val="single" w:sz="4" w:space="0" w:color="auto"/>
              <w:left w:val="single" w:sz="4" w:space="0" w:color="auto"/>
              <w:bottom w:val="single" w:sz="4" w:space="0" w:color="auto"/>
              <w:right w:val="single" w:sz="4" w:space="0" w:color="auto"/>
            </w:tcBorders>
            <w:hideMark/>
          </w:tcPr>
          <w:p w14:paraId="1A77C459" w14:textId="507B2A5B" w:rsidR="00FF6D23" w:rsidRDefault="000D394B" w:rsidP="00C97FA6">
            <w:r>
              <w:t>28</w:t>
            </w:r>
            <w:r w:rsidR="00FF6D23">
              <w:t>/05/2020</w:t>
            </w:r>
          </w:p>
        </w:tc>
        <w:tc>
          <w:tcPr>
            <w:tcW w:w="4201" w:type="dxa"/>
            <w:tcBorders>
              <w:top w:val="single" w:sz="4" w:space="0" w:color="auto"/>
              <w:left w:val="single" w:sz="4" w:space="0" w:color="auto"/>
              <w:bottom w:val="single" w:sz="4" w:space="0" w:color="auto"/>
              <w:right w:val="single" w:sz="4" w:space="0" w:color="auto"/>
            </w:tcBorders>
            <w:hideMark/>
          </w:tcPr>
          <w:p w14:paraId="7FB43A5C" w14:textId="77777777" w:rsidR="00FF6D23" w:rsidRDefault="00FF6D23" w:rsidP="00C97FA6">
            <w:r>
              <w:t>Private Consortium</w:t>
            </w:r>
          </w:p>
        </w:tc>
      </w:tr>
    </w:tbl>
    <w:p w14:paraId="03C4E06F" w14:textId="77777777" w:rsidR="00FF6D23" w:rsidRDefault="00FF6D23" w:rsidP="00FF6D23"/>
    <w:p w14:paraId="32E2BF51" w14:textId="77777777" w:rsidR="00FF6D23" w:rsidRDefault="00FF6D23" w:rsidP="00FF6D23"/>
    <w:p w14:paraId="3FD25AB8" w14:textId="7B889402" w:rsidR="00FF6D23" w:rsidRDefault="00FF6D23" w:rsidP="00FF6D23">
      <w:r>
        <w:br w:type="page"/>
      </w:r>
    </w:p>
    <w:p w14:paraId="043CC16D" w14:textId="77777777" w:rsidR="00816E07" w:rsidRDefault="00816E07" w:rsidP="00FF6D23"/>
    <w:p w14:paraId="469C24AB" w14:textId="65D8281B" w:rsidR="0041691B" w:rsidRDefault="00FF6D23" w:rsidP="00816E07">
      <w:pPr>
        <w:pStyle w:val="Heading1"/>
        <w:numPr>
          <w:ilvl w:val="0"/>
          <w:numId w:val="0"/>
        </w:numPr>
        <w:ind w:left="432" w:hanging="432"/>
      </w:pPr>
      <w:bookmarkStart w:id="8" w:name="_Toc40109234"/>
      <w:r>
        <w:t xml:space="preserve">Table of </w:t>
      </w:r>
      <w:r w:rsidR="0041691B">
        <w:t>Contents</w:t>
      </w:r>
      <w:bookmarkEnd w:id="8"/>
    </w:p>
    <w:p w14:paraId="606B62BA" w14:textId="77777777" w:rsidR="00BD626B" w:rsidRPr="00BD626B" w:rsidRDefault="00BD626B" w:rsidP="00BD626B"/>
    <w:p w14:paraId="4CA00411" w14:textId="116F32CC" w:rsidR="00C427C9" w:rsidRDefault="00D60F20">
      <w:pPr>
        <w:pStyle w:val="TOC1"/>
        <w:tabs>
          <w:tab w:val="right" w:leader="dot" w:pos="9016"/>
        </w:tabs>
        <w:rPr>
          <w:rFonts w:eastAsiaTheme="minorEastAsia"/>
          <w:b w:val="0"/>
          <w:bCs w:val="0"/>
          <w:caps w:val="0"/>
          <w:noProof/>
          <w:sz w:val="22"/>
          <w:szCs w:val="22"/>
          <w:lang w:eastAsia="en-GB"/>
        </w:rPr>
      </w:pPr>
      <w:r>
        <w:fldChar w:fldCharType="begin"/>
      </w:r>
      <w:r>
        <w:instrText xml:space="preserve"> TOC \o "1-3" \h \z \u \t "Heading 5,1,Heading 6,1,Heading 7,2,Heading 8,3" </w:instrText>
      </w:r>
      <w:r>
        <w:fldChar w:fldCharType="separate"/>
      </w:r>
      <w:hyperlink w:anchor="_Toc40109232" w:history="1">
        <w:r w:rsidR="00C427C9" w:rsidRPr="00790BA8">
          <w:rPr>
            <w:rStyle w:val="Hyperlink"/>
            <w:noProof/>
          </w:rPr>
          <w:t>Authors</w:t>
        </w:r>
        <w:r w:rsidR="00C427C9">
          <w:rPr>
            <w:noProof/>
            <w:webHidden/>
          </w:rPr>
          <w:tab/>
        </w:r>
        <w:r w:rsidR="00C427C9">
          <w:rPr>
            <w:noProof/>
            <w:webHidden/>
          </w:rPr>
          <w:fldChar w:fldCharType="begin"/>
        </w:r>
        <w:r w:rsidR="00C427C9">
          <w:rPr>
            <w:noProof/>
            <w:webHidden/>
          </w:rPr>
          <w:instrText xml:space="preserve"> PAGEREF _Toc40109232 \h </w:instrText>
        </w:r>
        <w:r w:rsidR="00C427C9">
          <w:rPr>
            <w:noProof/>
            <w:webHidden/>
          </w:rPr>
        </w:r>
        <w:r w:rsidR="00C427C9">
          <w:rPr>
            <w:noProof/>
            <w:webHidden/>
          </w:rPr>
          <w:fldChar w:fldCharType="separate"/>
        </w:r>
        <w:r w:rsidR="00C427C9">
          <w:rPr>
            <w:noProof/>
            <w:webHidden/>
          </w:rPr>
          <w:t>1</w:t>
        </w:r>
        <w:r w:rsidR="00C427C9">
          <w:rPr>
            <w:noProof/>
            <w:webHidden/>
          </w:rPr>
          <w:fldChar w:fldCharType="end"/>
        </w:r>
      </w:hyperlink>
    </w:p>
    <w:p w14:paraId="31C8E94D" w14:textId="7C022C86" w:rsidR="00C427C9" w:rsidRDefault="00A26684">
      <w:pPr>
        <w:pStyle w:val="TOC1"/>
        <w:tabs>
          <w:tab w:val="right" w:leader="dot" w:pos="9016"/>
        </w:tabs>
        <w:rPr>
          <w:rFonts w:eastAsiaTheme="minorEastAsia"/>
          <w:b w:val="0"/>
          <w:bCs w:val="0"/>
          <w:caps w:val="0"/>
          <w:noProof/>
          <w:sz w:val="22"/>
          <w:szCs w:val="22"/>
          <w:lang w:eastAsia="en-GB"/>
        </w:rPr>
      </w:pPr>
      <w:hyperlink w:anchor="_Toc40109233" w:history="1">
        <w:r w:rsidR="00C427C9" w:rsidRPr="00790BA8">
          <w:rPr>
            <w:rStyle w:val="Hyperlink"/>
            <w:noProof/>
          </w:rPr>
          <w:t>Version History</w:t>
        </w:r>
        <w:r w:rsidR="00C427C9">
          <w:rPr>
            <w:noProof/>
            <w:webHidden/>
          </w:rPr>
          <w:tab/>
        </w:r>
        <w:r w:rsidR="00C427C9">
          <w:rPr>
            <w:noProof/>
            <w:webHidden/>
          </w:rPr>
          <w:fldChar w:fldCharType="begin"/>
        </w:r>
        <w:r w:rsidR="00C427C9">
          <w:rPr>
            <w:noProof/>
            <w:webHidden/>
          </w:rPr>
          <w:instrText xml:space="preserve"> PAGEREF _Toc40109233 \h </w:instrText>
        </w:r>
        <w:r w:rsidR="00C427C9">
          <w:rPr>
            <w:noProof/>
            <w:webHidden/>
          </w:rPr>
        </w:r>
        <w:r w:rsidR="00C427C9">
          <w:rPr>
            <w:noProof/>
            <w:webHidden/>
          </w:rPr>
          <w:fldChar w:fldCharType="separate"/>
        </w:r>
        <w:r w:rsidR="00C427C9">
          <w:rPr>
            <w:noProof/>
            <w:webHidden/>
          </w:rPr>
          <w:t>1</w:t>
        </w:r>
        <w:r w:rsidR="00C427C9">
          <w:rPr>
            <w:noProof/>
            <w:webHidden/>
          </w:rPr>
          <w:fldChar w:fldCharType="end"/>
        </w:r>
      </w:hyperlink>
    </w:p>
    <w:p w14:paraId="03AB02BF" w14:textId="1271F3E7" w:rsidR="00C427C9" w:rsidRDefault="00A26684">
      <w:pPr>
        <w:pStyle w:val="TOC1"/>
        <w:tabs>
          <w:tab w:val="right" w:leader="dot" w:pos="9016"/>
        </w:tabs>
        <w:rPr>
          <w:rFonts w:eastAsiaTheme="minorEastAsia"/>
          <w:b w:val="0"/>
          <w:bCs w:val="0"/>
          <w:caps w:val="0"/>
          <w:noProof/>
          <w:sz w:val="22"/>
          <w:szCs w:val="22"/>
          <w:lang w:eastAsia="en-GB"/>
        </w:rPr>
      </w:pPr>
      <w:hyperlink w:anchor="_Toc40109234" w:history="1">
        <w:r w:rsidR="00C427C9" w:rsidRPr="00790BA8">
          <w:rPr>
            <w:rStyle w:val="Hyperlink"/>
            <w:noProof/>
          </w:rPr>
          <w:t>Table of Contents</w:t>
        </w:r>
        <w:r w:rsidR="00C427C9">
          <w:rPr>
            <w:noProof/>
            <w:webHidden/>
          </w:rPr>
          <w:tab/>
        </w:r>
        <w:r w:rsidR="00C427C9">
          <w:rPr>
            <w:noProof/>
            <w:webHidden/>
          </w:rPr>
          <w:fldChar w:fldCharType="begin"/>
        </w:r>
        <w:r w:rsidR="00C427C9">
          <w:rPr>
            <w:noProof/>
            <w:webHidden/>
          </w:rPr>
          <w:instrText xml:space="preserve"> PAGEREF _Toc40109234 \h </w:instrText>
        </w:r>
        <w:r w:rsidR="00C427C9">
          <w:rPr>
            <w:noProof/>
            <w:webHidden/>
          </w:rPr>
        </w:r>
        <w:r w:rsidR="00C427C9">
          <w:rPr>
            <w:noProof/>
            <w:webHidden/>
          </w:rPr>
          <w:fldChar w:fldCharType="separate"/>
        </w:r>
        <w:r w:rsidR="00C427C9">
          <w:rPr>
            <w:noProof/>
            <w:webHidden/>
          </w:rPr>
          <w:t>2</w:t>
        </w:r>
        <w:r w:rsidR="00C427C9">
          <w:rPr>
            <w:noProof/>
            <w:webHidden/>
          </w:rPr>
          <w:fldChar w:fldCharType="end"/>
        </w:r>
      </w:hyperlink>
    </w:p>
    <w:p w14:paraId="52950FB5" w14:textId="432A022D" w:rsidR="00C427C9" w:rsidRDefault="00A26684">
      <w:pPr>
        <w:pStyle w:val="TOC1"/>
        <w:tabs>
          <w:tab w:val="right" w:leader="dot" w:pos="9016"/>
        </w:tabs>
        <w:rPr>
          <w:rFonts w:eastAsiaTheme="minorEastAsia"/>
          <w:b w:val="0"/>
          <w:bCs w:val="0"/>
          <w:caps w:val="0"/>
          <w:noProof/>
          <w:sz w:val="22"/>
          <w:szCs w:val="22"/>
          <w:lang w:eastAsia="en-GB"/>
        </w:rPr>
      </w:pPr>
      <w:hyperlink w:anchor="_Toc40109235" w:history="1">
        <w:r w:rsidR="00C427C9" w:rsidRPr="00790BA8">
          <w:rPr>
            <w:rStyle w:val="Hyperlink"/>
            <w:noProof/>
          </w:rPr>
          <w:t>List of Tables</w:t>
        </w:r>
        <w:r w:rsidR="00C427C9">
          <w:rPr>
            <w:noProof/>
            <w:webHidden/>
          </w:rPr>
          <w:tab/>
        </w:r>
        <w:r w:rsidR="00C427C9">
          <w:rPr>
            <w:noProof/>
            <w:webHidden/>
          </w:rPr>
          <w:fldChar w:fldCharType="begin"/>
        </w:r>
        <w:r w:rsidR="00C427C9">
          <w:rPr>
            <w:noProof/>
            <w:webHidden/>
          </w:rPr>
          <w:instrText xml:space="preserve"> PAGEREF _Toc40109235 \h </w:instrText>
        </w:r>
        <w:r w:rsidR="00C427C9">
          <w:rPr>
            <w:noProof/>
            <w:webHidden/>
          </w:rPr>
        </w:r>
        <w:r w:rsidR="00C427C9">
          <w:rPr>
            <w:noProof/>
            <w:webHidden/>
          </w:rPr>
          <w:fldChar w:fldCharType="separate"/>
        </w:r>
        <w:r w:rsidR="00C427C9">
          <w:rPr>
            <w:noProof/>
            <w:webHidden/>
          </w:rPr>
          <w:t>3</w:t>
        </w:r>
        <w:r w:rsidR="00C427C9">
          <w:rPr>
            <w:noProof/>
            <w:webHidden/>
          </w:rPr>
          <w:fldChar w:fldCharType="end"/>
        </w:r>
      </w:hyperlink>
    </w:p>
    <w:p w14:paraId="3B88870B" w14:textId="381BB328" w:rsidR="00C427C9" w:rsidRDefault="00A26684">
      <w:pPr>
        <w:pStyle w:val="TOC1"/>
        <w:tabs>
          <w:tab w:val="right" w:leader="dot" w:pos="9016"/>
        </w:tabs>
        <w:rPr>
          <w:rFonts w:eastAsiaTheme="minorEastAsia"/>
          <w:b w:val="0"/>
          <w:bCs w:val="0"/>
          <w:caps w:val="0"/>
          <w:noProof/>
          <w:sz w:val="22"/>
          <w:szCs w:val="22"/>
          <w:lang w:eastAsia="en-GB"/>
        </w:rPr>
      </w:pPr>
      <w:hyperlink w:anchor="_Toc40109236" w:history="1">
        <w:r w:rsidR="00C427C9" w:rsidRPr="00790BA8">
          <w:rPr>
            <w:rStyle w:val="Hyperlink"/>
            <w:noProof/>
          </w:rPr>
          <w:t>Acronyms</w:t>
        </w:r>
        <w:r w:rsidR="00C427C9">
          <w:rPr>
            <w:noProof/>
            <w:webHidden/>
          </w:rPr>
          <w:tab/>
        </w:r>
        <w:r w:rsidR="00C427C9">
          <w:rPr>
            <w:noProof/>
            <w:webHidden/>
          </w:rPr>
          <w:fldChar w:fldCharType="begin"/>
        </w:r>
        <w:r w:rsidR="00C427C9">
          <w:rPr>
            <w:noProof/>
            <w:webHidden/>
          </w:rPr>
          <w:instrText xml:space="preserve"> PAGEREF _Toc40109236 \h </w:instrText>
        </w:r>
        <w:r w:rsidR="00C427C9">
          <w:rPr>
            <w:noProof/>
            <w:webHidden/>
          </w:rPr>
        </w:r>
        <w:r w:rsidR="00C427C9">
          <w:rPr>
            <w:noProof/>
            <w:webHidden/>
          </w:rPr>
          <w:fldChar w:fldCharType="separate"/>
        </w:r>
        <w:r w:rsidR="00C427C9">
          <w:rPr>
            <w:noProof/>
            <w:webHidden/>
          </w:rPr>
          <w:t>3</w:t>
        </w:r>
        <w:r w:rsidR="00C427C9">
          <w:rPr>
            <w:noProof/>
            <w:webHidden/>
          </w:rPr>
          <w:fldChar w:fldCharType="end"/>
        </w:r>
      </w:hyperlink>
    </w:p>
    <w:p w14:paraId="7FB1873C" w14:textId="33472D5F"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37" w:history="1">
        <w:r w:rsidR="00C427C9" w:rsidRPr="00790BA8">
          <w:rPr>
            <w:rStyle w:val="Hyperlink"/>
            <w:noProof/>
          </w:rPr>
          <w:t>1</w:t>
        </w:r>
        <w:r w:rsidR="00C427C9">
          <w:rPr>
            <w:rFonts w:eastAsiaTheme="minorEastAsia"/>
            <w:b w:val="0"/>
            <w:bCs w:val="0"/>
            <w:caps w:val="0"/>
            <w:noProof/>
            <w:sz w:val="22"/>
            <w:szCs w:val="22"/>
            <w:lang w:eastAsia="en-GB"/>
          </w:rPr>
          <w:tab/>
        </w:r>
        <w:r w:rsidR="00C427C9" w:rsidRPr="00790BA8">
          <w:rPr>
            <w:rStyle w:val="Hyperlink"/>
            <w:noProof/>
          </w:rPr>
          <w:t>Introduction</w:t>
        </w:r>
        <w:r w:rsidR="00C427C9">
          <w:rPr>
            <w:noProof/>
            <w:webHidden/>
          </w:rPr>
          <w:tab/>
        </w:r>
        <w:r w:rsidR="00C427C9">
          <w:rPr>
            <w:noProof/>
            <w:webHidden/>
          </w:rPr>
          <w:fldChar w:fldCharType="begin"/>
        </w:r>
        <w:r w:rsidR="00C427C9">
          <w:rPr>
            <w:noProof/>
            <w:webHidden/>
          </w:rPr>
          <w:instrText xml:space="preserve"> PAGEREF _Toc40109237 \h </w:instrText>
        </w:r>
        <w:r w:rsidR="00C427C9">
          <w:rPr>
            <w:noProof/>
            <w:webHidden/>
          </w:rPr>
        </w:r>
        <w:r w:rsidR="00C427C9">
          <w:rPr>
            <w:noProof/>
            <w:webHidden/>
          </w:rPr>
          <w:fldChar w:fldCharType="separate"/>
        </w:r>
        <w:r w:rsidR="00C427C9">
          <w:rPr>
            <w:noProof/>
            <w:webHidden/>
          </w:rPr>
          <w:t>4</w:t>
        </w:r>
        <w:r w:rsidR="00C427C9">
          <w:rPr>
            <w:noProof/>
            <w:webHidden/>
          </w:rPr>
          <w:fldChar w:fldCharType="end"/>
        </w:r>
      </w:hyperlink>
    </w:p>
    <w:p w14:paraId="589E0B9F" w14:textId="679C8021" w:rsidR="00C427C9" w:rsidRDefault="00A26684">
      <w:pPr>
        <w:pStyle w:val="TOC2"/>
        <w:tabs>
          <w:tab w:val="left" w:pos="880"/>
          <w:tab w:val="right" w:leader="dot" w:pos="9016"/>
        </w:tabs>
        <w:rPr>
          <w:rFonts w:eastAsiaTheme="minorEastAsia"/>
          <w:smallCaps w:val="0"/>
          <w:noProof/>
          <w:sz w:val="22"/>
          <w:szCs w:val="22"/>
          <w:lang w:eastAsia="en-GB"/>
        </w:rPr>
      </w:pPr>
      <w:hyperlink w:anchor="_Toc40109238" w:history="1">
        <w:r w:rsidR="00C427C9" w:rsidRPr="00790BA8">
          <w:rPr>
            <w:rStyle w:val="Hyperlink"/>
            <w:noProof/>
          </w:rPr>
          <w:t>1.1</w:t>
        </w:r>
        <w:r w:rsidR="00C427C9">
          <w:rPr>
            <w:rFonts w:eastAsiaTheme="minorEastAsia"/>
            <w:smallCaps w:val="0"/>
            <w:noProof/>
            <w:sz w:val="22"/>
            <w:szCs w:val="22"/>
            <w:lang w:eastAsia="en-GB"/>
          </w:rPr>
          <w:tab/>
        </w:r>
        <w:r w:rsidR="00C427C9" w:rsidRPr="00790BA8">
          <w:rPr>
            <w:rStyle w:val="Hyperlink"/>
            <w:noProof/>
          </w:rPr>
          <w:t>Purpose and Scope</w:t>
        </w:r>
        <w:r w:rsidR="00C427C9">
          <w:rPr>
            <w:noProof/>
            <w:webHidden/>
          </w:rPr>
          <w:tab/>
        </w:r>
        <w:r w:rsidR="00C427C9">
          <w:rPr>
            <w:noProof/>
            <w:webHidden/>
          </w:rPr>
          <w:fldChar w:fldCharType="begin"/>
        </w:r>
        <w:r w:rsidR="00C427C9">
          <w:rPr>
            <w:noProof/>
            <w:webHidden/>
          </w:rPr>
          <w:instrText xml:space="preserve"> PAGEREF _Toc40109238 \h </w:instrText>
        </w:r>
        <w:r w:rsidR="00C427C9">
          <w:rPr>
            <w:noProof/>
            <w:webHidden/>
          </w:rPr>
        </w:r>
        <w:r w:rsidR="00C427C9">
          <w:rPr>
            <w:noProof/>
            <w:webHidden/>
          </w:rPr>
          <w:fldChar w:fldCharType="separate"/>
        </w:r>
        <w:r w:rsidR="00C427C9">
          <w:rPr>
            <w:noProof/>
            <w:webHidden/>
          </w:rPr>
          <w:t>4</w:t>
        </w:r>
        <w:r w:rsidR="00C427C9">
          <w:rPr>
            <w:noProof/>
            <w:webHidden/>
          </w:rPr>
          <w:fldChar w:fldCharType="end"/>
        </w:r>
      </w:hyperlink>
    </w:p>
    <w:p w14:paraId="4230B24C" w14:textId="5485AE4E"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39" w:history="1">
        <w:r w:rsidR="00C427C9" w:rsidRPr="00790BA8">
          <w:rPr>
            <w:rStyle w:val="Hyperlink"/>
            <w:noProof/>
          </w:rPr>
          <w:t>2</w:t>
        </w:r>
        <w:r w:rsidR="00C427C9">
          <w:rPr>
            <w:rFonts w:eastAsiaTheme="minorEastAsia"/>
            <w:b w:val="0"/>
            <w:bCs w:val="0"/>
            <w:caps w:val="0"/>
            <w:noProof/>
            <w:sz w:val="22"/>
            <w:szCs w:val="22"/>
            <w:lang w:eastAsia="en-GB"/>
          </w:rPr>
          <w:tab/>
        </w:r>
        <w:r w:rsidR="00C427C9" w:rsidRPr="00790BA8">
          <w:rPr>
            <w:rStyle w:val="Hyperlink"/>
            <w:noProof/>
          </w:rPr>
          <w:t>Technical Description</w:t>
        </w:r>
        <w:r w:rsidR="00C427C9">
          <w:rPr>
            <w:noProof/>
            <w:webHidden/>
          </w:rPr>
          <w:tab/>
        </w:r>
        <w:r w:rsidR="00C427C9">
          <w:rPr>
            <w:noProof/>
            <w:webHidden/>
          </w:rPr>
          <w:fldChar w:fldCharType="begin"/>
        </w:r>
        <w:r w:rsidR="00C427C9">
          <w:rPr>
            <w:noProof/>
            <w:webHidden/>
          </w:rPr>
          <w:instrText xml:space="preserve"> PAGEREF _Toc40109239 \h </w:instrText>
        </w:r>
        <w:r w:rsidR="00C427C9">
          <w:rPr>
            <w:noProof/>
            <w:webHidden/>
          </w:rPr>
        </w:r>
        <w:r w:rsidR="00C427C9">
          <w:rPr>
            <w:noProof/>
            <w:webHidden/>
          </w:rPr>
          <w:fldChar w:fldCharType="separate"/>
        </w:r>
        <w:r w:rsidR="00C427C9">
          <w:rPr>
            <w:noProof/>
            <w:webHidden/>
          </w:rPr>
          <w:t>5</w:t>
        </w:r>
        <w:r w:rsidR="00C427C9">
          <w:rPr>
            <w:noProof/>
            <w:webHidden/>
          </w:rPr>
          <w:fldChar w:fldCharType="end"/>
        </w:r>
      </w:hyperlink>
    </w:p>
    <w:p w14:paraId="6134D7C9" w14:textId="4D913B04" w:rsidR="00C427C9" w:rsidRDefault="00A26684">
      <w:pPr>
        <w:pStyle w:val="TOC2"/>
        <w:tabs>
          <w:tab w:val="left" w:pos="880"/>
          <w:tab w:val="right" w:leader="dot" w:pos="9016"/>
        </w:tabs>
        <w:rPr>
          <w:rFonts w:eastAsiaTheme="minorEastAsia"/>
          <w:smallCaps w:val="0"/>
          <w:noProof/>
          <w:sz w:val="22"/>
          <w:szCs w:val="22"/>
          <w:lang w:eastAsia="en-GB"/>
        </w:rPr>
      </w:pPr>
      <w:hyperlink w:anchor="_Toc40109240" w:history="1">
        <w:r w:rsidR="00C427C9" w:rsidRPr="00790BA8">
          <w:rPr>
            <w:rStyle w:val="Hyperlink"/>
            <w:noProof/>
          </w:rPr>
          <w:t>2.1</w:t>
        </w:r>
        <w:r w:rsidR="00C427C9">
          <w:rPr>
            <w:rFonts w:eastAsiaTheme="minorEastAsia"/>
            <w:smallCaps w:val="0"/>
            <w:noProof/>
            <w:sz w:val="22"/>
            <w:szCs w:val="22"/>
            <w:lang w:eastAsia="en-GB"/>
          </w:rPr>
          <w:tab/>
        </w:r>
        <w:r w:rsidR="00C427C9" w:rsidRPr="00790BA8">
          <w:rPr>
            <w:rStyle w:val="Hyperlink"/>
            <w:noProof/>
          </w:rPr>
          <w:t>Overview</w:t>
        </w:r>
        <w:r w:rsidR="00C427C9">
          <w:rPr>
            <w:noProof/>
            <w:webHidden/>
          </w:rPr>
          <w:tab/>
        </w:r>
        <w:r w:rsidR="00C427C9">
          <w:rPr>
            <w:noProof/>
            <w:webHidden/>
          </w:rPr>
          <w:fldChar w:fldCharType="begin"/>
        </w:r>
        <w:r w:rsidR="00C427C9">
          <w:rPr>
            <w:noProof/>
            <w:webHidden/>
          </w:rPr>
          <w:instrText xml:space="preserve"> PAGEREF _Toc40109240 \h </w:instrText>
        </w:r>
        <w:r w:rsidR="00C427C9">
          <w:rPr>
            <w:noProof/>
            <w:webHidden/>
          </w:rPr>
        </w:r>
        <w:r w:rsidR="00C427C9">
          <w:rPr>
            <w:noProof/>
            <w:webHidden/>
          </w:rPr>
          <w:fldChar w:fldCharType="separate"/>
        </w:r>
        <w:r w:rsidR="00C427C9">
          <w:rPr>
            <w:noProof/>
            <w:webHidden/>
          </w:rPr>
          <w:t>5</w:t>
        </w:r>
        <w:r w:rsidR="00C427C9">
          <w:rPr>
            <w:noProof/>
            <w:webHidden/>
          </w:rPr>
          <w:fldChar w:fldCharType="end"/>
        </w:r>
      </w:hyperlink>
    </w:p>
    <w:p w14:paraId="4347337A" w14:textId="693C118E" w:rsidR="00C427C9" w:rsidRDefault="00A26684">
      <w:pPr>
        <w:pStyle w:val="TOC2"/>
        <w:tabs>
          <w:tab w:val="left" w:pos="880"/>
          <w:tab w:val="right" w:leader="dot" w:pos="9016"/>
        </w:tabs>
        <w:rPr>
          <w:rFonts w:eastAsiaTheme="minorEastAsia"/>
          <w:smallCaps w:val="0"/>
          <w:noProof/>
          <w:sz w:val="22"/>
          <w:szCs w:val="22"/>
          <w:lang w:eastAsia="en-GB"/>
        </w:rPr>
      </w:pPr>
      <w:hyperlink w:anchor="_Toc40109241" w:history="1">
        <w:r w:rsidR="00C427C9" w:rsidRPr="00790BA8">
          <w:rPr>
            <w:rStyle w:val="Hyperlink"/>
            <w:noProof/>
          </w:rPr>
          <w:t>2.2</w:t>
        </w:r>
        <w:r w:rsidR="00C427C9">
          <w:rPr>
            <w:rFonts w:eastAsiaTheme="minorEastAsia"/>
            <w:smallCaps w:val="0"/>
            <w:noProof/>
            <w:sz w:val="22"/>
            <w:szCs w:val="22"/>
            <w:lang w:eastAsia="en-GB"/>
          </w:rPr>
          <w:tab/>
        </w:r>
        <w:r w:rsidR="00C427C9" w:rsidRPr="00790BA8">
          <w:rPr>
            <w:rStyle w:val="Hyperlink"/>
            <w:noProof/>
          </w:rPr>
          <w:t>Theory of Operation</w:t>
        </w:r>
        <w:r w:rsidR="00C427C9">
          <w:rPr>
            <w:noProof/>
            <w:webHidden/>
          </w:rPr>
          <w:tab/>
        </w:r>
        <w:r w:rsidR="00C427C9">
          <w:rPr>
            <w:noProof/>
            <w:webHidden/>
          </w:rPr>
          <w:fldChar w:fldCharType="begin"/>
        </w:r>
        <w:r w:rsidR="00C427C9">
          <w:rPr>
            <w:noProof/>
            <w:webHidden/>
          </w:rPr>
          <w:instrText xml:space="preserve"> PAGEREF _Toc40109241 \h </w:instrText>
        </w:r>
        <w:r w:rsidR="00C427C9">
          <w:rPr>
            <w:noProof/>
            <w:webHidden/>
          </w:rPr>
        </w:r>
        <w:r w:rsidR="00C427C9">
          <w:rPr>
            <w:noProof/>
            <w:webHidden/>
          </w:rPr>
          <w:fldChar w:fldCharType="separate"/>
        </w:r>
        <w:r w:rsidR="00C427C9">
          <w:rPr>
            <w:noProof/>
            <w:webHidden/>
          </w:rPr>
          <w:t>6</w:t>
        </w:r>
        <w:r w:rsidR="00C427C9">
          <w:rPr>
            <w:noProof/>
            <w:webHidden/>
          </w:rPr>
          <w:fldChar w:fldCharType="end"/>
        </w:r>
      </w:hyperlink>
    </w:p>
    <w:p w14:paraId="1D8EBA05" w14:textId="5DC531EB"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42" w:history="1">
        <w:r w:rsidR="00C427C9" w:rsidRPr="00790BA8">
          <w:rPr>
            <w:rStyle w:val="Hyperlink"/>
            <w:noProof/>
          </w:rPr>
          <w:t>3</w:t>
        </w:r>
        <w:r w:rsidR="00C427C9">
          <w:rPr>
            <w:rFonts w:eastAsiaTheme="minorEastAsia"/>
            <w:b w:val="0"/>
            <w:bCs w:val="0"/>
            <w:caps w:val="0"/>
            <w:noProof/>
            <w:sz w:val="22"/>
            <w:szCs w:val="22"/>
            <w:lang w:eastAsia="en-GB"/>
          </w:rPr>
          <w:tab/>
        </w:r>
        <w:r w:rsidR="00C427C9" w:rsidRPr="00790BA8">
          <w:rPr>
            <w:rStyle w:val="Hyperlink"/>
            <w:noProof/>
          </w:rPr>
          <w:t>Calibration History and Uncertainty Budget</w:t>
        </w:r>
        <w:r w:rsidR="00C427C9">
          <w:rPr>
            <w:noProof/>
            <w:webHidden/>
          </w:rPr>
          <w:tab/>
        </w:r>
        <w:r w:rsidR="00C427C9">
          <w:rPr>
            <w:noProof/>
            <w:webHidden/>
          </w:rPr>
          <w:fldChar w:fldCharType="begin"/>
        </w:r>
        <w:r w:rsidR="00C427C9">
          <w:rPr>
            <w:noProof/>
            <w:webHidden/>
          </w:rPr>
          <w:instrText xml:space="preserve"> PAGEREF _Toc40109242 \h </w:instrText>
        </w:r>
        <w:r w:rsidR="00C427C9">
          <w:rPr>
            <w:noProof/>
            <w:webHidden/>
          </w:rPr>
        </w:r>
        <w:r w:rsidR="00C427C9">
          <w:rPr>
            <w:noProof/>
            <w:webHidden/>
          </w:rPr>
          <w:fldChar w:fldCharType="separate"/>
        </w:r>
        <w:r w:rsidR="00C427C9">
          <w:rPr>
            <w:noProof/>
            <w:webHidden/>
          </w:rPr>
          <w:t>6</w:t>
        </w:r>
        <w:r w:rsidR="00C427C9">
          <w:rPr>
            <w:noProof/>
            <w:webHidden/>
          </w:rPr>
          <w:fldChar w:fldCharType="end"/>
        </w:r>
      </w:hyperlink>
    </w:p>
    <w:p w14:paraId="07831E79" w14:textId="4719742C"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43" w:history="1">
        <w:r w:rsidR="00C427C9" w:rsidRPr="00790BA8">
          <w:rPr>
            <w:rStyle w:val="Hyperlink"/>
            <w:noProof/>
          </w:rPr>
          <w:t>4</w:t>
        </w:r>
        <w:r w:rsidR="00C427C9">
          <w:rPr>
            <w:rFonts w:eastAsiaTheme="minorEastAsia"/>
            <w:b w:val="0"/>
            <w:bCs w:val="0"/>
            <w:caps w:val="0"/>
            <w:noProof/>
            <w:sz w:val="22"/>
            <w:szCs w:val="22"/>
            <w:lang w:eastAsia="en-GB"/>
          </w:rPr>
          <w:tab/>
        </w:r>
        <w:r w:rsidR="00C427C9" w:rsidRPr="00790BA8">
          <w:rPr>
            <w:rStyle w:val="Hyperlink"/>
            <w:noProof/>
          </w:rPr>
          <w:t>Instrument Operation</w:t>
        </w:r>
        <w:r w:rsidR="00C427C9">
          <w:rPr>
            <w:noProof/>
            <w:webHidden/>
          </w:rPr>
          <w:tab/>
        </w:r>
        <w:r w:rsidR="00C427C9">
          <w:rPr>
            <w:noProof/>
            <w:webHidden/>
          </w:rPr>
          <w:fldChar w:fldCharType="begin"/>
        </w:r>
        <w:r w:rsidR="00C427C9">
          <w:rPr>
            <w:noProof/>
            <w:webHidden/>
          </w:rPr>
          <w:instrText xml:space="preserve"> PAGEREF _Toc40109243 \h </w:instrText>
        </w:r>
        <w:r w:rsidR="00C427C9">
          <w:rPr>
            <w:noProof/>
            <w:webHidden/>
          </w:rPr>
        </w:r>
        <w:r w:rsidR="00C427C9">
          <w:rPr>
            <w:noProof/>
            <w:webHidden/>
          </w:rPr>
          <w:fldChar w:fldCharType="separate"/>
        </w:r>
        <w:r w:rsidR="00C427C9">
          <w:rPr>
            <w:noProof/>
            <w:webHidden/>
          </w:rPr>
          <w:t>6</w:t>
        </w:r>
        <w:r w:rsidR="00C427C9">
          <w:rPr>
            <w:noProof/>
            <w:webHidden/>
          </w:rPr>
          <w:fldChar w:fldCharType="end"/>
        </w:r>
      </w:hyperlink>
    </w:p>
    <w:p w14:paraId="4C34B477" w14:textId="7B5B4CEC" w:rsidR="00C427C9" w:rsidRDefault="00A26684">
      <w:pPr>
        <w:pStyle w:val="TOC2"/>
        <w:tabs>
          <w:tab w:val="left" w:pos="880"/>
          <w:tab w:val="right" w:leader="dot" w:pos="9016"/>
        </w:tabs>
        <w:rPr>
          <w:rFonts w:eastAsiaTheme="minorEastAsia"/>
          <w:smallCaps w:val="0"/>
          <w:noProof/>
          <w:sz w:val="22"/>
          <w:szCs w:val="22"/>
          <w:lang w:eastAsia="en-GB"/>
        </w:rPr>
      </w:pPr>
      <w:hyperlink w:anchor="_Toc40109244" w:history="1">
        <w:r w:rsidR="00C427C9" w:rsidRPr="00790BA8">
          <w:rPr>
            <w:rStyle w:val="Hyperlink"/>
            <w:noProof/>
          </w:rPr>
          <w:t>4.1</w:t>
        </w:r>
        <w:r w:rsidR="00C427C9">
          <w:rPr>
            <w:rFonts w:eastAsiaTheme="minorEastAsia"/>
            <w:smallCaps w:val="0"/>
            <w:noProof/>
            <w:sz w:val="22"/>
            <w:szCs w:val="22"/>
            <w:lang w:eastAsia="en-GB"/>
          </w:rPr>
          <w:tab/>
        </w:r>
        <w:r w:rsidR="00C427C9" w:rsidRPr="00790BA8">
          <w:rPr>
            <w:rStyle w:val="Hyperlink"/>
            <w:noProof/>
          </w:rPr>
          <w:t>Measurements</w:t>
        </w:r>
        <w:r w:rsidR="00C427C9">
          <w:rPr>
            <w:noProof/>
            <w:webHidden/>
          </w:rPr>
          <w:tab/>
        </w:r>
        <w:r w:rsidR="00C427C9">
          <w:rPr>
            <w:noProof/>
            <w:webHidden/>
          </w:rPr>
          <w:fldChar w:fldCharType="begin"/>
        </w:r>
        <w:r w:rsidR="00C427C9">
          <w:rPr>
            <w:noProof/>
            <w:webHidden/>
          </w:rPr>
          <w:instrText xml:space="preserve"> PAGEREF _Toc40109244 \h </w:instrText>
        </w:r>
        <w:r w:rsidR="00C427C9">
          <w:rPr>
            <w:noProof/>
            <w:webHidden/>
          </w:rPr>
        </w:r>
        <w:r w:rsidR="00C427C9">
          <w:rPr>
            <w:noProof/>
            <w:webHidden/>
          </w:rPr>
          <w:fldChar w:fldCharType="separate"/>
        </w:r>
        <w:r w:rsidR="00C427C9">
          <w:rPr>
            <w:noProof/>
            <w:webHidden/>
          </w:rPr>
          <w:t>7</w:t>
        </w:r>
        <w:r w:rsidR="00C427C9">
          <w:rPr>
            <w:noProof/>
            <w:webHidden/>
          </w:rPr>
          <w:fldChar w:fldCharType="end"/>
        </w:r>
      </w:hyperlink>
    </w:p>
    <w:p w14:paraId="1CFC0F07" w14:textId="4A42F6FE" w:rsidR="00C427C9" w:rsidRDefault="00A26684">
      <w:pPr>
        <w:pStyle w:val="TOC2"/>
        <w:tabs>
          <w:tab w:val="left" w:pos="880"/>
          <w:tab w:val="right" w:leader="dot" w:pos="9016"/>
        </w:tabs>
        <w:rPr>
          <w:rFonts w:eastAsiaTheme="minorEastAsia"/>
          <w:smallCaps w:val="0"/>
          <w:noProof/>
          <w:sz w:val="22"/>
          <w:szCs w:val="22"/>
          <w:lang w:eastAsia="en-GB"/>
        </w:rPr>
      </w:pPr>
      <w:hyperlink w:anchor="_Toc40109245" w:history="1">
        <w:r w:rsidR="00C427C9" w:rsidRPr="00790BA8">
          <w:rPr>
            <w:rStyle w:val="Hyperlink"/>
            <w:noProof/>
          </w:rPr>
          <w:t>4.2</w:t>
        </w:r>
        <w:r w:rsidR="00C427C9">
          <w:rPr>
            <w:rFonts w:eastAsiaTheme="minorEastAsia"/>
            <w:smallCaps w:val="0"/>
            <w:noProof/>
            <w:sz w:val="22"/>
            <w:szCs w:val="22"/>
            <w:lang w:eastAsia="en-GB"/>
          </w:rPr>
          <w:tab/>
        </w:r>
        <w:r w:rsidR="00C427C9" w:rsidRPr="00790BA8">
          <w:rPr>
            <w:rStyle w:val="Hyperlink"/>
            <w:noProof/>
          </w:rPr>
          <w:t>Calibration traceability</w:t>
        </w:r>
        <w:r w:rsidR="00C427C9">
          <w:rPr>
            <w:noProof/>
            <w:webHidden/>
          </w:rPr>
          <w:tab/>
        </w:r>
        <w:r w:rsidR="00C427C9">
          <w:rPr>
            <w:noProof/>
            <w:webHidden/>
          </w:rPr>
          <w:fldChar w:fldCharType="begin"/>
        </w:r>
        <w:r w:rsidR="00C427C9">
          <w:rPr>
            <w:noProof/>
            <w:webHidden/>
          </w:rPr>
          <w:instrText xml:space="preserve"> PAGEREF _Toc40109245 \h </w:instrText>
        </w:r>
        <w:r w:rsidR="00C427C9">
          <w:rPr>
            <w:noProof/>
            <w:webHidden/>
          </w:rPr>
        </w:r>
        <w:r w:rsidR="00C427C9">
          <w:rPr>
            <w:noProof/>
            <w:webHidden/>
          </w:rPr>
          <w:fldChar w:fldCharType="separate"/>
        </w:r>
        <w:r w:rsidR="00C427C9">
          <w:rPr>
            <w:noProof/>
            <w:webHidden/>
          </w:rPr>
          <w:t>7</w:t>
        </w:r>
        <w:r w:rsidR="00C427C9">
          <w:rPr>
            <w:noProof/>
            <w:webHidden/>
          </w:rPr>
          <w:fldChar w:fldCharType="end"/>
        </w:r>
      </w:hyperlink>
    </w:p>
    <w:p w14:paraId="0CD93233" w14:textId="171DD8A3"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46" w:history="1">
        <w:r w:rsidR="00C427C9" w:rsidRPr="00790BA8">
          <w:rPr>
            <w:rStyle w:val="Hyperlink"/>
            <w:noProof/>
          </w:rPr>
          <w:t>5</w:t>
        </w:r>
        <w:r w:rsidR="00C427C9">
          <w:rPr>
            <w:rFonts w:eastAsiaTheme="minorEastAsia"/>
            <w:b w:val="0"/>
            <w:bCs w:val="0"/>
            <w:caps w:val="0"/>
            <w:noProof/>
            <w:sz w:val="22"/>
            <w:szCs w:val="22"/>
            <w:lang w:eastAsia="en-GB"/>
          </w:rPr>
          <w:tab/>
        </w:r>
        <w:r w:rsidR="00C427C9" w:rsidRPr="00790BA8">
          <w:rPr>
            <w:rStyle w:val="Hyperlink"/>
            <w:noProof/>
          </w:rPr>
          <w:t>Care and Storage</w:t>
        </w:r>
        <w:r w:rsidR="00C427C9">
          <w:rPr>
            <w:noProof/>
            <w:webHidden/>
          </w:rPr>
          <w:tab/>
        </w:r>
        <w:r w:rsidR="00C427C9">
          <w:rPr>
            <w:noProof/>
            <w:webHidden/>
          </w:rPr>
          <w:fldChar w:fldCharType="begin"/>
        </w:r>
        <w:r w:rsidR="00C427C9">
          <w:rPr>
            <w:noProof/>
            <w:webHidden/>
          </w:rPr>
          <w:instrText xml:space="preserve"> PAGEREF _Toc40109246 \h </w:instrText>
        </w:r>
        <w:r w:rsidR="00C427C9">
          <w:rPr>
            <w:noProof/>
            <w:webHidden/>
          </w:rPr>
        </w:r>
        <w:r w:rsidR="00C427C9">
          <w:rPr>
            <w:noProof/>
            <w:webHidden/>
          </w:rPr>
          <w:fldChar w:fldCharType="separate"/>
        </w:r>
        <w:r w:rsidR="00C427C9">
          <w:rPr>
            <w:noProof/>
            <w:webHidden/>
          </w:rPr>
          <w:t>7</w:t>
        </w:r>
        <w:r w:rsidR="00C427C9">
          <w:rPr>
            <w:noProof/>
            <w:webHidden/>
          </w:rPr>
          <w:fldChar w:fldCharType="end"/>
        </w:r>
      </w:hyperlink>
    </w:p>
    <w:p w14:paraId="036779EA" w14:textId="66ADCCFB"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47" w:history="1">
        <w:r w:rsidR="00C427C9" w:rsidRPr="00790BA8">
          <w:rPr>
            <w:rStyle w:val="Hyperlink"/>
            <w:noProof/>
          </w:rPr>
          <w:t>6</w:t>
        </w:r>
        <w:r w:rsidR="00C427C9">
          <w:rPr>
            <w:rFonts w:eastAsiaTheme="minorEastAsia"/>
            <w:b w:val="0"/>
            <w:bCs w:val="0"/>
            <w:caps w:val="0"/>
            <w:noProof/>
            <w:sz w:val="22"/>
            <w:szCs w:val="22"/>
            <w:lang w:eastAsia="en-GB"/>
          </w:rPr>
          <w:tab/>
        </w:r>
        <w:r w:rsidR="00C427C9" w:rsidRPr="00790BA8">
          <w:rPr>
            <w:rStyle w:val="Hyperlink"/>
            <w:noProof/>
          </w:rPr>
          <w:t>Troubleshooting</w:t>
        </w:r>
        <w:r w:rsidR="00C427C9">
          <w:rPr>
            <w:noProof/>
            <w:webHidden/>
          </w:rPr>
          <w:tab/>
        </w:r>
        <w:r w:rsidR="00C427C9">
          <w:rPr>
            <w:noProof/>
            <w:webHidden/>
          </w:rPr>
          <w:fldChar w:fldCharType="begin"/>
        </w:r>
        <w:r w:rsidR="00C427C9">
          <w:rPr>
            <w:noProof/>
            <w:webHidden/>
          </w:rPr>
          <w:instrText xml:space="preserve"> PAGEREF _Toc40109247 \h </w:instrText>
        </w:r>
        <w:r w:rsidR="00C427C9">
          <w:rPr>
            <w:noProof/>
            <w:webHidden/>
          </w:rPr>
        </w:r>
        <w:r w:rsidR="00C427C9">
          <w:rPr>
            <w:noProof/>
            <w:webHidden/>
          </w:rPr>
          <w:fldChar w:fldCharType="separate"/>
        </w:r>
        <w:r w:rsidR="00C427C9">
          <w:rPr>
            <w:noProof/>
            <w:webHidden/>
          </w:rPr>
          <w:t>9</w:t>
        </w:r>
        <w:r w:rsidR="00C427C9">
          <w:rPr>
            <w:noProof/>
            <w:webHidden/>
          </w:rPr>
          <w:fldChar w:fldCharType="end"/>
        </w:r>
      </w:hyperlink>
    </w:p>
    <w:p w14:paraId="33BCC001" w14:textId="52E21F8D"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48" w:history="1">
        <w:r w:rsidR="00C427C9" w:rsidRPr="00790BA8">
          <w:rPr>
            <w:rStyle w:val="Hyperlink"/>
            <w:noProof/>
          </w:rPr>
          <w:t>A</w:t>
        </w:r>
        <w:r w:rsidR="00C427C9">
          <w:rPr>
            <w:rFonts w:eastAsiaTheme="minorEastAsia"/>
            <w:b w:val="0"/>
            <w:bCs w:val="0"/>
            <w:caps w:val="0"/>
            <w:noProof/>
            <w:sz w:val="22"/>
            <w:szCs w:val="22"/>
            <w:lang w:eastAsia="en-GB"/>
          </w:rPr>
          <w:tab/>
        </w:r>
        <w:r w:rsidR="00C427C9" w:rsidRPr="00790BA8">
          <w:rPr>
            <w:rStyle w:val="Hyperlink"/>
            <w:noProof/>
          </w:rPr>
          <w:t>Appendix</w:t>
        </w:r>
        <w:r w:rsidR="00C427C9">
          <w:rPr>
            <w:noProof/>
            <w:webHidden/>
          </w:rPr>
          <w:tab/>
        </w:r>
        <w:r w:rsidR="00C427C9">
          <w:rPr>
            <w:noProof/>
            <w:webHidden/>
          </w:rPr>
          <w:fldChar w:fldCharType="begin"/>
        </w:r>
        <w:r w:rsidR="00C427C9">
          <w:rPr>
            <w:noProof/>
            <w:webHidden/>
          </w:rPr>
          <w:instrText xml:space="preserve"> PAGEREF _Toc40109248 \h </w:instrText>
        </w:r>
        <w:r w:rsidR="00C427C9">
          <w:rPr>
            <w:noProof/>
            <w:webHidden/>
          </w:rPr>
        </w:r>
        <w:r w:rsidR="00C427C9">
          <w:rPr>
            <w:noProof/>
            <w:webHidden/>
          </w:rPr>
          <w:fldChar w:fldCharType="separate"/>
        </w:r>
        <w:r w:rsidR="00C427C9">
          <w:rPr>
            <w:noProof/>
            <w:webHidden/>
          </w:rPr>
          <w:t>10</w:t>
        </w:r>
        <w:r w:rsidR="00C427C9">
          <w:rPr>
            <w:noProof/>
            <w:webHidden/>
          </w:rPr>
          <w:fldChar w:fldCharType="end"/>
        </w:r>
      </w:hyperlink>
    </w:p>
    <w:p w14:paraId="6B1EB077" w14:textId="5C17CC36" w:rsidR="00C427C9" w:rsidRDefault="00A26684">
      <w:pPr>
        <w:pStyle w:val="TOC1"/>
        <w:tabs>
          <w:tab w:val="left" w:pos="440"/>
          <w:tab w:val="right" w:leader="dot" w:pos="9016"/>
        </w:tabs>
        <w:rPr>
          <w:rFonts w:eastAsiaTheme="minorEastAsia"/>
          <w:b w:val="0"/>
          <w:bCs w:val="0"/>
          <w:caps w:val="0"/>
          <w:noProof/>
          <w:sz w:val="22"/>
          <w:szCs w:val="22"/>
          <w:lang w:eastAsia="en-GB"/>
        </w:rPr>
      </w:pPr>
      <w:hyperlink w:anchor="_Toc40109249" w:history="1">
        <w:r w:rsidR="00C427C9" w:rsidRPr="00790BA8">
          <w:rPr>
            <w:rStyle w:val="Hyperlink"/>
            <w:noProof/>
          </w:rPr>
          <w:t>7</w:t>
        </w:r>
        <w:r w:rsidR="00C427C9">
          <w:rPr>
            <w:rFonts w:eastAsiaTheme="minorEastAsia"/>
            <w:b w:val="0"/>
            <w:bCs w:val="0"/>
            <w:caps w:val="0"/>
            <w:noProof/>
            <w:sz w:val="22"/>
            <w:szCs w:val="22"/>
            <w:lang w:eastAsia="en-GB"/>
          </w:rPr>
          <w:tab/>
        </w:r>
        <w:r w:rsidR="00C427C9" w:rsidRPr="00790BA8">
          <w:rPr>
            <w:rStyle w:val="Hyperlink"/>
            <w:noProof/>
          </w:rPr>
          <w:t>Applicable and Reference Documents</w:t>
        </w:r>
        <w:r w:rsidR="00C427C9">
          <w:rPr>
            <w:noProof/>
            <w:webHidden/>
          </w:rPr>
          <w:tab/>
        </w:r>
        <w:r w:rsidR="00C427C9">
          <w:rPr>
            <w:noProof/>
            <w:webHidden/>
          </w:rPr>
          <w:fldChar w:fldCharType="begin"/>
        </w:r>
        <w:r w:rsidR="00C427C9">
          <w:rPr>
            <w:noProof/>
            <w:webHidden/>
          </w:rPr>
          <w:instrText xml:space="preserve"> PAGEREF _Toc40109249 \h </w:instrText>
        </w:r>
        <w:r w:rsidR="00C427C9">
          <w:rPr>
            <w:noProof/>
            <w:webHidden/>
          </w:rPr>
        </w:r>
        <w:r w:rsidR="00C427C9">
          <w:rPr>
            <w:noProof/>
            <w:webHidden/>
          </w:rPr>
          <w:fldChar w:fldCharType="separate"/>
        </w:r>
        <w:r w:rsidR="00C427C9">
          <w:rPr>
            <w:noProof/>
            <w:webHidden/>
          </w:rPr>
          <w:t>11</w:t>
        </w:r>
        <w:r w:rsidR="00C427C9">
          <w:rPr>
            <w:noProof/>
            <w:webHidden/>
          </w:rPr>
          <w:fldChar w:fldCharType="end"/>
        </w:r>
      </w:hyperlink>
    </w:p>
    <w:p w14:paraId="2A807CED" w14:textId="668D0FB2" w:rsidR="0041691B" w:rsidRDefault="00D60F20" w:rsidP="0041691B">
      <w:r>
        <w:fldChar w:fldCharType="end"/>
      </w:r>
    </w:p>
    <w:p w14:paraId="6318A63E" w14:textId="70518FD1" w:rsidR="0041691B" w:rsidRDefault="0041691B" w:rsidP="0041691B"/>
    <w:p w14:paraId="04074595" w14:textId="7B529B97" w:rsidR="00816E07" w:rsidRDefault="00816E07" w:rsidP="0041691B"/>
    <w:p w14:paraId="2B27E38C" w14:textId="345136B8" w:rsidR="00816E07" w:rsidRDefault="00816E07" w:rsidP="0041691B"/>
    <w:p w14:paraId="2AAD07E9" w14:textId="4B155208" w:rsidR="00816E07" w:rsidRDefault="00816E07" w:rsidP="0041691B"/>
    <w:p w14:paraId="0BF8D553" w14:textId="641C9184" w:rsidR="00816E07" w:rsidRDefault="00816E07" w:rsidP="0041691B"/>
    <w:p w14:paraId="37074FEB" w14:textId="2E91B17B" w:rsidR="00816E07" w:rsidRDefault="00816E07" w:rsidP="0041691B"/>
    <w:p w14:paraId="26527D9F" w14:textId="45AA109B" w:rsidR="00816E07" w:rsidRDefault="00816E07" w:rsidP="0041691B"/>
    <w:p w14:paraId="284BEDF7" w14:textId="03F4E68A" w:rsidR="00816E07" w:rsidRDefault="00816E07" w:rsidP="0041691B"/>
    <w:p w14:paraId="653CEC62" w14:textId="6D456AE7" w:rsidR="00816E07" w:rsidRDefault="00816E07" w:rsidP="0041691B"/>
    <w:p w14:paraId="379D883F" w14:textId="296BADB8" w:rsidR="00816E07" w:rsidRDefault="00816E07" w:rsidP="0041691B"/>
    <w:p w14:paraId="22F44516" w14:textId="3A6F6433" w:rsidR="00213799" w:rsidRDefault="00213799" w:rsidP="0041691B"/>
    <w:p w14:paraId="5E63D67C" w14:textId="77777777" w:rsidR="00B33A91" w:rsidRDefault="00B33A91" w:rsidP="0041691B"/>
    <w:p w14:paraId="1B2334E2" w14:textId="2E6C096E" w:rsidR="0041691B" w:rsidRDefault="0041691B" w:rsidP="0041691B"/>
    <w:p w14:paraId="41C0F2DA" w14:textId="083B1644" w:rsidR="00213799" w:rsidRDefault="00FF6D23" w:rsidP="00213799">
      <w:pPr>
        <w:pStyle w:val="Heading1"/>
        <w:numPr>
          <w:ilvl w:val="0"/>
          <w:numId w:val="0"/>
        </w:numPr>
        <w:ind w:left="432" w:hanging="432"/>
      </w:pPr>
      <w:bookmarkStart w:id="9" w:name="_Toc40109235"/>
      <w:r>
        <w:t>List of Tables</w:t>
      </w:r>
      <w:bookmarkEnd w:id="9"/>
    </w:p>
    <w:p w14:paraId="72C45EC0" w14:textId="77777777" w:rsidR="00816E07" w:rsidRPr="00816E07" w:rsidRDefault="00816E07" w:rsidP="00816E07"/>
    <w:p w14:paraId="788341FC" w14:textId="6F5758A8" w:rsidR="000D394B" w:rsidRDefault="00A91BB5">
      <w:pPr>
        <w:pStyle w:val="TableofFigures"/>
        <w:tabs>
          <w:tab w:val="right" w:leader="dot" w:pos="9016"/>
        </w:tabs>
        <w:rPr>
          <w:rFonts w:eastAsiaTheme="minorEastAsia"/>
          <w:noProof/>
          <w:lang w:eastAsia="en-GB"/>
        </w:rPr>
      </w:pPr>
      <w:r>
        <w:fldChar w:fldCharType="begin"/>
      </w:r>
      <w:r>
        <w:instrText xml:space="preserve"> TOC \h \z \c "Table" </w:instrText>
      </w:r>
      <w:r>
        <w:fldChar w:fldCharType="separate"/>
      </w:r>
      <w:hyperlink w:anchor="_Toc41569742" w:history="1">
        <w:r w:rsidR="000D394B" w:rsidRPr="00013780">
          <w:rPr>
            <w:rStyle w:val="Hyperlink"/>
            <w:noProof/>
          </w:rPr>
          <w:t>Table 1: Technical characteristics of the SQ-110 PAR Sensor[1]</w:t>
        </w:r>
        <w:r w:rsidR="000D394B">
          <w:rPr>
            <w:noProof/>
            <w:webHidden/>
          </w:rPr>
          <w:tab/>
        </w:r>
        <w:r w:rsidR="000D394B">
          <w:rPr>
            <w:noProof/>
            <w:webHidden/>
          </w:rPr>
          <w:fldChar w:fldCharType="begin"/>
        </w:r>
        <w:r w:rsidR="000D394B">
          <w:rPr>
            <w:noProof/>
            <w:webHidden/>
          </w:rPr>
          <w:instrText xml:space="preserve"> PAGEREF _Toc41569742 \h </w:instrText>
        </w:r>
        <w:r w:rsidR="000D394B">
          <w:rPr>
            <w:noProof/>
            <w:webHidden/>
          </w:rPr>
        </w:r>
        <w:r w:rsidR="000D394B">
          <w:rPr>
            <w:noProof/>
            <w:webHidden/>
          </w:rPr>
          <w:fldChar w:fldCharType="separate"/>
        </w:r>
        <w:r w:rsidR="000D394B">
          <w:rPr>
            <w:noProof/>
            <w:webHidden/>
          </w:rPr>
          <w:t>5</w:t>
        </w:r>
        <w:r w:rsidR="000D394B">
          <w:rPr>
            <w:noProof/>
            <w:webHidden/>
          </w:rPr>
          <w:fldChar w:fldCharType="end"/>
        </w:r>
      </w:hyperlink>
    </w:p>
    <w:p w14:paraId="5E8756B5" w14:textId="73FB6F3C" w:rsidR="000D394B" w:rsidRDefault="00A26684">
      <w:pPr>
        <w:pStyle w:val="TableofFigures"/>
        <w:tabs>
          <w:tab w:val="right" w:leader="dot" w:pos="9016"/>
        </w:tabs>
        <w:rPr>
          <w:rFonts w:eastAsiaTheme="minorEastAsia"/>
          <w:noProof/>
          <w:lang w:eastAsia="en-GB"/>
        </w:rPr>
      </w:pPr>
      <w:hyperlink w:anchor="_Toc41569743" w:history="1">
        <w:r w:rsidR="000D394B" w:rsidRPr="00013780">
          <w:rPr>
            <w:rStyle w:val="Hyperlink"/>
            <w:noProof/>
          </w:rPr>
          <w:t>Table 2: Reasons and solutions to common problems with the SQ-110 PAR Sensor[1]</w:t>
        </w:r>
        <w:r w:rsidR="000D394B">
          <w:rPr>
            <w:noProof/>
            <w:webHidden/>
          </w:rPr>
          <w:tab/>
        </w:r>
        <w:r w:rsidR="000D394B">
          <w:rPr>
            <w:noProof/>
            <w:webHidden/>
          </w:rPr>
          <w:fldChar w:fldCharType="begin"/>
        </w:r>
        <w:r w:rsidR="000D394B">
          <w:rPr>
            <w:noProof/>
            <w:webHidden/>
          </w:rPr>
          <w:instrText xml:space="preserve"> PAGEREF _Toc41569743 \h </w:instrText>
        </w:r>
        <w:r w:rsidR="000D394B">
          <w:rPr>
            <w:noProof/>
            <w:webHidden/>
          </w:rPr>
        </w:r>
        <w:r w:rsidR="000D394B">
          <w:rPr>
            <w:noProof/>
            <w:webHidden/>
          </w:rPr>
          <w:fldChar w:fldCharType="separate"/>
        </w:r>
        <w:r w:rsidR="000D394B">
          <w:rPr>
            <w:noProof/>
            <w:webHidden/>
          </w:rPr>
          <w:t>9</w:t>
        </w:r>
        <w:r w:rsidR="000D394B">
          <w:rPr>
            <w:noProof/>
            <w:webHidden/>
          </w:rPr>
          <w:fldChar w:fldCharType="end"/>
        </w:r>
      </w:hyperlink>
    </w:p>
    <w:p w14:paraId="31061D57" w14:textId="735E0218" w:rsidR="0041691B" w:rsidRDefault="00A91BB5" w:rsidP="0041691B">
      <w:r>
        <w:fldChar w:fldCharType="end"/>
      </w:r>
    </w:p>
    <w:p w14:paraId="303F3C6A" w14:textId="77777777" w:rsidR="00816E07" w:rsidRDefault="00816E07" w:rsidP="0041691B"/>
    <w:p w14:paraId="40D0DF69" w14:textId="290B8476" w:rsidR="00FF6D23" w:rsidRDefault="00FF6D23" w:rsidP="00FF257E">
      <w:pPr>
        <w:pStyle w:val="Heading1"/>
        <w:numPr>
          <w:ilvl w:val="0"/>
          <w:numId w:val="0"/>
        </w:numPr>
        <w:ind w:left="432" w:hanging="432"/>
      </w:pPr>
      <w:bookmarkStart w:id="10" w:name="_Toc40109236"/>
      <w:r>
        <w:t>Acronyms</w:t>
      </w:r>
      <w:bookmarkEnd w:id="10"/>
    </w:p>
    <w:p w14:paraId="17C3F26B" w14:textId="77777777" w:rsidR="00FF6D23" w:rsidRPr="00BD626B" w:rsidRDefault="00FF6D23" w:rsidP="00FF6D23"/>
    <w:p w14:paraId="1D060731" w14:textId="5C568D94" w:rsidR="00FF6D23" w:rsidRPr="00BD626B" w:rsidRDefault="00FF6D23" w:rsidP="00FF6D23">
      <w:pPr>
        <w:pStyle w:val="Heading3"/>
        <w:numPr>
          <w:ilvl w:val="0"/>
          <w:numId w:val="0"/>
        </w:numPr>
        <w:ind w:left="720" w:hanging="720"/>
      </w:pPr>
    </w:p>
    <w:tbl>
      <w:tblPr>
        <w:tblStyle w:val="TableGridLight"/>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5348"/>
      </w:tblGrid>
      <w:tr w:rsidR="00816E07" w14:paraId="5022ED88" w14:textId="77777777" w:rsidTr="00816E07">
        <w:tc>
          <w:tcPr>
            <w:tcW w:w="1172" w:type="pct"/>
          </w:tcPr>
          <w:p w14:paraId="0B4E9A2D" w14:textId="77777777" w:rsidR="00816E07" w:rsidRPr="00197839" w:rsidRDefault="00816E07" w:rsidP="00C97FA6">
            <w:pPr>
              <w:rPr>
                <w:b/>
                <w:bCs/>
              </w:rPr>
            </w:pPr>
            <w:r w:rsidRPr="00197839">
              <w:rPr>
                <w:b/>
                <w:bCs/>
              </w:rPr>
              <w:t>Abbreviation</w:t>
            </w:r>
          </w:p>
        </w:tc>
        <w:tc>
          <w:tcPr>
            <w:tcW w:w="3828" w:type="pct"/>
          </w:tcPr>
          <w:p w14:paraId="617D6CBD" w14:textId="77777777" w:rsidR="00816E07" w:rsidRPr="00197839" w:rsidRDefault="00816E07" w:rsidP="00C97FA6">
            <w:pPr>
              <w:rPr>
                <w:b/>
                <w:bCs/>
              </w:rPr>
            </w:pPr>
            <w:r w:rsidRPr="00197839">
              <w:rPr>
                <w:b/>
                <w:bCs/>
              </w:rPr>
              <w:t>Stands for</w:t>
            </w:r>
          </w:p>
        </w:tc>
      </w:tr>
      <w:tr w:rsidR="00816E07" w14:paraId="083BA449" w14:textId="77777777" w:rsidTr="00816E07">
        <w:tc>
          <w:tcPr>
            <w:tcW w:w="1172" w:type="pct"/>
          </w:tcPr>
          <w:p w14:paraId="7CE08981" w14:textId="702445F3" w:rsidR="00816E07" w:rsidRDefault="001F1C49" w:rsidP="00C97FA6">
            <w:r>
              <w:t>ESA</w:t>
            </w:r>
          </w:p>
        </w:tc>
        <w:tc>
          <w:tcPr>
            <w:tcW w:w="3828" w:type="pct"/>
          </w:tcPr>
          <w:p w14:paraId="4D081D5D" w14:textId="3CF25D8B" w:rsidR="00816E07" w:rsidRDefault="001F1C49" w:rsidP="00C97FA6">
            <w:r>
              <w:t>European Space Agency</w:t>
            </w:r>
          </w:p>
        </w:tc>
      </w:tr>
      <w:tr w:rsidR="00816E07" w14:paraId="4D97AD9C" w14:textId="77777777" w:rsidTr="00816E07">
        <w:tc>
          <w:tcPr>
            <w:tcW w:w="1172" w:type="pct"/>
          </w:tcPr>
          <w:p w14:paraId="731A38BE" w14:textId="0E98BEB6" w:rsidR="00816E07" w:rsidRDefault="001F1C49" w:rsidP="00C97FA6">
            <w:r>
              <w:t>FRM4VEG</w:t>
            </w:r>
          </w:p>
        </w:tc>
        <w:tc>
          <w:tcPr>
            <w:tcW w:w="3828" w:type="pct"/>
          </w:tcPr>
          <w:p w14:paraId="4FFFC204" w14:textId="63A44366" w:rsidR="00816E07" w:rsidRDefault="001F6D89" w:rsidP="00C97FA6">
            <w:r>
              <w:t>Fiducial Reference Measurements for Vegetation</w:t>
            </w:r>
          </w:p>
        </w:tc>
      </w:tr>
      <w:tr w:rsidR="00816E07" w14:paraId="277B378F" w14:textId="77777777" w:rsidTr="00816E07">
        <w:tc>
          <w:tcPr>
            <w:tcW w:w="1172" w:type="pct"/>
          </w:tcPr>
          <w:p w14:paraId="4EEC0892" w14:textId="2604179D" w:rsidR="00816E07" w:rsidRDefault="001F6D89" w:rsidP="00C97FA6">
            <w:r>
              <w:t>LAI</w:t>
            </w:r>
          </w:p>
        </w:tc>
        <w:tc>
          <w:tcPr>
            <w:tcW w:w="3828" w:type="pct"/>
          </w:tcPr>
          <w:p w14:paraId="5011AD25" w14:textId="15150440" w:rsidR="00816E07" w:rsidRDefault="001F6D89" w:rsidP="00C97FA6">
            <w:r>
              <w:t>Leaf Area Index</w:t>
            </w:r>
          </w:p>
        </w:tc>
      </w:tr>
      <w:tr w:rsidR="00B33A91" w14:paraId="2DEE48A3" w14:textId="77777777" w:rsidTr="00816E07">
        <w:tc>
          <w:tcPr>
            <w:tcW w:w="1172" w:type="pct"/>
          </w:tcPr>
          <w:p w14:paraId="0E81F190" w14:textId="1EBD1F45" w:rsidR="00B33A91" w:rsidRDefault="00B33A91" w:rsidP="00C97FA6">
            <w:r>
              <w:t>NIST</w:t>
            </w:r>
          </w:p>
        </w:tc>
        <w:tc>
          <w:tcPr>
            <w:tcW w:w="3828" w:type="pct"/>
          </w:tcPr>
          <w:p w14:paraId="2A1CCCEC" w14:textId="296552F5" w:rsidR="00B33A91" w:rsidRDefault="00B33A91" w:rsidP="00C97FA6">
            <w:r>
              <w:t>National Institute of Standards and Technology</w:t>
            </w:r>
          </w:p>
        </w:tc>
      </w:tr>
      <w:tr w:rsidR="00816E07" w14:paraId="1AE29562" w14:textId="77777777" w:rsidTr="00816E07">
        <w:tc>
          <w:tcPr>
            <w:tcW w:w="1172" w:type="pct"/>
          </w:tcPr>
          <w:p w14:paraId="3D0F1DC6" w14:textId="7ADDA5C4" w:rsidR="00816E07" w:rsidRDefault="001F6D89" w:rsidP="00C97FA6">
            <w:r>
              <w:t>PAR</w:t>
            </w:r>
          </w:p>
        </w:tc>
        <w:tc>
          <w:tcPr>
            <w:tcW w:w="3828" w:type="pct"/>
          </w:tcPr>
          <w:p w14:paraId="07F610F2" w14:textId="07B97347" w:rsidR="00816E07" w:rsidRDefault="001F6D89" w:rsidP="00C97FA6">
            <w:r>
              <w:t>Photosynthetically Active Radiation</w:t>
            </w:r>
          </w:p>
        </w:tc>
      </w:tr>
      <w:tr w:rsidR="00FC359C" w14:paraId="388D7E77" w14:textId="77777777" w:rsidTr="00816E07">
        <w:tc>
          <w:tcPr>
            <w:tcW w:w="1172" w:type="pct"/>
          </w:tcPr>
          <w:p w14:paraId="313E63EC" w14:textId="51B7ED3A" w:rsidR="00FC359C" w:rsidRDefault="00FC359C" w:rsidP="00C97FA6">
            <w:r>
              <w:t>PPFD</w:t>
            </w:r>
          </w:p>
        </w:tc>
        <w:tc>
          <w:tcPr>
            <w:tcW w:w="3828" w:type="pct"/>
          </w:tcPr>
          <w:p w14:paraId="418C25A8" w14:textId="1814B239" w:rsidR="00FC359C" w:rsidRDefault="00FC359C" w:rsidP="00C97FA6">
            <w:r>
              <w:rPr>
                <w:sz w:val="20"/>
                <w:szCs w:val="20"/>
              </w:rPr>
              <w:t>photosynthetic photon flux density</w:t>
            </w:r>
          </w:p>
        </w:tc>
      </w:tr>
    </w:tbl>
    <w:p w14:paraId="61AE017C" w14:textId="77777777" w:rsidR="00FF6D23" w:rsidRDefault="00FF6D23" w:rsidP="00FF6D23"/>
    <w:p w14:paraId="52A06B9F" w14:textId="77777777" w:rsidR="0041691B" w:rsidRDefault="0041691B" w:rsidP="0041691B"/>
    <w:p w14:paraId="6F4D92E4" w14:textId="77777777" w:rsidR="0041691B" w:rsidRDefault="0041691B" w:rsidP="0041691B"/>
    <w:p w14:paraId="0E0936C2" w14:textId="27D36B05" w:rsidR="0041691B" w:rsidRDefault="0041691B" w:rsidP="0041691B"/>
    <w:p w14:paraId="74BD5609" w14:textId="1E9A9274" w:rsidR="00816E07" w:rsidRDefault="00816E07" w:rsidP="0041691B"/>
    <w:p w14:paraId="2AF1374C" w14:textId="02E31935" w:rsidR="00816E07" w:rsidRDefault="00816E07" w:rsidP="0041691B"/>
    <w:p w14:paraId="5D4ABB60" w14:textId="32BADBA0" w:rsidR="00816E07" w:rsidRDefault="00816E07" w:rsidP="0041691B"/>
    <w:p w14:paraId="45884A3D" w14:textId="1894DA15" w:rsidR="00213799" w:rsidRDefault="00213799" w:rsidP="0041691B"/>
    <w:p w14:paraId="217F1BE4" w14:textId="245DBF83" w:rsidR="00213799" w:rsidRDefault="00213799" w:rsidP="0041691B"/>
    <w:p w14:paraId="3B88DB95" w14:textId="77777777" w:rsidR="00213799" w:rsidRDefault="00213799" w:rsidP="0041691B"/>
    <w:p w14:paraId="7431A04B" w14:textId="2EDF5103" w:rsidR="00816E07" w:rsidRDefault="00816E07" w:rsidP="0041691B"/>
    <w:p w14:paraId="4833ABFE" w14:textId="1FB22066" w:rsidR="00816E07" w:rsidRDefault="00816E07" w:rsidP="0041691B"/>
    <w:p w14:paraId="0F91A048" w14:textId="6F4F3464" w:rsidR="00AB5ECD" w:rsidRDefault="00AB5ECD" w:rsidP="0041691B"/>
    <w:p w14:paraId="4C99E22E" w14:textId="4686D04F" w:rsidR="00AB5ECD" w:rsidRDefault="00AB5ECD" w:rsidP="0041691B"/>
    <w:p w14:paraId="3CF2391F" w14:textId="33862C9C" w:rsidR="00AB5ECD" w:rsidRDefault="00AB5ECD" w:rsidP="0041691B"/>
    <w:p w14:paraId="3D6A280D" w14:textId="2C8F4A39" w:rsidR="00AB5ECD" w:rsidRDefault="00AB5ECD" w:rsidP="0041691B"/>
    <w:p w14:paraId="101F3BD6" w14:textId="54CF513B" w:rsidR="00AB5ECD" w:rsidRDefault="00AB5ECD" w:rsidP="0041691B"/>
    <w:p w14:paraId="128662C2" w14:textId="39E567BA" w:rsidR="0041691B" w:rsidRDefault="0041691B"/>
    <w:p w14:paraId="0BC98D34" w14:textId="2CA271F6" w:rsidR="005C2D10" w:rsidRDefault="00767032" w:rsidP="005E32FC">
      <w:pPr>
        <w:pStyle w:val="Heading1"/>
        <w:numPr>
          <w:ilvl w:val="0"/>
          <w:numId w:val="2"/>
        </w:numPr>
      </w:pPr>
      <w:bookmarkStart w:id="11" w:name="_Toc40109237"/>
      <w:r>
        <w:t>Introduction</w:t>
      </w:r>
      <w:bookmarkEnd w:id="11"/>
    </w:p>
    <w:p w14:paraId="6EFAB0F2" w14:textId="77777777" w:rsidR="00BD626B" w:rsidRPr="00BD626B" w:rsidRDefault="00BD626B" w:rsidP="00BD626B"/>
    <w:p w14:paraId="4E3ACC1F" w14:textId="4DD36950" w:rsidR="00D60F20" w:rsidRDefault="00D60F20" w:rsidP="0033540B">
      <w:pPr>
        <w:pStyle w:val="Heading2"/>
        <w:numPr>
          <w:ilvl w:val="1"/>
          <w:numId w:val="2"/>
        </w:numPr>
      </w:pPr>
      <w:bookmarkStart w:id="12" w:name="_Toc40109238"/>
      <w:r>
        <w:t>Purpose and Scope</w:t>
      </w:r>
      <w:bookmarkEnd w:id="12"/>
    </w:p>
    <w:p w14:paraId="570AD07C" w14:textId="7CFF00A1" w:rsidR="0033540B" w:rsidRDefault="0033540B" w:rsidP="00BD626B"/>
    <w:p w14:paraId="5A19FE32" w14:textId="3F3D0D97" w:rsidR="0033540B" w:rsidRDefault="0033540B" w:rsidP="0033540B">
      <w:pPr>
        <w:spacing w:line="360" w:lineRule="auto"/>
        <w:jc w:val="both"/>
      </w:pPr>
      <w:r>
        <w:t>This document forms part of deliverable D-60 of the European Space Agency (ESA) project ‘Fiducial Reference Measurements for Vegetation (FRM4VEG)’ and it should be used as a guide to operating the</w:t>
      </w:r>
      <w:r w:rsidR="00A32B53">
        <w:t xml:space="preserve"> </w:t>
      </w:r>
      <w:r w:rsidR="00AB5ECD">
        <w:t>SQ-110 PAR Sensor</w:t>
      </w:r>
      <w:r>
        <w:t>. Its purpose is to provide an instrument technical description, together with information about maintenance and calibration history, pre-deployment uncertainties estimates, and steps required to achieve the FRM status.</w:t>
      </w:r>
    </w:p>
    <w:p w14:paraId="3239A426" w14:textId="77777777" w:rsidR="0033540B" w:rsidRDefault="0033540B" w:rsidP="0033540B">
      <w:pPr>
        <w:spacing w:line="360" w:lineRule="auto"/>
        <w:jc w:val="both"/>
      </w:pPr>
      <w:r>
        <w:t>The document is organized into 7 key sections:</w:t>
      </w:r>
    </w:p>
    <w:p w14:paraId="685B136E" w14:textId="77777777" w:rsidR="0033540B" w:rsidRDefault="0033540B" w:rsidP="0033540B">
      <w:pPr>
        <w:pStyle w:val="ListParagraph"/>
        <w:numPr>
          <w:ilvl w:val="0"/>
          <w:numId w:val="30"/>
        </w:numPr>
        <w:spacing w:line="360" w:lineRule="auto"/>
        <w:jc w:val="both"/>
      </w:pPr>
      <w:r>
        <w:rPr>
          <w:b/>
          <w:bCs/>
        </w:rPr>
        <w:t>Section 1</w:t>
      </w:r>
      <w:r>
        <w:t xml:space="preserve"> provides a summary of the document.</w:t>
      </w:r>
    </w:p>
    <w:p w14:paraId="090543B2" w14:textId="77777777" w:rsidR="0033540B" w:rsidRDefault="0033540B" w:rsidP="0033540B">
      <w:pPr>
        <w:pStyle w:val="ListParagraph"/>
        <w:numPr>
          <w:ilvl w:val="0"/>
          <w:numId w:val="31"/>
        </w:numPr>
        <w:spacing w:line="360" w:lineRule="auto"/>
        <w:jc w:val="both"/>
      </w:pPr>
      <w:r>
        <w:rPr>
          <w:b/>
          <w:bCs/>
        </w:rPr>
        <w:t>Section 2</w:t>
      </w:r>
      <w:r>
        <w:t xml:space="preserve"> overviews the technical characteristics of the instrument together with a description of its functioning.</w:t>
      </w:r>
    </w:p>
    <w:p w14:paraId="2A02CA40" w14:textId="67859751" w:rsidR="0033540B" w:rsidRDefault="0033540B" w:rsidP="0033540B">
      <w:pPr>
        <w:pStyle w:val="ListParagraph"/>
        <w:numPr>
          <w:ilvl w:val="0"/>
          <w:numId w:val="31"/>
        </w:numPr>
        <w:spacing w:line="360" w:lineRule="auto"/>
        <w:jc w:val="both"/>
        <w:rPr>
          <w:lang w:eastAsia="en-GB"/>
        </w:rPr>
      </w:pPr>
      <w:r>
        <w:rPr>
          <w:b/>
          <w:bCs/>
        </w:rPr>
        <w:t>Section 3</w:t>
      </w:r>
      <w:r>
        <w:t xml:space="preserve"> </w:t>
      </w:r>
      <w:r w:rsidR="008B49D0">
        <w:t>….</w:t>
      </w:r>
    </w:p>
    <w:p w14:paraId="6558DB3E" w14:textId="0C5CB88D" w:rsidR="00F57FC2" w:rsidRDefault="0033540B" w:rsidP="00F57FC2">
      <w:pPr>
        <w:pStyle w:val="ListParagraph"/>
        <w:numPr>
          <w:ilvl w:val="0"/>
          <w:numId w:val="31"/>
        </w:numPr>
        <w:spacing w:line="360" w:lineRule="auto"/>
        <w:jc w:val="both"/>
      </w:pPr>
      <w:r w:rsidRPr="00F57FC2">
        <w:rPr>
          <w:b/>
          <w:bCs/>
        </w:rPr>
        <w:t>Section 4</w:t>
      </w:r>
      <w:r>
        <w:t xml:space="preserve"> describes the procedures that need to be followed when using the instrument</w:t>
      </w:r>
      <w:r w:rsidR="000A6908">
        <w:t>.</w:t>
      </w:r>
    </w:p>
    <w:p w14:paraId="032B6643" w14:textId="3AB98212" w:rsidR="0033540B" w:rsidRDefault="0033540B" w:rsidP="003F10F5">
      <w:pPr>
        <w:pStyle w:val="ListParagraph"/>
        <w:numPr>
          <w:ilvl w:val="0"/>
          <w:numId w:val="31"/>
        </w:numPr>
        <w:spacing w:line="360" w:lineRule="auto"/>
        <w:jc w:val="both"/>
      </w:pPr>
      <w:r w:rsidRPr="00F57FC2">
        <w:rPr>
          <w:b/>
          <w:bCs/>
        </w:rPr>
        <w:t xml:space="preserve">Section 5 </w:t>
      </w:r>
      <w:r>
        <w:t xml:space="preserve">lists useful advices for care and storage of the </w:t>
      </w:r>
      <w:r w:rsidR="000F5FB6">
        <w:t>instrument</w:t>
      </w:r>
      <w:r>
        <w:t xml:space="preserve"> as provided by the manufacturer.</w:t>
      </w:r>
    </w:p>
    <w:p w14:paraId="32FED303" w14:textId="4567949F" w:rsidR="0033540B" w:rsidRDefault="0033540B" w:rsidP="0033540B">
      <w:pPr>
        <w:pStyle w:val="ListParagraph"/>
        <w:numPr>
          <w:ilvl w:val="0"/>
          <w:numId w:val="31"/>
        </w:numPr>
        <w:spacing w:line="360" w:lineRule="auto"/>
        <w:jc w:val="both"/>
      </w:pPr>
      <w:r>
        <w:rPr>
          <w:b/>
          <w:bCs/>
        </w:rPr>
        <w:t>Section 6</w:t>
      </w:r>
      <w:r>
        <w:t xml:space="preserve"> lists the reasons for and solutions to common problems with the use of the </w:t>
      </w:r>
      <w:r w:rsidR="00EC07D9">
        <w:t>instrument</w:t>
      </w:r>
      <w:r>
        <w:t>.</w:t>
      </w:r>
    </w:p>
    <w:p w14:paraId="085E2B42" w14:textId="5C8EEB8F" w:rsidR="00D64EC8" w:rsidRDefault="0033540B" w:rsidP="0033540B">
      <w:pPr>
        <w:pStyle w:val="ListParagraph"/>
        <w:numPr>
          <w:ilvl w:val="0"/>
          <w:numId w:val="31"/>
        </w:numPr>
        <w:spacing w:line="360" w:lineRule="auto"/>
        <w:jc w:val="both"/>
      </w:pPr>
      <w:r>
        <w:rPr>
          <w:b/>
          <w:bCs/>
        </w:rPr>
        <w:t xml:space="preserve">Appendix A: </w:t>
      </w:r>
      <w:r w:rsidR="000A6908">
        <w:t>…</w:t>
      </w:r>
    </w:p>
    <w:p w14:paraId="5CABE156" w14:textId="79BFB404" w:rsidR="003C3C06" w:rsidRDefault="003C3C06" w:rsidP="00D60F20"/>
    <w:p w14:paraId="4A6A0898" w14:textId="60D894E5" w:rsidR="000F5FB6" w:rsidRDefault="000F5FB6" w:rsidP="00D60F20"/>
    <w:p w14:paraId="6FD501AF" w14:textId="78E9091D" w:rsidR="000F5FB6" w:rsidRDefault="000F5FB6" w:rsidP="00D60F20"/>
    <w:p w14:paraId="1F0F9101" w14:textId="41171FB6" w:rsidR="000F5FB6" w:rsidRDefault="000F5FB6" w:rsidP="00D60F20"/>
    <w:p w14:paraId="2F286C79" w14:textId="7E115C22" w:rsidR="000F5FB6" w:rsidRDefault="000F5FB6" w:rsidP="00D60F20"/>
    <w:p w14:paraId="7B088394" w14:textId="57E2FA9D" w:rsidR="000F5FB6" w:rsidRDefault="000F5FB6" w:rsidP="00D60F20"/>
    <w:p w14:paraId="39B549A7" w14:textId="5FB577B0" w:rsidR="000F5FB6" w:rsidRDefault="000F5FB6" w:rsidP="00D60F20"/>
    <w:p w14:paraId="4FBD979E" w14:textId="79BEA9C5" w:rsidR="000F5FB6" w:rsidRDefault="000F5FB6" w:rsidP="00D60F20"/>
    <w:p w14:paraId="2283E8BF" w14:textId="757D43F8" w:rsidR="000F5FB6" w:rsidRDefault="000F5FB6" w:rsidP="00D60F20"/>
    <w:p w14:paraId="10545FB3" w14:textId="6917C26B" w:rsidR="000F5FB6" w:rsidRDefault="000F5FB6" w:rsidP="00D60F20"/>
    <w:p w14:paraId="4F8A6A46" w14:textId="77777777" w:rsidR="000F5FB6" w:rsidRDefault="000F5FB6" w:rsidP="00D60F20"/>
    <w:p w14:paraId="6EF061D1" w14:textId="2A298789" w:rsidR="11F35245" w:rsidRDefault="005E32FC" w:rsidP="0033540B">
      <w:pPr>
        <w:pStyle w:val="Heading1"/>
        <w:numPr>
          <w:ilvl w:val="0"/>
          <w:numId w:val="2"/>
        </w:numPr>
      </w:pPr>
      <w:bookmarkStart w:id="13" w:name="_Toc514748861"/>
      <w:bookmarkStart w:id="14" w:name="_Toc514853528"/>
      <w:bookmarkStart w:id="15" w:name="_Toc514853848"/>
      <w:bookmarkStart w:id="16" w:name="_Toc514853918"/>
      <w:bookmarkStart w:id="17" w:name="_Toc514853988"/>
      <w:bookmarkStart w:id="18" w:name="_Toc514854082"/>
      <w:bookmarkStart w:id="19" w:name="_Toc514854151"/>
      <w:bookmarkStart w:id="20" w:name="_Toc515216362"/>
      <w:bookmarkStart w:id="21" w:name="_Toc515217084"/>
      <w:bookmarkStart w:id="22" w:name="_Toc514748866"/>
      <w:bookmarkStart w:id="23" w:name="_Toc514853533"/>
      <w:bookmarkStart w:id="24" w:name="_Toc514853853"/>
      <w:bookmarkStart w:id="25" w:name="_Toc514853923"/>
      <w:bookmarkStart w:id="26" w:name="_Toc514853993"/>
      <w:bookmarkStart w:id="27" w:name="_Toc514854087"/>
      <w:bookmarkStart w:id="28" w:name="_Toc514854156"/>
      <w:bookmarkStart w:id="29" w:name="_Toc515216367"/>
      <w:bookmarkStart w:id="30" w:name="_Toc515217089"/>
      <w:bookmarkStart w:id="31" w:name="_Toc4010923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Technical Description</w:t>
      </w:r>
      <w:bookmarkEnd w:id="31"/>
    </w:p>
    <w:p w14:paraId="32B93DEF" w14:textId="77777777" w:rsidR="00BD626B" w:rsidRPr="00BD626B" w:rsidRDefault="00BD626B" w:rsidP="00BD626B"/>
    <w:p w14:paraId="576A17AF" w14:textId="4D3A30F6" w:rsidR="005E32FC" w:rsidRDefault="005E32FC" w:rsidP="0033540B">
      <w:pPr>
        <w:pStyle w:val="Heading2"/>
        <w:numPr>
          <w:ilvl w:val="1"/>
          <w:numId w:val="2"/>
        </w:numPr>
      </w:pPr>
      <w:bookmarkStart w:id="32" w:name="_Toc40109240"/>
      <w:r>
        <w:t>Overview</w:t>
      </w:r>
      <w:bookmarkEnd w:id="32"/>
    </w:p>
    <w:p w14:paraId="4C751A05" w14:textId="437404B0" w:rsidR="00FC71B4" w:rsidRDefault="00FC71B4" w:rsidP="00FC71B4"/>
    <w:p w14:paraId="5955764A" w14:textId="0CDBA528" w:rsidR="004106B7" w:rsidRDefault="00FC71B4" w:rsidP="000F5FB6">
      <w:pPr>
        <w:spacing w:line="360" w:lineRule="auto"/>
      </w:pPr>
      <w:r>
        <w:t xml:space="preserve">The SQ-110 is a self-powered quantum sensor that measures </w:t>
      </w:r>
      <w:r w:rsidR="00DC05FB">
        <w:t xml:space="preserve">photosynthetically active radiation </w:t>
      </w:r>
      <w:r w:rsidR="00AD7FB9">
        <w:t xml:space="preserve">(PAR) </w:t>
      </w:r>
      <w:r w:rsidR="00DC05FB">
        <w:t xml:space="preserve">and </w:t>
      </w:r>
      <w:r w:rsidR="00AD7FB9">
        <w:t xml:space="preserve">it </w:t>
      </w:r>
      <w:r w:rsidR="00DC05FB">
        <w:t>is calibrated for use in sunlight. The sensor housing design features a fully potted, domed-shaped head making the sensor fully weatherproof and self-cleaning.</w:t>
      </w:r>
      <w:r w:rsidR="008F1C85">
        <w:t xml:space="preserve"> </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r w:rsidR="005C075E">
        <w:fldChar w:fldCharType="end"/>
      </w:r>
    </w:p>
    <w:p w14:paraId="523A6D6D" w14:textId="77777777" w:rsidR="00BC4140" w:rsidRPr="004106B7" w:rsidRDefault="00BC4140" w:rsidP="007C2CBD">
      <w:pPr>
        <w:jc w:val="center"/>
      </w:pPr>
    </w:p>
    <w:p w14:paraId="355F5C72" w14:textId="77DD12B0" w:rsidR="007C2CBD" w:rsidRDefault="007C2CBD" w:rsidP="007C2CBD">
      <w:pPr>
        <w:pStyle w:val="Caption"/>
        <w:keepNext/>
        <w:jc w:val="center"/>
      </w:pPr>
      <w:bookmarkStart w:id="33" w:name="_Toc41569742"/>
      <w:r>
        <w:t xml:space="preserve">Table </w:t>
      </w:r>
      <w:r w:rsidR="00A26684">
        <w:fldChar w:fldCharType="begin"/>
      </w:r>
      <w:r w:rsidR="00A26684">
        <w:instrText xml:space="preserve"> SEQ Table \* ARABIC </w:instrText>
      </w:r>
      <w:r w:rsidR="00A26684">
        <w:fldChar w:fldCharType="separate"/>
      </w:r>
      <w:r w:rsidR="002E090C">
        <w:rPr>
          <w:noProof/>
        </w:rPr>
        <w:t>1</w:t>
      </w:r>
      <w:r w:rsidR="00A26684">
        <w:rPr>
          <w:noProof/>
        </w:rPr>
        <w:fldChar w:fldCharType="end"/>
      </w:r>
      <w:r>
        <w:t>: Technical characteristics of the SQ-110 PAR Sensor</w:t>
      </w:r>
      <w:r w:rsidR="008F1C85">
        <w:fldChar w:fldCharType="begin" w:fldLock="1"/>
      </w:r>
      <w:r w:rsidR="005C075E">
        <w:instrText>ADDIN CSL_CITATION {"citationItems":[{"id":"ITEM-1","itemData":{"author":[{"dropping-particle":"","family":"Pro","given":"Roomba","non-dropping-particle":"","parse-names":false,"suffix":""},{"dropping-particle":"","family":"Elite","given":"Roomba Pro","non-dropping-particle":"","parse-names":false,"suffix":""}],"id":"ITEM-1","issue":"435","issued":{"date-parts":[["2003"]]},"page":"1-11","title":"Owner ’ s Manual Owner ’ s Manual","type":"article-journal","volume":"8786"},"uris":["http://www.mendeley.com/documents/?uuid=99000ea1-bf32-4785-afdd-274fc7b3a428"]}],"mendeley":{"formattedCitation":"[2]","manualFormatting":"[1]","plainTextFormattedCitation":"[2]","previouslyFormattedCitation":"[2]"},"properties":{"noteIndex":0},"schema":"https://github.com/citation-style-language/schema/raw/master/csl-citation.json"}</w:instrText>
      </w:r>
      <w:r w:rsidR="008F1C85">
        <w:fldChar w:fldCharType="separate"/>
      </w:r>
      <w:r w:rsidR="005C075E">
        <w:rPr>
          <w:noProof/>
        </w:rPr>
        <w:fldChar w:fldCharType="begin" w:fldLock="1"/>
      </w:r>
      <w:r w:rsidR="005C075E">
        <w:rPr>
          <w:noProof/>
        </w:rPr>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rPr>
          <w:noProof/>
        </w:rPr>
        <w:fldChar w:fldCharType="separate"/>
      </w:r>
      <w:r w:rsidR="005C075E" w:rsidRPr="005C075E">
        <w:rPr>
          <w:noProof/>
        </w:rPr>
        <w:t>[1]</w:t>
      </w:r>
      <w:bookmarkEnd w:id="33"/>
      <w:r w:rsidR="005C075E">
        <w:rPr>
          <w:noProof/>
        </w:rPr>
        <w:fldChar w:fldCharType="end"/>
      </w:r>
      <w:r w:rsidR="008F1C85">
        <w:fldChar w:fldCharType="end"/>
      </w:r>
    </w:p>
    <w:tbl>
      <w:tblPr>
        <w:tblStyle w:val="TableGrid"/>
        <w:tblW w:w="482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gridCol w:w="5152"/>
      </w:tblGrid>
      <w:tr w:rsidR="004106B7" w14:paraId="017D3856" w14:textId="77777777" w:rsidTr="006514E7">
        <w:trPr>
          <w:trHeight w:val="118"/>
        </w:trPr>
        <w:tc>
          <w:tcPr>
            <w:tcW w:w="2042" w:type="pct"/>
            <w:tcBorders>
              <w:top w:val="single" w:sz="4" w:space="0" w:color="auto"/>
              <w:bottom w:val="single" w:sz="4" w:space="0" w:color="auto"/>
            </w:tcBorders>
          </w:tcPr>
          <w:p w14:paraId="6C8110BD" w14:textId="11C1AB22" w:rsidR="00952C4B" w:rsidRPr="00E62806" w:rsidRDefault="004106B7" w:rsidP="00A93C47">
            <w:pPr>
              <w:rPr>
                <w:b/>
                <w:bCs/>
              </w:rPr>
            </w:pPr>
            <w:r w:rsidRPr="00E62806">
              <w:rPr>
                <w:b/>
                <w:bCs/>
              </w:rPr>
              <w:t>Characteristic</w:t>
            </w:r>
          </w:p>
        </w:tc>
        <w:tc>
          <w:tcPr>
            <w:tcW w:w="2958" w:type="pct"/>
            <w:tcBorders>
              <w:top w:val="single" w:sz="4" w:space="0" w:color="auto"/>
              <w:bottom w:val="single" w:sz="4" w:space="0" w:color="auto"/>
            </w:tcBorders>
          </w:tcPr>
          <w:p w14:paraId="2E6C080A" w14:textId="77777777" w:rsidR="004106B7" w:rsidRPr="00E62806" w:rsidRDefault="004106B7" w:rsidP="00A93C47">
            <w:pPr>
              <w:rPr>
                <w:b/>
                <w:bCs/>
              </w:rPr>
            </w:pPr>
            <w:r w:rsidRPr="00E62806">
              <w:rPr>
                <w:b/>
                <w:bCs/>
              </w:rPr>
              <w:t>Details</w:t>
            </w:r>
          </w:p>
        </w:tc>
      </w:tr>
      <w:tr w:rsidR="004106B7" w14:paraId="4F4EFC42" w14:textId="77777777" w:rsidTr="006514E7">
        <w:trPr>
          <w:trHeight w:val="4239"/>
        </w:trPr>
        <w:tc>
          <w:tcPr>
            <w:tcW w:w="2042" w:type="pct"/>
            <w:tcBorders>
              <w:top w:val="single" w:sz="4" w:space="0" w:color="auto"/>
            </w:tcBorders>
          </w:tcPr>
          <w:p w14:paraId="292ADBFA" w14:textId="77777777" w:rsidR="00952C4B" w:rsidRDefault="00952C4B" w:rsidP="00A93C47"/>
          <w:p w14:paraId="56D6193E" w14:textId="123F8054" w:rsidR="004106B7" w:rsidRDefault="00757529" w:rsidP="00A93C47">
            <w:r>
              <w:t>Power Supply</w:t>
            </w:r>
          </w:p>
          <w:p w14:paraId="4C12F110" w14:textId="77777777" w:rsidR="00952C4B" w:rsidRDefault="00952C4B" w:rsidP="00A93C47"/>
          <w:p w14:paraId="31422719" w14:textId="6C45C7E8" w:rsidR="00757529" w:rsidRDefault="00757529" w:rsidP="00A93C47">
            <w:r>
              <w:t>Sensitivity</w:t>
            </w:r>
          </w:p>
          <w:p w14:paraId="3915317F" w14:textId="77777777" w:rsidR="00952C4B" w:rsidRDefault="00952C4B" w:rsidP="00A93C47"/>
          <w:p w14:paraId="34D59753" w14:textId="77777777" w:rsidR="00952C4B" w:rsidRDefault="00757529" w:rsidP="00A93C47">
            <w:r>
              <w:t xml:space="preserve">Calibration Factor (Reciprocal of </w:t>
            </w:r>
          </w:p>
          <w:p w14:paraId="5EA4CCA7" w14:textId="3CBF88B3" w:rsidR="00757529" w:rsidRDefault="00757529" w:rsidP="00A93C47">
            <w:r>
              <w:t>Sensitivity)</w:t>
            </w:r>
          </w:p>
          <w:p w14:paraId="6F880851" w14:textId="77777777" w:rsidR="00952C4B" w:rsidRDefault="00952C4B" w:rsidP="00A93C47"/>
          <w:p w14:paraId="32214EC0" w14:textId="011B164F" w:rsidR="00427FC2" w:rsidRDefault="00427FC2" w:rsidP="00A93C47">
            <w:r>
              <w:t>Calibration Uncertainty</w:t>
            </w:r>
          </w:p>
          <w:p w14:paraId="792737A2" w14:textId="77777777" w:rsidR="00952C4B" w:rsidRDefault="00952C4B" w:rsidP="00A93C47"/>
          <w:p w14:paraId="4A554418" w14:textId="2F8AC152" w:rsidR="00427FC2" w:rsidRDefault="00427FC2" w:rsidP="00A93C47">
            <w:r>
              <w:t>Calibrated Output Range</w:t>
            </w:r>
          </w:p>
          <w:p w14:paraId="1C7A858F" w14:textId="77777777" w:rsidR="00952C4B" w:rsidRDefault="00952C4B" w:rsidP="00A93C47"/>
          <w:p w14:paraId="1F15A22D" w14:textId="708E41AD" w:rsidR="00427FC2" w:rsidRDefault="00427FC2" w:rsidP="00A93C47">
            <w:r>
              <w:t>Measurement Repeatability</w:t>
            </w:r>
          </w:p>
          <w:p w14:paraId="122B9884" w14:textId="77777777" w:rsidR="00952C4B" w:rsidRDefault="00952C4B" w:rsidP="00A93C47"/>
          <w:p w14:paraId="391E4502" w14:textId="23626E3B" w:rsidR="00427FC2" w:rsidRDefault="00427FC2" w:rsidP="00A93C47">
            <w:r>
              <w:t>Long-term Drift (Non-stability)</w:t>
            </w:r>
          </w:p>
          <w:p w14:paraId="23A41460" w14:textId="77777777" w:rsidR="00952C4B" w:rsidRDefault="00952C4B" w:rsidP="00A93C47"/>
          <w:p w14:paraId="16806B56" w14:textId="2D86B395" w:rsidR="00427FC2" w:rsidRDefault="00427FC2" w:rsidP="00A93C47">
            <w:r>
              <w:t>Non-linearity</w:t>
            </w:r>
          </w:p>
          <w:p w14:paraId="083F4D28" w14:textId="77777777" w:rsidR="00952C4B" w:rsidRDefault="00952C4B" w:rsidP="00A93C47"/>
          <w:p w14:paraId="54655D28" w14:textId="68AE7805" w:rsidR="00C37175" w:rsidRDefault="00C37175" w:rsidP="00A93C47">
            <w:r>
              <w:t>Response Time</w:t>
            </w:r>
          </w:p>
          <w:p w14:paraId="62655FA7" w14:textId="77777777" w:rsidR="00952C4B" w:rsidRDefault="00952C4B" w:rsidP="00A93C47"/>
          <w:p w14:paraId="1D528F00" w14:textId="7F7FBC3D" w:rsidR="00C37175" w:rsidRDefault="00C37175" w:rsidP="00A93C47">
            <w:r>
              <w:t>Field of View</w:t>
            </w:r>
          </w:p>
          <w:p w14:paraId="127B3147" w14:textId="77777777" w:rsidR="00952C4B" w:rsidRDefault="00952C4B" w:rsidP="00A93C47"/>
          <w:p w14:paraId="457E7159" w14:textId="66136E4B" w:rsidR="00C37175" w:rsidRDefault="00C37175" w:rsidP="00A93C47">
            <w:r>
              <w:t>Spectral Range</w:t>
            </w:r>
          </w:p>
          <w:p w14:paraId="715EDA56" w14:textId="6A2F0980" w:rsidR="00952C4B" w:rsidRDefault="00952C4B" w:rsidP="00A93C47"/>
          <w:p w14:paraId="298C52BC" w14:textId="074ECAF8" w:rsidR="00C20111" w:rsidRDefault="00C20111" w:rsidP="00A93C47"/>
          <w:p w14:paraId="74CD494F" w14:textId="77777777" w:rsidR="00C20111" w:rsidRDefault="00C20111" w:rsidP="00A93C47"/>
          <w:p w14:paraId="0B021461" w14:textId="1B1E3834" w:rsidR="00C37175" w:rsidRDefault="00C37175" w:rsidP="00A93C47">
            <w:r>
              <w:t>Spectral Selectivity</w:t>
            </w:r>
          </w:p>
          <w:p w14:paraId="78442EF5" w14:textId="77777777" w:rsidR="00952C4B" w:rsidRDefault="00952C4B" w:rsidP="00A93C47"/>
          <w:p w14:paraId="7FEDBC4D" w14:textId="5EEAFEF7" w:rsidR="00C37175" w:rsidRDefault="00C37175" w:rsidP="00A93C47">
            <w:r>
              <w:t>Directional (Cosine) Response</w:t>
            </w:r>
          </w:p>
          <w:p w14:paraId="644D9370" w14:textId="77777777" w:rsidR="00EF5E25" w:rsidRDefault="00EF5E25" w:rsidP="00A93C47"/>
          <w:p w14:paraId="0B89E223" w14:textId="6ACA560D" w:rsidR="00C37175" w:rsidRDefault="00C37175" w:rsidP="00A93C47">
            <w:r>
              <w:t>Temperature Response</w:t>
            </w:r>
          </w:p>
          <w:p w14:paraId="7194AAB4" w14:textId="7B08C04F" w:rsidR="00952C4B" w:rsidRDefault="00952C4B" w:rsidP="00A93C47"/>
          <w:p w14:paraId="19C69C00" w14:textId="652CBCE3" w:rsidR="00934338" w:rsidRDefault="00934338" w:rsidP="00A93C47"/>
          <w:p w14:paraId="4D2F58E4" w14:textId="77777777" w:rsidR="00B33A91" w:rsidRDefault="00B33A91" w:rsidP="00A93C47"/>
          <w:p w14:paraId="05784793" w14:textId="09F75C18" w:rsidR="00952C4B" w:rsidRDefault="00952C4B" w:rsidP="00A93C47">
            <w:r>
              <w:lastRenderedPageBreak/>
              <w:t>Operating Environment</w:t>
            </w:r>
          </w:p>
          <w:p w14:paraId="1656AA78" w14:textId="67057081" w:rsidR="00B33A91" w:rsidRDefault="00B33A91" w:rsidP="00A93C47"/>
          <w:p w14:paraId="56B9E12D" w14:textId="77777777" w:rsidR="00B33A91" w:rsidRDefault="00B33A91" w:rsidP="00A93C47"/>
          <w:p w14:paraId="018D31E1" w14:textId="6F65BF1D" w:rsidR="00952C4B" w:rsidRDefault="00952C4B" w:rsidP="00A93C47">
            <w:r>
              <w:t>Dimensions</w:t>
            </w:r>
          </w:p>
          <w:p w14:paraId="541D69F0" w14:textId="77777777" w:rsidR="004106B7" w:rsidRDefault="004106B7" w:rsidP="00A93C47"/>
          <w:p w14:paraId="08285B37" w14:textId="77777777" w:rsidR="00952C4B" w:rsidRDefault="00952C4B" w:rsidP="00A93C47">
            <w:r>
              <w:t>Mass</w:t>
            </w:r>
          </w:p>
          <w:p w14:paraId="339312C1" w14:textId="77777777" w:rsidR="00952C4B" w:rsidRDefault="00952C4B" w:rsidP="00A93C47"/>
          <w:p w14:paraId="52D165EB" w14:textId="158F3FE6" w:rsidR="00952C4B" w:rsidRDefault="00952C4B" w:rsidP="00A93C47">
            <w:r>
              <w:t>Cable</w:t>
            </w:r>
          </w:p>
        </w:tc>
        <w:tc>
          <w:tcPr>
            <w:tcW w:w="2958" w:type="pct"/>
            <w:tcBorders>
              <w:top w:val="single" w:sz="4" w:space="0" w:color="auto"/>
            </w:tcBorders>
          </w:tcPr>
          <w:p w14:paraId="28F28845" w14:textId="77777777" w:rsidR="004106B7" w:rsidRDefault="004106B7" w:rsidP="004106B7"/>
          <w:p w14:paraId="6C48EA7C" w14:textId="77777777" w:rsidR="00952C4B" w:rsidRDefault="0057371A" w:rsidP="004106B7">
            <w:r>
              <w:t>Self-powered</w:t>
            </w:r>
          </w:p>
          <w:p w14:paraId="13FD3774" w14:textId="77777777" w:rsidR="0057371A" w:rsidRDefault="0057371A" w:rsidP="004106B7"/>
          <w:p w14:paraId="66630EF7" w14:textId="77777777" w:rsidR="0057371A" w:rsidRDefault="0057371A" w:rsidP="004106B7">
            <w:r>
              <w:t>0.2 mV per µmol m</w:t>
            </w:r>
            <w:r w:rsidRPr="00A44B50">
              <w:rPr>
                <w:vertAlign w:val="superscript"/>
              </w:rPr>
              <w:t>-2</w:t>
            </w:r>
            <w:r>
              <w:t xml:space="preserve"> s </w:t>
            </w:r>
            <w:r w:rsidRPr="00A44B50">
              <w:rPr>
                <w:vertAlign w:val="superscript"/>
              </w:rPr>
              <w:t>-1</w:t>
            </w:r>
          </w:p>
          <w:p w14:paraId="5D26974F" w14:textId="77777777" w:rsidR="0057371A" w:rsidRDefault="0057371A" w:rsidP="004106B7"/>
          <w:p w14:paraId="01CD3CED" w14:textId="3F7F9FE0" w:rsidR="0057371A" w:rsidRDefault="0057371A" w:rsidP="004106B7">
            <w:r>
              <w:t>5 µmol m</w:t>
            </w:r>
            <w:r w:rsidRPr="00A44B50">
              <w:rPr>
                <w:vertAlign w:val="superscript"/>
              </w:rPr>
              <w:t>-2</w:t>
            </w:r>
            <w:r>
              <w:t xml:space="preserve"> s </w:t>
            </w:r>
            <w:r w:rsidRPr="00A44B50">
              <w:rPr>
                <w:vertAlign w:val="superscript"/>
              </w:rPr>
              <w:t>-1</w:t>
            </w:r>
            <w:r>
              <w:t xml:space="preserve"> per mV</w:t>
            </w:r>
          </w:p>
          <w:p w14:paraId="1E253050" w14:textId="77777777" w:rsidR="0057371A" w:rsidRDefault="0057371A" w:rsidP="004106B7"/>
          <w:p w14:paraId="549A8E99" w14:textId="77777777" w:rsidR="0057371A" w:rsidRDefault="0057371A" w:rsidP="004106B7"/>
          <w:p w14:paraId="11E10600" w14:textId="37CA44A0" w:rsidR="0057371A" w:rsidRDefault="0057371A" w:rsidP="004106B7">
            <w:r>
              <w:t xml:space="preserve">± 5 % </w:t>
            </w:r>
          </w:p>
          <w:p w14:paraId="763EB8EE" w14:textId="77777777" w:rsidR="0057371A" w:rsidRDefault="0057371A" w:rsidP="004106B7"/>
          <w:p w14:paraId="29A3317F" w14:textId="77777777" w:rsidR="0057371A" w:rsidRDefault="0057371A" w:rsidP="004106B7">
            <w:r>
              <w:t>0 to 800 mV</w:t>
            </w:r>
          </w:p>
          <w:p w14:paraId="688D6BC1" w14:textId="77777777" w:rsidR="002D59BE" w:rsidRDefault="002D59BE" w:rsidP="004106B7"/>
          <w:p w14:paraId="3769DCC2" w14:textId="77777777" w:rsidR="002D59BE" w:rsidRDefault="002D59BE" w:rsidP="004106B7">
            <w:r>
              <w:t>Less than 0.5 %</w:t>
            </w:r>
          </w:p>
          <w:p w14:paraId="7EEB5858" w14:textId="77777777" w:rsidR="002D59BE" w:rsidRDefault="002D59BE" w:rsidP="004106B7"/>
          <w:p w14:paraId="28A2226B" w14:textId="77777777" w:rsidR="002D59BE" w:rsidRDefault="002D59BE" w:rsidP="004106B7">
            <w:r>
              <w:t>Less than 2 % per year</w:t>
            </w:r>
          </w:p>
          <w:p w14:paraId="327CD320" w14:textId="77777777" w:rsidR="002D59BE" w:rsidRDefault="002D59BE" w:rsidP="004106B7"/>
          <w:p w14:paraId="229A0250" w14:textId="77777777" w:rsidR="002D59BE" w:rsidRDefault="002D59BE" w:rsidP="004106B7">
            <w:r>
              <w:t>Less than 1 % (up to 4000 µmol m-</w:t>
            </w:r>
            <w:r w:rsidRPr="00A44B50">
              <w:rPr>
                <w:vertAlign w:val="superscript"/>
              </w:rPr>
              <w:t xml:space="preserve">2 </w:t>
            </w:r>
            <w:r>
              <w:t xml:space="preserve">s </w:t>
            </w:r>
            <w:r w:rsidRPr="00A44B50">
              <w:rPr>
                <w:vertAlign w:val="superscript"/>
              </w:rPr>
              <w:t xml:space="preserve">-1 </w:t>
            </w:r>
            <w:r>
              <w:t>)</w:t>
            </w:r>
          </w:p>
          <w:p w14:paraId="7A039D46" w14:textId="77777777" w:rsidR="002D59BE" w:rsidRDefault="002D59BE" w:rsidP="004106B7"/>
          <w:p w14:paraId="05E7DCCD" w14:textId="77777777" w:rsidR="002D59BE" w:rsidRDefault="002D59BE" w:rsidP="004106B7">
            <w:r>
              <w:t>Less than 1 ms</w:t>
            </w:r>
          </w:p>
          <w:p w14:paraId="62563FAB" w14:textId="77777777" w:rsidR="002D59BE" w:rsidRDefault="002D59BE" w:rsidP="004106B7"/>
          <w:p w14:paraId="7EE97566" w14:textId="77777777" w:rsidR="002D59BE" w:rsidRDefault="002D59BE" w:rsidP="004106B7">
            <w:r>
              <w:t>180°</w:t>
            </w:r>
          </w:p>
          <w:p w14:paraId="701F676F" w14:textId="77777777" w:rsidR="00C20111" w:rsidRDefault="00C20111" w:rsidP="004106B7"/>
          <w:p w14:paraId="2B1AF747" w14:textId="05F61D0D" w:rsidR="00C20111" w:rsidRDefault="00C20111" w:rsidP="004106B7">
            <w:r>
              <w:t>410 to 655 nm (wavelengths where response is greater than 50 % of maximum)</w:t>
            </w:r>
          </w:p>
          <w:p w14:paraId="5A9A064B" w14:textId="4DC51E1D" w:rsidR="00C20111" w:rsidRDefault="00C20111" w:rsidP="004106B7"/>
          <w:p w14:paraId="1E2126B0" w14:textId="77777777" w:rsidR="00C307DF" w:rsidRDefault="00C307DF" w:rsidP="004106B7"/>
          <w:p w14:paraId="596667DD" w14:textId="77777777" w:rsidR="00C20111" w:rsidRDefault="00C20111" w:rsidP="004106B7">
            <w:r>
              <w:t>Less than 10 % from 469 to 655 nm</w:t>
            </w:r>
          </w:p>
          <w:p w14:paraId="75596E03" w14:textId="77777777" w:rsidR="00C20111" w:rsidRDefault="00C20111" w:rsidP="004106B7"/>
          <w:p w14:paraId="733E0E80" w14:textId="6B7D5E54" w:rsidR="00C20111" w:rsidRDefault="00C20111" w:rsidP="004106B7">
            <w:r>
              <w:t>± 5 % at 75° zenith angle</w:t>
            </w:r>
          </w:p>
          <w:p w14:paraId="108DF8A1" w14:textId="77777777" w:rsidR="00EF5E25" w:rsidRDefault="00EF5E25" w:rsidP="004106B7"/>
          <w:p w14:paraId="39C20392" w14:textId="78996B57" w:rsidR="00934338" w:rsidRDefault="00934338" w:rsidP="004106B7">
            <w:r>
              <w:t xml:space="preserve">0.06 ± 0.06 % per </w:t>
            </w:r>
            <w:r w:rsidR="00C307DF">
              <w:t>C</w:t>
            </w:r>
          </w:p>
          <w:p w14:paraId="143993AF" w14:textId="5A5C4464" w:rsidR="00934338" w:rsidRDefault="00934338" w:rsidP="004106B7"/>
          <w:p w14:paraId="20B8A990" w14:textId="77777777" w:rsidR="00EF5E25" w:rsidRDefault="00EF5E25" w:rsidP="004106B7"/>
          <w:p w14:paraId="5097B753" w14:textId="6069E5ED" w:rsidR="00934338" w:rsidRDefault="00934338" w:rsidP="004106B7">
            <w:r>
              <w:lastRenderedPageBreak/>
              <w:t>-40 to 70 C; 0 to 100 % relative humidity; can be submerged in water up to depths of 30 m</w:t>
            </w:r>
          </w:p>
          <w:p w14:paraId="59A69741" w14:textId="77777777" w:rsidR="00B33A91" w:rsidRDefault="00B33A91" w:rsidP="004106B7"/>
          <w:p w14:paraId="7A0C70CE" w14:textId="77777777" w:rsidR="00934338" w:rsidRDefault="00934338" w:rsidP="004106B7">
            <w:r>
              <w:t>24 mm diameter, 33 mm height</w:t>
            </w:r>
          </w:p>
          <w:p w14:paraId="0EBD4DB2" w14:textId="77777777" w:rsidR="00A44B50" w:rsidRDefault="00A44B50" w:rsidP="004106B7"/>
          <w:p w14:paraId="7BB368AC" w14:textId="77777777" w:rsidR="00A44B50" w:rsidRDefault="00A44B50" w:rsidP="004106B7">
            <w:r>
              <w:t>90 g (with 5m of lead wire)</w:t>
            </w:r>
          </w:p>
          <w:p w14:paraId="6199D1E6" w14:textId="77777777" w:rsidR="00A44B50" w:rsidRDefault="00A44B50" w:rsidP="004106B7"/>
          <w:p w14:paraId="6F7AA669" w14:textId="61F27938" w:rsidR="00A44B50" w:rsidRDefault="00A44B50" w:rsidP="004106B7">
            <w:r>
              <w:t>5 m of two conductor, shielded, twisted-pair wire; TPR jacket (high water resistance, high UV stability, flexibility in cold conditions); pigtail lead wires; stainless steel (316), M8 connector located 25 cm from sensor head</w:t>
            </w:r>
          </w:p>
        </w:tc>
      </w:tr>
      <w:tr w:rsidR="004106B7" w14:paraId="58647B1C" w14:textId="77777777" w:rsidTr="006514E7">
        <w:trPr>
          <w:trHeight w:val="118"/>
        </w:trPr>
        <w:tc>
          <w:tcPr>
            <w:tcW w:w="2042" w:type="pct"/>
            <w:tcBorders>
              <w:top w:val="single" w:sz="4" w:space="0" w:color="auto"/>
            </w:tcBorders>
          </w:tcPr>
          <w:p w14:paraId="24306265" w14:textId="77777777" w:rsidR="004106B7" w:rsidRDefault="004106B7" w:rsidP="00A93C47"/>
        </w:tc>
        <w:tc>
          <w:tcPr>
            <w:tcW w:w="2958" w:type="pct"/>
            <w:tcBorders>
              <w:top w:val="single" w:sz="4" w:space="0" w:color="auto"/>
            </w:tcBorders>
          </w:tcPr>
          <w:p w14:paraId="6F3B7E2D" w14:textId="77777777" w:rsidR="004106B7" w:rsidRDefault="004106B7" w:rsidP="00A93C47"/>
        </w:tc>
      </w:tr>
      <w:tr w:rsidR="004106B7" w14:paraId="429FEAB2" w14:textId="77777777" w:rsidTr="006514E7">
        <w:trPr>
          <w:trHeight w:val="118"/>
        </w:trPr>
        <w:tc>
          <w:tcPr>
            <w:tcW w:w="2042" w:type="pct"/>
            <w:tcBorders>
              <w:bottom w:val="nil"/>
            </w:tcBorders>
          </w:tcPr>
          <w:p w14:paraId="21D3B744" w14:textId="77777777" w:rsidR="004106B7" w:rsidRDefault="004106B7" w:rsidP="00A93C47"/>
        </w:tc>
        <w:tc>
          <w:tcPr>
            <w:tcW w:w="2958" w:type="pct"/>
            <w:tcBorders>
              <w:bottom w:val="nil"/>
            </w:tcBorders>
          </w:tcPr>
          <w:p w14:paraId="522A7A3A" w14:textId="77777777" w:rsidR="004106B7" w:rsidRDefault="004106B7" w:rsidP="00A93C47"/>
        </w:tc>
      </w:tr>
    </w:tbl>
    <w:p w14:paraId="47799B9A" w14:textId="77777777" w:rsidR="008F1C85" w:rsidRDefault="008F1C85" w:rsidP="00BD626B"/>
    <w:p w14:paraId="43BB257D" w14:textId="77777777" w:rsidR="001C7280" w:rsidRDefault="001C7280" w:rsidP="00BD626B"/>
    <w:p w14:paraId="7F42164C" w14:textId="7172AAB4" w:rsidR="005E32FC" w:rsidRDefault="005E32FC" w:rsidP="0033540B">
      <w:pPr>
        <w:pStyle w:val="Heading2"/>
        <w:numPr>
          <w:ilvl w:val="1"/>
          <w:numId w:val="2"/>
        </w:numPr>
      </w:pPr>
      <w:bookmarkStart w:id="34" w:name="_Toc40109241"/>
      <w:r>
        <w:t>Theory of Operation</w:t>
      </w:r>
      <w:bookmarkEnd w:id="34"/>
    </w:p>
    <w:p w14:paraId="570BA650" w14:textId="74F82CB1" w:rsidR="007C2CBD" w:rsidRDefault="007C2CBD" w:rsidP="007C2CBD"/>
    <w:p w14:paraId="6FD77623" w14:textId="1E52F1DB" w:rsidR="007C2CBD" w:rsidRPr="007C2CBD" w:rsidRDefault="00F410F7" w:rsidP="008F1C85">
      <w:pPr>
        <w:spacing w:line="360" w:lineRule="auto"/>
      </w:pPr>
      <w:r>
        <w:t>Apogee Instruments SQ series quantum sensors consist of a cast acrylic diffuser (filter), photodiode, and signal processing circuitry mounted in an anodized aluminum housing, and a cable to connect the sensor to a measurement device. Sensors are potted solid with no internal air space, and are designed for continuous PPFD measurement in indoor or outdoor environments. SQ</w:t>
      </w:r>
      <w:r w:rsidR="00323314">
        <w:t>-110</w:t>
      </w:r>
      <w:r>
        <w:t xml:space="preserve"> series sensors output an analog voltage that is directly proportional to PPFD under sunlight. The voltage signal from the sensor is directly proportional to radiation incident on a planar surface (does not have to be horizontal), where the radiation emanates from all angles of a hemisphere.</w:t>
      </w:r>
      <w:r w:rsidR="008F1C85">
        <w:t xml:space="preserve"> </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r w:rsidR="005C075E">
        <w:fldChar w:fldCharType="end"/>
      </w:r>
    </w:p>
    <w:p w14:paraId="0FE7678F" w14:textId="669298BC" w:rsidR="00BD626B" w:rsidRDefault="00BD626B" w:rsidP="00BD626B"/>
    <w:p w14:paraId="555C7F13" w14:textId="45C96C52" w:rsidR="008B3F6B" w:rsidRPr="008B3F6B" w:rsidRDefault="00B64CEF" w:rsidP="008B3F6B">
      <w:pPr>
        <w:pStyle w:val="Heading1"/>
        <w:numPr>
          <w:ilvl w:val="0"/>
          <w:numId w:val="2"/>
        </w:numPr>
      </w:pPr>
      <w:bookmarkStart w:id="35" w:name="_Toc40109242"/>
      <w:r>
        <w:t>Calibration History and Uncertainty Budget</w:t>
      </w:r>
      <w:bookmarkEnd w:id="35"/>
    </w:p>
    <w:p w14:paraId="18E03314" w14:textId="4F07C0E4" w:rsidR="00B64CEF" w:rsidRDefault="00B64CEF" w:rsidP="00B64CEF"/>
    <w:p w14:paraId="755577C9" w14:textId="2CE8AC84" w:rsidR="00B64CEF" w:rsidRDefault="00B64CEF" w:rsidP="00B64CEF"/>
    <w:p w14:paraId="1471376B" w14:textId="77777777" w:rsidR="00B64CEF" w:rsidRPr="00B64CEF" w:rsidRDefault="00B64CEF" w:rsidP="00B64CEF"/>
    <w:p w14:paraId="1BDD9B4A" w14:textId="3ED4B208" w:rsidR="00465DF7" w:rsidRDefault="00465DF7" w:rsidP="0033540B">
      <w:pPr>
        <w:pStyle w:val="Heading1"/>
        <w:numPr>
          <w:ilvl w:val="0"/>
          <w:numId w:val="2"/>
        </w:numPr>
      </w:pPr>
      <w:bookmarkStart w:id="36" w:name="_Toc40109243"/>
      <w:r>
        <w:t>Instrument Operation</w:t>
      </w:r>
      <w:bookmarkEnd w:id="36"/>
    </w:p>
    <w:p w14:paraId="43D52E61" w14:textId="77777777" w:rsidR="00BD626B" w:rsidRPr="00BD626B" w:rsidRDefault="00BD626B" w:rsidP="00BD626B"/>
    <w:p w14:paraId="66C9B6E2" w14:textId="15E4F9B0" w:rsidR="00691714" w:rsidRDefault="00A025B9" w:rsidP="00F67113">
      <w:pPr>
        <w:spacing w:line="360" w:lineRule="auto"/>
        <w:jc w:val="both"/>
      </w:pPr>
      <w:r>
        <w:t>The following instrument operation instructions are adapted from those provided by the manufacture</w:t>
      </w:r>
      <w:r w:rsidR="008B3F6B">
        <w:t>r</w:t>
      </w:r>
      <w:r w:rsidR="00D32C93">
        <w:t xml:space="preserve"> </w:t>
      </w:r>
      <w:r w:rsidR="005C075E">
        <w:t xml:space="preserve"> </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r w:rsidR="005C075E">
        <w:fldChar w:fldCharType="end"/>
      </w:r>
      <w:r w:rsidR="00D32C93">
        <w:t>.</w:t>
      </w:r>
    </w:p>
    <w:p w14:paraId="32BE93D4" w14:textId="77777777" w:rsidR="004D733E" w:rsidRDefault="004D733E" w:rsidP="00F67113">
      <w:pPr>
        <w:spacing w:line="360" w:lineRule="auto"/>
        <w:jc w:val="both"/>
      </w:pPr>
    </w:p>
    <w:p w14:paraId="141CC122" w14:textId="77777777" w:rsidR="00070981" w:rsidRDefault="00070981" w:rsidP="00F67113">
      <w:pPr>
        <w:spacing w:line="360" w:lineRule="auto"/>
        <w:jc w:val="both"/>
      </w:pPr>
    </w:p>
    <w:p w14:paraId="48F00A96" w14:textId="659A5404" w:rsidR="00691714" w:rsidRDefault="00B14886" w:rsidP="00691714">
      <w:pPr>
        <w:pStyle w:val="Heading2"/>
        <w:numPr>
          <w:ilvl w:val="1"/>
          <w:numId w:val="2"/>
        </w:numPr>
      </w:pPr>
      <w:bookmarkStart w:id="37" w:name="_Toc40109244"/>
      <w:r>
        <w:t>Measurements</w:t>
      </w:r>
      <w:bookmarkEnd w:id="37"/>
    </w:p>
    <w:p w14:paraId="6C960DFE" w14:textId="498286CB" w:rsidR="00B14886" w:rsidRDefault="00B14886" w:rsidP="00B14886"/>
    <w:p w14:paraId="4C726AB5" w14:textId="3B85F76E" w:rsidR="00B14886" w:rsidRPr="00B14886" w:rsidRDefault="00AC380B" w:rsidP="00070981">
      <w:pPr>
        <w:spacing w:line="360" w:lineRule="auto"/>
      </w:pPr>
      <w:r>
        <w:t>Mount the sensor to a solid surface with the nylon mounting screw provided to prevent galvanic corrosion. To accurately measure PPFD incident on a horizontal surface, the sensor must be level.</w:t>
      </w:r>
    </w:p>
    <w:p w14:paraId="3734AFD9" w14:textId="29180037" w:rsidR="00691714" w:rsidRPr="00D874A5" w:rsidRDefault="00B14886" w:rsidP="00F67113">
      <w:pPr>
        <w:spacing w:line="360" w:lineRule="auto"/>
        <w:jc w:val="both"/>
        <w:rPr>
          <w:b/>
          <w:bCs/>
        </w:rPr>
      </w:pPr>
      <w:r>
        <w:t xml:space="preserve">Connect the sensor to a measurement device (meter, datalogger, controller) capable of measuring and displaying or recording a millivolt signal (an input measurement range of approximately 0-500 mV is required to cover the entire range of PPFD from the sun). In order to maximize measurement resolution and signal-to-noise ratio, the input range of the measurement device should closely match the output range of the quantum sensor. </w:t>
      </w:r>
      <w:r w:rsidR="00D874A5">
        <w:t>Don’t</w:t>
      </w:r>
      <w:r>
        <w:t xml:space="preserve"> connect the sensor to a power source. The sensor is self-powered and applying voltage will damage the sensor</w:t>
      </w:r>
      <w:r w:rsidR="00C3792D">
        <w:t>.</w:t>
      </w:r>
      <w:r w:rsidR="00D874A5">
        <w:t xml:space="preserve"> </w:t>
      </w:r>
      <w:r w:rsidR="00D874A5">
        <w:fldChar w:fldCharType="begin" w:fldLock="1"/>
      </w:r>
      <w:r w:rsidR="005C075E">
        <w:instrText>ADDIN CSL_CITATION {"citationItems":[{"id":"ITEM-1","itemData":{"author":[{"dropping-particle":"","family":"Pro","given":"Roomba","non-dropping-particle":"","parse-names":false,"suffix":""},{"dropping-particle":"","family":"Elite","given":"Roomba Pro","non-dropping-particle":"","parse-names":false,"suffix":""}],"id":"ITEM-1","issue":"435","issued":{"date-parts":[["2003"]]},"page":"1-11","title":"Owner ’ s Manual Owner ’ s Manual","type":"article-journal","volume":"8786"},"uris":["http://www.mendeley.com/documents/?uuid=99000ea1-bf32-4785-afdd-274fc7b3a428"]}],"mendeley":{"formattedCitation":"[2]","manualFormatting":" [1]","plainTextFormattedCitation":"[2]","previouslyFormattedCitation":"[2]"},"properties":{"noteIndex":0},"schema":"https://github.com/citation-style-language/schema/raw/master/csl-citation.json"}</w:instrText>
      </w:r>
      <w:r w:rsidR="00D874A5">
        <w:fldChar w:fldCharType="separate"/>
      </w:r>
      <w:r w:rsidR="005C075E">
        <w:rPr>
          <w:noProof/>
        </w:rPr>
        <w:t xml:space="preserve"> </w:t>
      </w:r>
      <w:r w:rsidR="005C075E">
        <w:rPr>
          <w:noProof/>
        </w:rPr>
        <w:fldChar w:fldCharType="begin" w:fldLock="1"/>
      </w:r>
      <w:r w:rsidR="005C075E">
        <w:rPr>
          <w:noProof/>
        </w:rPr>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rPr>
          <w:noProof/>
        </w:rPr>
        <w:fldChar w:fldCharType="separate"/>
      </w:r>
      <w:r w:rsidR="005C075E" w:rsidRPr="005C075E">
        <w:rPr>
          <w:noProof/>
        </w:rPr>
        <w:t>[1]</w:t>
      </w:r>
      <w:r w:rsidR="005C075E">
        <w:rPr>
          <w:noProof/>
        </w:rPr>
        <w:fldChar w:fldCharType="end"/>
      </w:r>
      <w:r w:rsidR="00D874A5">
        <w:fldChar w:fldCharType="end"/>
      </w:r>
    </w:p>
    <w:p w14:paraId="47E40D83" w14:textId="77777777" w:rsidR="0067105D" w:rsidRPr="0067105D" w:rsidRDefault="0067105D" w:rsidP="0067105D">
      <w:pPr>
        <w:spacing w:line="360" w:lineRule="auto"/>
      </w:pPr>
    </w:p>
    <w:p w14:paraId="1DF39FBE" w14:textId="631E7ECA" w:rsidR="002A3C12" w:rsidRDefault="00E014BC" w:rsidP="00F67113">
      <w:pPr>
        <w:pStyle w:val="Heading2"/>
        <w:numPr>
          <w:ilvl w:val="1"/>
          <w:numId w:val="2"/>
        </w:numPr>
        <w:spacing w:line="360" w:lineRule="auto"/>
      </w:pPr>
      <w:bookmarkStart w:id="38" w:name="_Toc40109245"/>
      <w:r>
        <w:t xml:space="preserve">Calibration </w:t>
      </w:r>
      <w:r w:rsidR="00AC44FA">
        <w:t>traceability</w:t>
      </w:r>
      <w:bookmarkEnd w:id="38"/>
    </w:p>
    <w:p w14:paraId="3E7E644E" w14:textId="77777777" w:rsidR="00C3792D" w:rsidRPr="00C3792D" w:rsidRDefault="00C3792D" w:rsidP="00C3792D"/>
    <w:p w14:paraId="4718BA99" w14:textId="4E399F1C" w:rsidR="00BD626B" w:rsidRDefault="00B14886" w:rsidP="00F67113">
      <w:pPr>
        <w:spacing w:line="360" w:lineRule="auto"/>
      </w:pPr>
      <w:r>
        <w:t>Apogee SQ series quantum sensors are calibrated through side-by-side comparison to the mean of transfer standard quantum sensors under a reference lamp. The reference quantum sensors are recalibrated with a 200 W quartz halogen lamp traceable to the National Institute of Standards and Technology (NIST).</w:t>
      </w:r>
      <w:r w:rsidR="00D874A5">
        <w:t xml:space="preserve"> </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r w:rsidR="005C075E">
        <w:fldChar w:fldCharType="end"/>
      </w:r>
    </w:p>
    <w:p w14:paraId="1D6FF923" w14:textId="77777777" w:rsidR="00962E9D" w:rsidRPr="00BD626B" w:rsidRDefault="00962E9D" w:rsidP="00F67113">
      <w:pPr>
        <w:spacing w:line="360" w:lineRule="auto"/>
      </w:pPr>
    </w:p>
    <w:p w14:paraId="29BC4958" w14:textId="163FC979" w:rsidR="00CD71DE" w:rsidRDefault="00CD71DE" w:rsidP="00CD71DE">
      <w:pPr>
        <w:pStyle w:val="Heading1"/>
        <w:numPr>
          <w:ilvl w:val="0"/>
          <w:numId w:val="2"/>
        </w:numPr>
      </w:pPr>
      <w:bookmarkStart w:id="39" w:name="_Toc40109246"/>
      <w:r>
        <w:t>Care and Storage</w:t>
      </w:r>
      <w:bookmarkEnd w:id="39"/>
    </w:p>
    <w:p w14:paraId="2820D32B" w14:textId="0E51D28B" w:rsidR="007D2489" w:rsidRDefault="007D2489" w:rsidP="007D2489"/>
    <w:p w14:paraId="7406E1A1" w14:textId="3F6ECF65" w:rsidR="007D2489" w:rsidRPr="007D2489" w:rsidRDefault="007D2489" w:rsidP="007D2489">
      <w:r>
        <w:t xml:space="preserve">The following care and storage advice is adapted from that provided by the manufacturer </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r w:rsidR="005C075E">
        <w:fldChar w:fldCharType="end"/>
      </w:r>
      <w:r w:rsidR="005C075E">
        <w:t>:</w:t>
      </w:r>
    </w:p>
    <w:p w14:paraId="30EAE790" w14:textId="101FB086" w:rsidR="00BD626B" w:rsidRDefault="00BD626B"/>
    <w:p w14:paraId="34D48FC4" w14:textId="58656837" w:rsidR="00F903A8" w:rsidRDefault="00830196" w:rsidP="005E6215">
      <w:pPr>
        <w:pStyle w:val="ListParagraph"/>
        <w:numPr>
          <w:ilvl w:val="0"/>
          <w:numId w:val="39"/>
        </w:numPr>
        <w:spacing w:line="360" w:lineRule="auto"/>
      </w:pPr>
      <w:r>
        <w:t xml:space="preserve">Moisture or debris on the diffuser is a common cause of low readings. The sensor has a domed diffuser and housing for improved self-cleaning from rainfall, but materials can accumulate on the diffuser (e.g., dust during periods of low rainfall, salt deposits from evaporation of sea spray or sprinkler irrigation water) and partially block the optical path. Dust or organic deposits are best removed using water or window cleaner and a soft cloth or cotton swab. Salt deposits should be dissolved with vinegar and removed with a soft cloth or cotton swab. Never use an abrasive material or cleaner on the diffuser. </w:t>
      </w:r>
    </w:p>
    <w:p w14:paraId="455BF121" w14:textId="77777777" w:rsidR="00B33A91" w:rsidRDefault="00B33A91" w:rsidP="00B33A91">
      <w:pPr>
        <w:pStyle w:val="ListParagraph"/>
        <w:spacing w:line="360" w:lineRule="auto"/>
      </w:pPr>
    </w:p>
    <w:p w14:paraId="01EC40E1" w14:textId="77777777" w:rsidR="00F903A8" w:rsidRDefault="00F903A8" w:rsidP="005E6215">
      <w:pPr>
        <w:pStyle w:val="ListParagraph"/>
        <w:spacing w:line="360" w:lineRule="auto"/>
      </w:pPr>
    </w:p>
    <w:p w14:paraId="508E50E6" w14:textId="21AA17FA" w:rsidR="00BC4140" w:rsidRDefault="00830196" w:rsidP="00962E9D">
      <w:pPr>
        <w:pStyle w:val="ListParagraph"/>
        <w:numPr>
          <w:ilvl w:val="0"/>
          <w:numId w:val="39"/>
        </w:numPr>
        <w:spacing w:line="360" w:lineRule="auto"/>
      </w:pPr>
      <w:r>
        <w:t xml:space="preserve">Although Apogee sensors are very stable, nominal accuracy drift is normal for all research-grade sensors. To ensure maximum accuracy, we generally recommend sensors are sent in for recalibration every two years, although </w:t>
      </w:r>
      <w:r w:rsidR="00F903A8">
        <w:t>it is</w:t>
      </w:r>
      <w:r>
        <w:t xml:space="preserve"> often </w:t>
      </w:r>
      <w:r w:rsidR="00F903A8">
        <w:t xml:space="preserve">possible to </w:t>
      </w:r>
      <w:r>
        <w:t>wait longer according to particular tolerances. To determine if</w:t>
      </w:r>
      <w:r w:rsidR="00F903A8">
        <w:t xml:space="preserve"> the</w:t>
      </w:r>
      <w:r>
        <w:t xml:space="preserve"> sensor needs recalibration, the Clear Sky Calculator (www.clearskycalculator.com) website and/or smartphone app can be used to indicate the total shortwave radiation incident on a horizontal surface at any time of day at any location in the world. It is most accurate when used near solar noon in spring and summer months, where accuracy over multiple clear and unpolluted days is estimated to be ± 4 % in all climates and locations around the world. For best accuracy, the sky must be completely clear, as reflected radiation from clouds causes incoming radiation to increase above the value predicted by the clear sky calculator</w:t>
      </w:r>
      <w:r w:rsidR="006E52AA">
        <w:t>.</w:t>
      </w:r>
      <w:r>
        <w:t xml:space="preserve"> To determine recalibration need, input site conditions into the calculator and compare total shortwave radiation measurements to calculated values for a clear sky. </w:t>
      </w:r>
    </w:p>
    <w:p w14:paraId="193DD27E" w14:textId="77777777" w:rsidR="00962E9D" w:rsidRDefault="00962E9D" w:rsidP="00962E9D">
      <w:pPr>
        <w:pStyle w:val="ListParagraph"/>
      </w:pPr>
    </w:p>
    <w:p w14:paraId="156695B5" w14:textId="50639A6B" w:rsidR="00962E9D" w:rsidRDefault="00962E9D" w:rsidP="00962E9D">
      <w:pPr>
        <w:spacing w:line="360" w:lineRule="auto"/>
      </w:pPr>
    </w:p>
    <w:p w14:paraId="1827E2F3" w14:textId="39C819AE" w:rsidR="00962E9D" w:rsidRDefault="00962E9D" w:rsidP="00962E9D">
      <w:pPr>
        <w:spacing w:line="360" w:lineRule="auto"/>
      </w:pPr>
    </w:p>
    <w:p w14:paraId="4C8E0964" w14:textId="567B21BA" w:rsidR="00962E9D" w:rsidRDefault="00962E9D" w:rsidP="00962E9D">
      <w:pPr>
        <w:spacing w:line="360" w:lineRule="auto"/>
      </w:pPr>
    </w:p>
    <w:p w14:paraId="4CC9B61C" w14:textId="23F992EB" w:rsidR="00962E9D" w:rsidRDefault="00962E9D" w:rsidP="00962E9D">
      <w:pPr>
        <w:spacing w:line="360" w:lineRule="auto"/>
      </w:pPr>
    </w:p>
    <w:p w14:paraId="3885FBE4" w14:textId="48F4FEE6" w:rsidR="00962E9D" w:rsidRDefault="00962E9D" w:rsidP="00962E9D">
      <w:pPr>
        <w:spacing w:line="360" w:lineRule="auto"/>
      </w:pPr>
    </w:p>
    <w:p w14:paraId="79E3978A" w14:textId="10BDB8FB" w:rsidR="00962E9D" w:rsidRDefault="00962E9D" w:rsidP="00962E9D">
      <w:pPr>
        <w:spacing w:line="360" w:lineRule="auto"/>
      </w:pPr>
    </w:p>
    <w:p w14:paraId="596E39E4" w14:textId="0AF31D9E" w:rsidR="00962E9D" w:rsidRDefault="00962E9D" w:rsidP="00962E9D">
      <w:pPr>
        <w:spacing w:line="360" w:lineRule="auto"/>
      </w:pPr>
    </w:p>
    <w:p w14:paraId="2BC3DE69" w14:textId="0ABBDDF5" w:rsidR="00962E9D" w:rsidRDefault="00962E9D" w:rsidP="00962E9D">
      <w:pPr>
        <w:spacing w:line="360" w:lineRule="auto"/>
      </w:pPr>
    </w:p>
    <w:p w14:paraId="643EA71D" w14:textId="59D0238B" w:rsidR="00962E9D" w:rsidRDefault="00962E9D" w:rsidP="00962E9D">
      <w:pPr>
        <w:spacing w:line="360" w:lineRule="auto"/>
      </w:pPr>
    </w:p>
    <w:p w14:paraId="20F0833C" w14:textId="7BDD672E" w:rsidR="00962E9D" w:rsidRDefault="00962E9D" w:rsidP="00962E9D">
      <w:pPr>
        <w:spacing w:line="360" w:lineRule="auto"/>
      </w:pPr>
    </w:p>
    <w:p w14:paraId="77CC5023" w14:textId="07EC3F82" w:rsidR="00962E9D" w:rsidRDefault="00962E9D" w:rsidP="00962E9D">
      <w:pPr>
        <w:spacing w:line="360" w:lineRule="auto"/>
      </w:pPr>
    </w:p>
    <w:p w14:paraId="0D4D2304" w14:textId="4FBB92F4" w:rsidR="00962E9D" w:rsidRDefault="00962E9D" w:rsidP="00962E9D">
      <w:pPr>
        <w:spacing w:line="360" w:lineRule="auto"/>
      </w:pPr>
    </w:p>
    <w:p w14:paraId="6A0184E3" w14:textId="22DE3669" w:rsidR="00962E9D" w:rsidRDefault="00962E9D" w:rsidP="00962E9D">
      <w:pPr>
        <w:spacing w:line="360" w:lineRule="auto"/>
      </w:pPr>
    </w:p>
    <w:p w14:paraId="41DA21ED" w14:textId="25E99EA8" w:rsidR="00962E9D" w:rsidRDefault="00962E9D" w:rsidP="00962E9D">
      <w:pPr>
        <w:spacing w:line="360" w:lineRule="auto"/>
      </w:pPr>
    </w:p>
    <w:p w14:paraId="1B49C0A2" w14:textId="77777777" w:rsidR="00962E9D" w:rsidRPr="002F7C28" w:rsidRDefault="00962E9D" w:rsidP="00962E9D">
      <w:pPr>
        <w:spacing w:line="360" w:lineRule="auto"/>
      </w:pPr>
    </w:p>
    <w:p w14:paraId="19D4268F" w14:textId="75B0CB21" w:rsidR="0094665B" w:rsidRDefault="00891514" w:rsidP="0094665B">
      <w:pPr>
        <w:pStyle w:val="Heading1"/>
        <w:numPr>
          <w:ilvl w:val="0"/>
          <w:numId w:val="2"/>
        </w:numPr>
      </w:pPr>
      <w:bookmarkStart w:id="40" w:name="_Toc40109247"/>
      <w:r>
        <w:t>Troubleshooting</w:t>
      </w:r>
      <w:bookmarkEnd w:id="40"/>
    </w:p>
    <w:p w14:paraId="1A6DAD86" w14:textId="77777777" w:rsidR="0094665B" w:rsidRPr="0094665B" w:rsidRDefault="0094665B" w:rsidP="0094665B"/>
    <w:p w14:paraId="4779E76F" w14:textId="0A6C722A" w:rsidR="00B33A91" w:rsidRPr="00417733" w:rsidRDefault="0094665B" w:rsidP="00417733">
      <w:r>
        <w:t>Reasons for and solutions to common problems with the LAI-2200C are provided by the manufacturer</w:t>
      </w:r>
      <w:r w:rsidR="00633AAA">
        <w:t xml:space="preserve"> </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r w:rsidR="005C075E">
        <w:fldChar w:fldCharType="end"/>
      </w:r>
      <w:r w:rsidR="005C075E">
        <w:t>:</w:t>
      </w:r>
    </w:p>
    <w:p w14:paraId="508599E7" w14:textId="5960471F" w:rsidR="002E090C" w:rsidRDefault="002E090C" w:rsidP="002E090C">
      <w:pPr>
        <w:pStyle w:val="Caption"/>
        <w:keepNext/>
        <w:jc w:val="center"/>
      </w:pPr>
      <w:bookmarkStart w:id="41" w:name="_Toc41569743"/>
      <w:r>
        <w:t xml:space="preserve">Table </w:t>
      </w:r>
      <w:r w:rsidR="00A26684">
        <w:fldChar w:fldCharType="begin"/>
      </w:r>
      <w:r w:rsidR="00A26684">
        <w:instrText xml:space="preserve"> SEQ Table \* ARABIC </w:instrText>
      </w:r>
      <w:r w:rsidR="00A26684">
        <w:fldChar w:fldCharType="separate"/>
      </w:r>
      <w:r>
        <w:rPr>
          <w:noProof/>
        </w:rPr>
        <w:t>2</w:t>
      </w:r>
      <w:r w:rsidR="00A26684">
        <w:rPr>
          <w:noProof/>
        </w:rPr>
        <w:fldChar w:fldCharType="end"/>
      </w:r>
      <w:r>
        <w:t xml:space="preserve">: </w:t>
      </w:r>
      <w:r w:rsidRPr="00403E12">
        <w:t>Reasons and solutions to common problems with</w:t>
      </w:r>
      <w:r>
        <w:t xml:space="preserve"> the SQ-110 PAR Sensor</w:t>
      </w:r>
      <w:r w:rsidR="005C075E">
        <w:fldChar w:fldCharType="begin" w:fldLock="1"/>
      </w:r>
      <w:r w:rsidR="005C075E">
        <w:instrText>ADDIN CSL_CITATION {"citationItems":[{"id":"ITEM-1","itemData":{"author":[{"dropping-particle":"","family":"Apogee Instruments","given":"","non-dropping-particle":"","parse-names":false,"suffix":""}],"id":"ITEM-1","issued":{"date-parts":[["2020"]]},"publisher-place":"Utah, USA","title":"Quantum Sensor Owner's Manual","type":"article"},"uris":["http://www.mendeley.com/documents/?uuid=32e31cc1-b91f-4636-a91a-4f319b143fbd"]}],"mendeley":{"formattedCitation":"[1]","plainTextFormattedCitation":"[1]","previouslyFormattedCitation":"[1]"},"properties":{"noteIndex":0},"schema":"https://github.com/citation-style-language/schema/raw/master/csl-citation.json"}</w:instrText>
      </w:r>
      <w:r w:rsidR="005C075E">
        <w:fldChar w:fldCharType="separate"/>
      </w:r>
      <w:r w:rsidR="005C075E" w:rsidRPr="005C075E">
        <w:rPr>
          <w:noProof/>
        </w:rPr>
        <w:t>[1]</w:t>
      </w:r>
      <w:bookmarkEnd w:id="41"/>
      <w:r w:rsidR="005C075E">
        <w:fldChar w:fldCharType="end"/>
      </w:r>
    </w:p>
    <w:tbl>
      <w:tblPr>
        <w:tblStyle w:val="TableGrid"/>
        <w:tblW w:w="91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5864"/>
      </w:tblGrid>
      <w:tr w:rsidR="00002461" w14:paraId="73EA518D" w14:textId="77777777" w:rsidTr="002E090C">
        <w:trPr>
          <w:trHeight w:val="259"/>
          <w:jc w:val="center"/>
        </w:trPr>
        <w:tc>
          <w:tcPr>
            <w:tcW w:w="3317" w:type="dxa"/>
            <w:tcBorders>
              <w:top w:val="single" w:sz="4" w:space="0" w:color="auto"/>
              <w:bottom w:val="single" w:sz="4" w:space="0" w:color="auto"/>
            </w:tcBorders>
          </w:tcPr>
          <w:p w14:paraId="56294E4F" w14:textId="77777777" w:rsidR="00002461" w:rsidRPr="00E62806" w:rsidRDefault="00002461" w:rsidP="00A93C47">
            <w:pPr>
              <w:rPr>
                <w:b/>
                <w:bCs/>
              </w:rPr>
            </w:pPr>
            <w:r w:rsidRPr="00E62806">
              <w:rPr>
                <w:b/>
                <w:bCs/>
              </w:rPr>
              <w:t>Problem</w:t>
            </w:r>
          </w:p>
        </w:tc>
        <w:tc>
          <w:tcPr>
            <w:tcW w:w="5864" w:type="dxa"/>
            <w:tcBorders>
              <w:top w:val="single" w:sz="4" w:space="0" w:color="auto"/>
              <w:bottom w:val="single" w:sz="4" w:space="0" w:color="auto"/>
            </w:tcBorders>
          </w:tcPr>
          <w:p w14:paraId="09AE045E" w14:textId="77777777" w:rsidR="00002461" w:rsidRPr="00E62806" w:rsidRDefault="00002461" w:rsidP="00A93C47">
            <w:pPr>
              <w:rPr>
                <w:b/>
                <w:bCs/>
              </w:rPr>
            </w:pPr>
            <w:r>
              <w:rPr>
                <w:b/>
                <w:bCs/>
              </w:rPr>
              <w:t>Solution</w:t>
            </w:r>
          </w:p>
        </w:tc>
      </w:tr>
      <w:tr w:rsidR="00002461" w14:paraId="5DC35101" w14:textId="77777777" w:rsidTr="002E090C">
        <w:trPr>
          <w:trHeight w:val="10205"/>
          <w:jc w:val="center"/>
        </w:trPr>
        <w:tc>
          <w:tcPr>
            <w:tcW w:w="3317" w:type="dxa"/>
            <w:tcBorders>
              <w:top w:val="single" w:sz="4" w:space="0" w:color="auto"/>
            </w:tcBorders>
          </w:tcPr>
          <w:p w14:paraId="2D1F997F" w14:textId="77777777" w:rsidR="00002461" w:rsidRDefault="00594579" w:rsidP="00A93C47">
            <w:r>
              <w:t>Independent Verification of Functionality</w:t>
            </w:r>
          </w:p>
          <w:p w14:paraId="19502DBD" w14:textId="37DB4D8A" w:rsidR="00594579" w:rsidRDefault="00594579" w:rsidP="00A93C47"/>
          <w:p w14:paraId="733A84A4" w14:textId="26FF7BCB" w:rsidR="006C0F09" w:rsidRDefault="006C0F09" w:rsidP="00A93C47"/>
          <w:p w14:paraId="323CEA19" w14:textId="65ED8245" w:rsidR="006C0F09" w:rsidRDefault="006C0F09" w:rsidP="00A93C47"/>
          <w:p w14:paraId="63AB6BF4" w14:textId="42595625" w:rsidR="006C0F09" w:rsidRDefault="006C0F09" w:rsidP="00A93C47"/>
          <w:p w14:paraId="784A8F7F" w14:textId="5F6FF4F8" w:rsidR="006C0F09" w:rsidRDefault="006C0F09" w:rsidP="00A93C47"/>
          <w:p w14:paraId="6515B56B" w14:textId="0CDDB639" w:rsidR="006C0F09" w:rsidRDefault="006C0F09" w:rsidP="00A93C47"/>
          <w:p w14:paraId="30A44ED9" w14:textId="2A719FC5" w:rsidR="006C0F09" w:rsidRDefault="006C0F09" w:rsidP="00A93C47"/>
          <w:p w14:paraId="640B003C" w14:textId="1514FC6E" w:rsidR="006C0F09" w:rsidRDefault="006C0F09" w:rsidP="00A93C47"/>
          <w:p w14:paraId="6124BA63" w14:textId="590F4B2B" w:rsidR="006C0F09" w:rsidRDefault="006C0F09" w:rsidP="00A93C47"/>
          <w:p w14:paraId="3AC39D58" w14:textId="7D7801F2" w:rsidR="006C0F09" w:rsidRDefault="006C0F09" w:rsidP="00A93C47"/>
          <w:p w14:paraId="7FEF9DF7" w14:textId="268C1314" w:rsidR="006C0F09" w:rsidRDefault="006C0F09" w:rsidP="00A93C47"/>
          <w:p w14:paraId="66C4B3F7" w14:textId="77777777" w:rsidR="006C0F09" w:rsidRDefault="006C0F09" w:rsidP="00A93C47"/>
          <w:p w14:paraId="4C963B34" w14:textId="5B8C83D7" w:rsidR="00594579" w:rsidRDefault="00594579" w:rsidP="00A93C47">
            <w:r>
              <w:t xml:space="preserve">Compatible Measurement </w:t>
            </w:r>
            <w:r w:rsidR="00A830C5">
              <w:t xml:space="preserve">         </w:t>
            </w:r>
            <w:r>
              <w:t>Devices (Dataloggers/Controllers/Meters)</w:t>
            </w:r>
          </w:p>
          <w:p w14:paraId="1438AAF3" w14:textId="77777777" w:rsidR="00594579" w:rsidRDefault="00594579" w:rsidP="00A93C47"/>
          <w:p w14:paraId="6BF8B476" w14:textId="77777777" w:rsidR="00A830C5" w:rsidRDefault="00A830C5" w:rsidP="00A93C47"/>
          <w:p w14:paraId="306721BC" w14:textId="3BBB5B06" w:rsidR="00A830C5" w:rsidRDefault="00A830C5" w:rsidP="00A93C47"/>
          <w:p w14:paraId="1D9FCD5F" w14:textId="77777777" w:rsidR="00B62716" w:rsidRDefault="00B62716" w:rsidP="00A93C47"/>
          <w:p w14:paraId="5098C812" w14:textId="7F8600A9" w:rsidR="00594579" w:rsidRDefault="00594579" w:rsidP="00A93C47">
            <w:r>
              <w:t>Cable Length</w:t>
            </w:r>
          </w:p>
          <w:p w14:paraId="0D7638C3" w14:textId="7EB4E907" w:rsidR="00594579" w:rsidRDefault="00594579" w:rsidP="00A93C47"/>
          <w:p w14:paraId="7D5CB2DE" w14:textId="6846DC44" w:rsidR="00B62716" w:rsidRDefault="00B62716" w:rsidP="00A93C47"/>
          <w:p w14:paraId="017D1305" w14:textId="364F5306" w:rsidR="00B62716" w:rsidRDefault="00B62716" w:rsidP="00A93C47"/>
          <w:p w14:paraId="1C30ED77" w14:textId="1C12BCD5" w:rsidR="00B62716" w:rsidRDefault="00B62716" w:rsidP="00A93C47"/>
          <w:p w14:paraId="15E2FF9D" w14:textId="4074E168" w:rsidR="00B62716" w:rsidRDefault="00B62716" w:rsidP="00A93C47"/>
          <w:p w14:paraId="5EF83589" w14:textId="732AB20A" w:rsidR="00B62716" w:rsidRDefault="00B62716" w:rsidP="00A93C47"/>
          <w:p w14:paraId="47FD31B4" w14:textId="57689AD5" w:rsidR="00B62716" w:rsidRDefault="00B62716" w:rsidP="00A93C47"/>
          <w:p w14:paraId="6308D26A" w14:textId="647D2212" w:rsidR="00B62716" w:rsidRDefault="00B62716" w:rsidP="00A93C47"/>
          <w:p w14:paraId="174F1742" w14:textId="77777777" w:rsidR="00B62716" w:rsidRDefault="00B62716" w:rsidP="00A93C47"/>
          <w:p w14:paraId="35AC6500" w14:textId="77777777" w:rsidR="00594579" w:rsidRDefault="00594579" w:rsidP="00A93C47">
            <w:r>
              <w:t>Modifying Cable Length</w:t>
            </w:r>
          </w:p>
          <w:p w14:paraId="1B4AFF2E" w14:textId="77777777" w:rsidR="00594579" w:rsidRDefault="00594579" w:rsidP="00A93C47"/>
          <w:p w14:paraId="1BB89E92" w14:textId="77777777" w:rsidR="006847CC" w:rsidRDefault="006847CC" w:rsidP="00A93C47"/>
          <w:p w14:paraId="77C8166A" w14:textId="14A80E73" w:rsidR="00594579" w:rsidRDefault="00594579" w:rsidP="00A93C47">
            <w:r>
              <w:t>Unit Conversion Charts</w:t>
            </w:r>
          </w:p>
        </w:tc>
        <w:tc>
          <w:tcPr>
            <w:tcW w:w="5864" w:type="dxa"/>
            <w:tcBorders>
              <w:top w:val="single" w:sz="4" w:space="0" w:color="auto"/>
            </w:tcBorders>
          </w:tcPr>
          <w:p w14:paraId="4DAD0DAD" w14:textId="77777777" w:rsidR="00002461" w:rsidRDefault="006C0F09" w:rsidP="00A93C47">
            <w:r>
              <w:t>A quick and easy check of sensor functionality can be determined using a voltmeter with millivolt resolution. Connect the positive lead wire from the voltmeter to the white wire from the sensor and the negative (or common) lead wire from the voltmeter to the black wire from the sensor. Direct the sensor head toward a light source and verify the sensor provides a signal. Increase and decrease the distance from the sensor head to the light source to verify that the signal changes proportionally (decreasing signal with increasing distance and increasing signal with decreasing distance). Blocking all radiation from the sensor should force the sensor signal to zero</w:t>
            </w:r>
            <w:r w:rsidR="00A830C5">
              <w:t>.</w:t>
            </w:r>
          </w:p>
          <w:p w14:paraId="2B307F16" w14:textId="77777777" w:rsidR="00A830C5" w:rsidRDefault="00A830C5" w:rsidP="00A93C47"/>
          <w:p w14:paraId="4B95F09E" w14:textId="77777777" w:rsidR="00A830C5" w:rsidRDefault="00A830C5" w:rsidP="00A93C47"/>
          <w:p w14:paraId="58984A3C" w14:textId="77777777" w:rsidR="00A830C5" w:rsidRDefault="00A830C5" w:rsidP="00A93C47">
            <w:r>
              <w:t>SQ-100 and SQ-300 series quantum sensors are calibrated with a standard calibration factor of 5.0 µmol m</w:t>
            </w:r>
            <w:r w:rsidRPr="00CC54EC">
              <w:rPr>
                <w:vertAlign w:val="superscript"/>
              </w:rPr>
              <w:t>-2</w:t>
            </w:r>
            <w:r>
              <w:t xml:space="preserve"> s </w:t>
            </w:r>
            <w:r w:rsidRPr="00CC54EC">
              <w:rPr>
                <w:vertAlign w:val="superscript"/>
              </w:rPr>
              <w:t>-1</w:t>
            </w:r>
            <w:r>
              <w:t xml:space="preserve"> per mV, yielding a sensitivity of 0.2 mV per µmol m</w:t>
            </w:r>
            <w:r w:rsidRPr="00CC54EC">
              <w:rPr>
                <w:vertAlign w:val="superscript"/>
              </w:rPr>
              <w:t>-2</w:t>
            </w:r>
            <w:r>
              <w:t xml:space="preserve"> s </w:t>
            </w:r>
            <w:r w:rsidRPr="00CC54EC">
              <w:rPr>
                <w:vertAlign w:val="superscript"/>
              </w:rPr>
              <w:t xml:space="preserve">-1 </w:t>
            </w:r>
            <w:r>
              <w:t>. Thus, a compatible measurement device (e.g., datalogger or controller) should have resolution of at least 0.2 mV in order to provide PPFD resolution of 1 µmol m</w:t>
            </w:r>
            <w:r w:rsidRPr="00161C71">
              <w:rPr>
                <w:vertAlign w:val="superscript"/>
              </w:rPr>
              <w:t>-2</w:t>
            </w:r>
            <w:r>
              <w:t xml:space="preserve"> s</w:t>
            </w:r>
            <w:r w:rsidRPr="00161C71">
              <w:rPr>
                <w:vertAlign w:val="superscript"/>
              </w:rPr>
              <w:t xml:space="preserve"> -1</w:t>
            </w:r>
            <w:r w:rsidR="00B62716">
              <w:t>.</w:t>
            </w:r>
          </w:p>
          <w:p w14:paraId="67F288B1" w14:textId="77777777" w:rsidR="00B62716" w:rsidRDefault="00B62716" w:rsidP="00A93C47"/>
          <w:p w14:paraId="282FCE09" w14:textId="1EB471E2" w:rsidR="00B62716" w:rsidRDefault="00B62716" w:rsidP="00A93C47">
            <w:r>
              <w:t>When the sensor is connected to a measurement device with high input impedance, sensor output signals are not changed by shortening the cable or splicing on additional cable in the field. All Apogee sensors use shielded, twisted pair cable to minimize electromagnetic interference. For best measurements, the shield wire must be connected to an earth ground. This is particularly important when using the sensor with long lead lengths in electromagnetically noisy environments.</w:t>
            </w:r>
          </w:p>
          <w:p w14:paraId="14BDD09B" w14:textId="77777777" w:rsidR="00B62716" w:rsidRDefault="00B62716" w:rsidP="00A93C47"/>
          <w:p w14:paraId="465023C8" w14:textId="7FEC3177" w:rsidR="00B62716" w:rsidRDefault="00B62716" w:rsidP="00A93C47">
            <w:r>
              <w:t>See Apogee webpage for details on how to extend sensor cable length</w:t>
            </w:r>
            <w:r w:rsidR="006847CC">
              <w:t>.</w:t>
            </w:r>
            <w:r w:rsidR="005C4AF2">
              <w:t xml:space="preserve"> </w:t>
            </w:r>
          </w:p>
          <w:p w14:paraId="4DF07D96" w14:textId="77777777" w:rsidR="006847CC" w:rsidRDefault="006847CC" w:rsidP="00A93C47"/>
          <w:p w14:paraId="687EA66B" w14:textId="521D80B3" w:rsidR="006847CC" w:rsidRPr="006847CC" w:rsidRDefault="006847CC" w:rsidP="00A93C47">
            <w:pPr>
              <w:rPr>
                <w:b/>
                <w:bCs/>
              </w:rPr>
            </w:pPr>
            <w:r>
              <w:t>It is possible to convert the PPFD value from a quantum sensor to other units, but it requires spectral output of the radiation source of interest. Conversion factors for common radiation sources can be found on the Unit Conversions page in the Support Center on the Apogee website</w:t>
            </w:r>
            <w:r w:rsidR="00312153">
              <w:t>.</w:t>
            </w:r>
            <w:r w:rsidR="005C4AF2" w:rsidRPr="005C4AF2">
              <w:rPr>
                <w:noProof/>
              </w:rPr>
              <w:t xml:space="preserve"> </w:t>
            </w:r>
          </w:p>
        </w:tc>
      </w:tr>
      <w:tr w:rsidR="00002461" w14:paraId="7DB76D8C" w14:textId="77777777" w:rsidTr="00BC4140">
        <w:trPr>
          <w:trHeight w:val="284"/>
          <w:jc w:val="center"/>
        </w:trPr>
        <w:tc>
          <w:tcPr>
            <w:tcW w:w="3317" w:type="dxa"/>
          </w:tcPr>
          <w:p w14:paraId="66E2E0BC" w14:textId="77777777" w:rsidR="00002461" w:rsidRDefault="00002461" w:rsidP="00A93C47"/>
        </w:tc>
        <w:tc>
          <w:tcPr>
            <w:tcW w:w="5864" w:type="dxa"/>
          </w:tcPr>
          <w:p w14:paraId="2102A66D" w14:textId="77777777" w:rsidR="00002461" w:rsidRDefault="00002461" w:rsidP="00A93C47"/>
        </w:tc>
      </w:tr>
    </w:tbl>
    <w:p w14:paraId="1F94AED6" w14:textId="005E9F23" w:rsidR="00EC07D9" w:rsidRDefault="00EC07D9" w:rsidP="005E32FC"/>
    <w:p w14:paraId="3F7024A1" w14:textId="77777777" w:rsidR="00EC07D9" w:rsidRDefault="00EC07D9" w:rsidP="005E32FC"/>
    <w:p w14:paraId="17100536" w14:textId="64FEA098" w:rsidR="00D60F20" w:rsidRDefault="00D60F20" w:rsidP="0033540B">
      <w:pPr>
        <w:pStyle w:val="Heading6"/>
        <w:numPr>
          <w:ilvl w:val="5"/>
          <w:numId w:val="2"/>
        </w:numPr>
      </w:pPr>
      <w:bookmarkStart w:id="42" w:name="_Toc40109248"/>
      <w:r>
        <w:t>Appendix</w:t>
      </w:r>
      <w:bookmarkEnd w:id="42"/>
    </w:p>
    <w:p w14:paraId="7864787B" w14:textId="77777777" w:rsidR="00BD626B" w:rsidRPr="00BD626B" w:rsidRDefault="00BD626B" w:rsidP="00BD626B"/>
    <w:p w14:paraId="28C8CF3E" w14:textId="77777777" w:rsidR="00197839" w:rsidRPr="00197839" w:rsidRDefault="00197839" w:rsidP="00197839"/>
    <w:p w14:paraId="345AFB7E" w14:textId="350737EC" w:rsidR="00D60F20" w:rsidRDefault="00D60F20" w:rsidP="00197839">
      <w:pPr>
        <w:jc w:val="center"/>
      </w:pPr>
    </w:p>
    <w:p w14:paraId="70F939B0" w14:textId="242716CA" w:rsidR="00962E9D" w:rsidRDefault="00962E9D" w:rsidP="00197839">
      <w:pPr>
        <w:jc w:val="center"/>
      </w:pPr>
    </w:p>
    <w:p w14:paraId="0AA214FC" w14:textId="77777777" w:rsidR="00962E9D" w:rsidRDefault="00962E9D" w:rsidP="00197839">
      <w:pPr>
        <w:jc w:val="center"/>
      </w:pPr>
    </w:p>
    <w:p w14:paraId="39A45C79" w14:textId="717C7102" w:rsidR="00FF6D23" w:rsidRDefault="00FF6D23" w:rsidP="00FF6D23">
      <w:pPr>
        <w:pStyle w:val="Heading1"/>
        <w:numPr>
          <w:ilvl w:val="0"/>
          <w:numId w:val="0"/>
        </w:numPr>
        <w:ind w:left="432"/>
      </w:pPr>
    </w:p>
    <w:p w14:paraId="322C88AC" w14:textId="63867FA7" w:rsidR="00FF6D23" w:rsidRDefault="00FF6D23" w:rsidP="0033540B">
      <w:pPr>
        <w:pStyle w:val="Heading1"/>
        <w:numPr>
          <w:ilvl w:val="0"/>
          <w:numId w:val="2"/>
        </w:numPr>
      </w:pPr>
      <w:bookmarkStart w:id="43" w:name="_Toc40109249"/>
      <w:r>
        <w:t>Applicable and Reference Documents</w:t>
      </w:r>
      <w:bookmarkEnd w:id="43"/>
    </w:p>
    <w:p w14:paraId="39DC1EA2" w14:textId="77777777" w:rsidR="005C075E" w:rsidRPr="005C075E" w:rsidRDefault="005C075E" w:rsidP="005C075E"/>
    <w:p w14:paraId="33BEA318" w14:textId="39184A4B" w:rsidR="005C075E" w:rsidRPr="005C075E" w:rsidRDefault="005C075E" w:rsidP="005C075E">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5C075E">
        <w:rPr>
          <w:rFonts w:ascii="Calibri" w:hAnsi="Calibri" w:cs="Calibri"/>
          <w:noProof/>
          <w:szCs w:val="24"/>
        </w:rPr>
        <w:t>[1]</w:t>
      </w:r>
      <w:r w:rsidRPr="005C075E">
        <w:rPr>
          <w:rFonts w:ascii="Calibri" w:hAnsi="Calibri" w:cs="Calibri"/>
          <w:noProof/>
          <w:szCs w:val="24"/>
        </w:rPr>
        <w:tab/>
        <w:t>Apogee Instruments, “Quantum Sensor Owner’s Manual”</w:t>
      </w:r>
      <w:r w:rsidR="000D394B">
        <w:rPr>
          <w:rFonts w:ascii="Calibri" w:hAnsi="Calibri" w:cs="Calibri"/>
          <w:noProof/>
          <w:szCs w:val="24"/>
        </w:rPr>
        <w:t>,</w:t>
      </w:r>
      <w:r w:rsidRPr="005C075E">
        <w:rPr>
          <w:rFonts w:ascii="Calibri" w:hAnsi="Calibri" w:cs="Calibri"/>
          <w:noProof/>
          <w:szCs w:val="24"/>
        </w:rPr>
        <w:t xml:space="preserve"> Utah, USA, 2020.</w:t>
      </w:r>
    </w:p>
    <w:p w14:paraId="4E085EE0" w14:textId="24178831" w:rsidR="00FF6D23" w:rsidRPr="00D60F20" w:rsidRDefault="005C075E" w:rsidP="00FF6D23">
      <w:pPr>
        <w:jc w:val="center"/>
      </w:pPr>
      <w:r>
        <w:fldChar w:fldCharType="end"/>
      </w:r>
    </w:p>
    <w:sectPr w:rsidR="00FF6D23" w:rsidRPr="00D60F20" w:rsidSect="00A95F59">
      <w:footerReference w:type="default" r:id="rId17"/>
      <w:headerReference w:type="first" r:id="rId18"/>
      <w:foot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3D88" w14:textId="77777777" w:rsidR="00A26684" w:rsidRDefault="00A26684" w:rsidP="0041691B">
      <w:r>
        <w:separator/>
      </w:r>
    </w:p>
  </w:endnote>
  <w:endnote w:type="continuationSeparator" w:id="0">
    <w:p w14:paraId="665EA71C" w14:textId="77777777" w:rsidR="00A26684" w:rsidRDefault="00A26684" w:rsidP="0041691B">
      <w:r>
        <w:continuationSeparator/>
      </w:r>
    </w:p>
  </w:endnote>
  <w:endnote w:type="continuationNotice" w:id="1">
    <w:p w14:paraId="56E14EE0" w14:textId="77777777" w:rsidR="00A26684" w:rsidRDefault="00A26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62785"/>
      <w:docPartObj>
        <w:docPartGallery w:val="Page Numbers (Bottom of Page)"/>
        <w:docPartUnique/>
      </w:docPartObj>
    </w:sdtPr>
    <w:sdtEndPr>
      <w:rPr>
        <w:color w:val="7F7F7F" w:themeColor="background1" w:themeShade="7F"/>
        <w:spacing w:val="60"/>
      </w:rPr>
    </w:sdtEndPr>
    <w:sdtContent>
      <w:p w14:paraId="20023A62" w14:textId="3BEC4B0A" w:rsidR="00E932D9" w:rsidRDefault="00E932D9">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7F46CD">
          <w:rPr>
            <w:noProof/>
          </w:rPr>
          <w:t>12</w:t>
        </w:r>
        <w:r>
          <w:rPr>
            <w:noProof/>
          </w:rPr>
          <w:fldChar w:fldCharType="end"/>
        </w:r>
        <w:r>
          <w:t xml:space="preserve"> | </w:t>
        </w:r>
        <w:r>
          <w:rPr>
            <w:color w:val="7F7F7F" w:themeColor="background1" w:themeShade="7F"/>
            <w:spacing w:val="60"/>
          </w:rPr>
          <w:t>Page</w:t>
        </w:r>
      </w:p>
    </w:sdtContent>
  </w:sdt>
  <w:p w14:paraId="108683D7" w14:textId="77777777" w:rsidR="00E932D9" w:rsidRDefault="00E932D9" w:rsidP="0041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E932D9" w14:paraId="31DB351F" w14:textId="77777777" w:rsidTr="5FAD32C6">
      <w:tc>
        <w:tcPr>
          <w:tcW w:w="3009" w:type="dxa"/>
        </w:tcPr>
        <w:p w14:paraId="5551F2D4" w14:textId="49EEC654" w:rsidR="00E932D9" w:rsidRDefault="00E932D9" w:rsidP="5FAD32C6">
          <w:pPr>
            <w:pStyle w:val="Header"/>
            <w:ind w:left="-115"/>
          </w:pPr>
        </w:p>
      </w:tc>
      <w:tc>
        <w:tcPr>
          <w:tcW w:w="3009" w:type="dxa"/>
        </w:tcPr>
        <w:p w14:paraId="1F08EDAD" w14:textId="2D9578BC" w:rsidR="00E932D9" w:rsidRDefault="00E932D9" w:rsidP="5FAD32C6">
          <w:pPr>
            <w:pStyle w:val="Header"/>
            <w:jc w:val="center"/>
          </w:pPr>
        </w:p>
      </w:tc>
      <w:tc>
        <w:tcPr>
          <w:tcW w:w="3009" w:type="dxa"/>
        </w:tcPr>
        <w:p w14:paraId="644526EB" w14:textId="1C2A25B5" w:rsidR="00E932D9" w:rsidRDefault="00E932D9" w:rsidP="5FAD32C6">
          <w:pPr>
            <w:pStyle w:val="Header"/>
            <w:ind w:right="-115"/>
            <w:jc w:val="right"/>
          </w:pPr>
        </w:p>
      </w:tc>
    </w:tr>
  </w:tbl>
  <w:p w14:paraId="34262C9B" w14:textId="34DCEB2E" w:rsidR="00E932D9" w:rsidRDefault="00E932D9" w:rsidP="5FAD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645E8" w14:textId="77777777" w:rsidR="00A26684" w:rsidRDefault="00A26684" w:rsidP="0041691B">
      <w:r>
        <w:separator/>
      </w:r>
    </w:p>
  </w:footnote>
  <w:footnote w:type="continuationSeparator" w:id="0">
    <w:p w14:paraId="02965585" w14:textId="77777777" w:rsidR="00A26684" w:rsidRDefault="00A26684" w:rsidP="0041691B">
      <w:r>
        <w:continuationSeparator/>
      </w:r>
    </w:p>
  </w:footnote>
  <w:footnote w:type="continuationNotice" w:id="1">
    <w:p w14:paraId="3ECC4AE0" w14:textId="77777777" w:rsidR="00A26684" w:rsidRDefault="00A26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E932D9" w14:paraId="0766C437" w14:textId="77777777" w:rsidTr="5FAD32C6">
      <w:tc>
        <w:tcPr>
          <w:tcW w:w="3009" w:type="dxa"/>
        </w:tcPr>
        <w:p w14:paraId="1FBC0772" w14:textId="0DD5AD1C" w:rsidR="00E932D9" w:rsidRDefault="00E932D9" w:rsidP="5FAD32C6">
          <w:pPr>
            <w:pStyle w:val="Header"/>
            <w:ind w:left="-115"/>
          </w:pPr>
        </w:p>
      </w:tc>
      <w:tc>
        <w:tcPr>
          <w:tcW w:w="3009" w:type="dxa"/>
        </w:tcPr>
        <w:p w14:paraId="6D00A7A2" w14:textId="4E5D6411" w:rsidR="00E932D9" w:rsidRDefault="00E932D9" w:rsidP="5FAD32C6">
          <w:pPr>
            <w:pStyle w:val="Header"/>
            <w:jc w:val="center"/>
          </w:pPr>
        </w:p>
      </w:tc>
      <w:tc>
        <w:tcPr>
          <w:tcW w:w="3009" w:type="dxa"/>
        </w:tcPr>
        <w:p w14:paraId="6851BF08" w14:textId="43BA3A75" w:rsidR="00E932D9" w:rsidRDefault="00E932D9" w:rsidP="5FAD32C6">
          <w:pPr>
            <w:pStyle w:val="Header"/>
            <w:ind w:right="-115"/>
            <w:jc w:val="right"/>
          </w:pPr>
        </w:p>
      </w:tc>
    </w:tr>
  </w:tbl>
  <w:p w14:paraId="1C9BB5ED" w14:textId="15A82188" w:rsidR="00E932D9" w:rsidRDefault="00E932D9" w:rsidP="5FAD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7C33"/>
    <w:multiLevelType w:val="hybridMultilevel"/>
    <w:tmpl w:val="162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93934"/>
    <w:multiLevelType w:val="hybridMultilevel"/>
    <w:tmpl w:val="4EBE4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8354A"/>
    <w:multiLevelType w:val="multilevel"/>
    <w:tmpl w:val="3B8279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ind w:left="431" w:hanging="431"/>
      </w:pPr>
      <w:rPr>
        <w:rFonts w:hint="default"/>
      </w:rPr>
    </w:lvl>
    <w:lvl w:ilvl="6">
      <w:start w:val="1"/>
      <w:numFmt w:val="decimal"/>
      <w:pStyle w:val="Heading7"/>
      <w:lvlText w:val="%6.%7"/>
      <w:lvlJc w:val="left"/>
      <w:pPr>
        <w:ind w:left="578" w:hanging="578"/>
      </w:pPr>
      <w:rPr>
        <w:rFonts w:hint="default"/>
      </w:rPr>
    </w:lvl>
    <w:lvl w:ilvl="7">
      <w:start w:val="1"/>
      <w:numFmt w:val="decimal"/>
      <w:pStyle w:val="Heading8"/>
      <w:lvlText w:val="%6.%7.%8"/>
      <w:lvlJc w:val="left"/>
      <w:pPr>
        <w:ind w:left="720" w:hanging="720"/>
      </w:pPr>
      <w:rPr>
        <w:rFonts w:hint="default"/>
      </w:rPr>
    </w:lvl>
    <w:lvl w:ilvl="8">
      <w:start w:val="1"/>
      <w:numFmt w:val="decimal"/>
      <w:pStyle w:val="Heading9"/>
      <w:lvlText w:val="%6.%7.%8.%9"/>
      <w:lvlJc w:val="left"/>
      <w:pPr>
        <w:ind w:left="862" w:hanging="862"/>
      </w:pPr>
      <w:rPr>
        <w:rFonts w:hint="default"/>
      </w:rPr>
    </w:lvl>
  </w:abstractNum>
  <w:abstractNum w:abstractNumId="3" w15:restartNumberingAfterBreak="0">
    <w:nsid w:val="0C0416F7"/>
    <w:multiLevelType w:val="hybridMultilevel"/>
    <w:tmpl w:val="49BE6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80297E"/>
    <w:multiLevelType w:val="hybridMultilevel"/>
    <w:tmpl w:val="F624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F05DD"/>
    <w:multiLevelType w:val="hybridMultilevel"/>
    <w:tmpl w:val="36FE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C7C6B"/>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0F07F1"/>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5751E9"/>
    <w:multiLevelType w:val="hybridMultilevel"/>
    <w:tmpl w:val="4A0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86794"/>
    <w:multiLevelType w:val="hybridMultilevel"/>
    <w:tmpl w:val="B908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D319F"/>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E87974"/>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0A1AA6"/>
    <w:multiLevelType w:val="hybridMultilevel"/>
    <w:tmpl w:val="8E3AE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9A26FE"/>
    <w:multiLevelType w:val="hybridMultilevel"/>
    <w:tmpl w:val="530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D80E29"/>
    <w:multiLevelType w:val="hybridMultilevel"/>
    <w:tmpl w:val="C574A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65CB8"/>
    <w:multiLevelType w:val="hybridMultilevel"/>
    <w:tmpl w:val="91F847D0"/>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6" w15:restartNumberingAfterBreak="0">
    <w:nsid w:val="30C66BD1"/>
    <w:multiLevelType w:val="hybridMultilevel"/>
    <w:tmpl w:val="DA6C0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AE5E25"/>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EA57F0"/>
    <w:multiLevelType w:val="hybridMultilevel"/>
    <w:tmpl w:val="D97E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4424AF"/>
    <w:multiLevelType w:val="multilevel"/>
    <w:tmpl w:val="356CBED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20" w15:restartNumberingAfterBreak="0">
    <w:nsid w:val="3A494059"/>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1006E0"/>
    <w:multiLevelType w:val="hybridMultilevel"/>
    <w:tmpl w:val="F8126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036903"/>
    <w:multiLevelType w:val="hybridMultilevel"/>
    <w:tmpl w:val="B148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D0776B"/>
    <w:multiLevelType w:val="hybridMultilevel"/>
    <w:tmpl w:val="14E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A601A"/>
    <w:multiLevelType w:val="hybridMultilevel"/>
    <w:tmpl w:val="0DE8D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B61692"/>
    <w:multiLevelType w:val="hybridMultilevel"/>
    <w:tmpl w:val="4786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37D99"/>
    <w:multiLevelType w:val="hybridMultilevel"/>
    <w:tmpl w:val="729C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E7AB8"/>
    <w:multiLevelType w:val="hybridMultilevel"/>
    <w:tmpl w:val="93605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FC7134"/>
    <w:multiLevelType w:val="hybridMultilevel"/>
    <w:tmpl w:val="3424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50D8C"/>
    <w:multiLevelType w:val="hybridMultilevel"/>
    <w:tmpl w:val="EE001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B404A2"/>
    <w:multiLevelType w:val="hybridMultilevel"/>
    <w:tmpl w:val="C3982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590A5E"/>
    <w:multiLevelType w:val="hybridMultilevel"/>
    <w:tmpl w:val="182E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934160"/>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6B1C81"/>
    <w:multiLevelType w:val="hybridMultilevel"/>
    <w:tmpl w:val="4BE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C74C08"/>
    <w:multiLevelType w:val="hybridMultilevel"/>
    <w:tmpl w:val="A4E8F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CD450C"/>
    <w:multiLevelType w:val="hybridMultilevel"/>
    <w:tmpl w:val="49001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E31F58"/>
    <w:multiLevelType w:val="hybridMultilevel"/>
    <w:tmpl w:val="4BF67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3"/>
  </w:num>
  <w:num w:numId="6">
    <w:abstractNumId w:val="30"/>
  </w:num>
  <w:num w:numId="7">
    <w:abstractNumId w:val="35"/>
  </w:num>
  <w:num w:numId="8">
    <w:abstractNumId w:val="8"/>
  </w:num>
  <w:num w:numId="9">
    <w:abstractNumId w:val="26"/>
  </w:num>
  <w:num w:numId="10">
    <w:abstractNumId w:val="4"/>
  </w:num>
  <w:num w:numId="11">
    <w:abstractNumId w:val="22"/>
  </w:num>
  <w:num w:numId="12">
    <w:abstractNumId w:val="5"/>
  </w:num>
  <w:num w:numId="13">
    <w:abstractNumId w:val="13"/>
  </w:num>
  <w:num w:numId="14">
    <w:abstractNumId w:val="29"/>
  </w:num>
  <w:num w:numId="15">
    <w:abstractNumId w:val="28"/>
  </w:num>
  <w:num w:numId="16">
    <w:abstractNumId w:val="23"/>
  </w:num>
  <w:num w:numId="17">
    <w:abstractNumId w:val="16"/>
  </w:num>
  <w:num w:numId="18">
    <w:abstractNumId w:val="24"/>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2"/>
  </w:num>
  <w:num w:numId="23">
    <w:abstractNumId w:val="10"/>
  </w:num>
  <w:num w:numId="24">
    <w:abstractNumId w:val="7"/>
  </w:num>
  <w:num w:numId="25">
    <w:abstractNumId w:val="11"/>
  </w:num>
  <w:num w:numId="26">
    <w:abstractNumId w:val="17"/>
  </w:num>
  <w:num w:numId="27">
    <w:abstractNumId w:val="6"/>
  </w:num>
  <w:num w:numId="28">
    <w:abstractNumId w:val="31"/>
  </w:num>
  <w:num w:numId="29">
    <w:abstractNumId w:val="36"/>
  </w:num>
  <w:num w:numId="30">
    <w:abstractNumId w:val="27"/>
  </w:num>
  <w:num w:numId="31">
    <w:abstractNumId w:val="12"/>
  </w:num>
  <w:num w:numId="32">
    <w:abstractNumId w:val="25"/>
  </w:num>
  <w:num w:numId="33">
    <w:abstractNumId w:val="34"/>
  </w:num>
  <w:num w:numId="34">
    <w:abstractNumId w:val="1"/>
  </w:num>
  <w:num w:numId="35">
    <w:abstractNumId w:val="15"/>
  </w:num>
  <w:num w:numId="36">
    <w:abstractNumId w:val="14"/>
  </w:num>
  <w:num w:numId="37">
    <w:abstractNumId w:val="9"/>
  </w:num>
  <w:num w:numId="38">
    <w:abstractNumId w:val="3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ED"/>
    <w:rsid w:val="0000107B"/>
    <w:rsid w:val="00001C2D"/>
    <w:rsid w:val="00002461"/>
    <w:rsid w:val="00002DAE"/>
    <w:rsid w:val="000048C2"/>
    <w:rsid w:val="00004E8F"/>
    <w:rsid w:val="000059C7"/>
    <w:rsid w:val="00010B0A"/>
    <w:rsid w:val="00012FD2"/>
    <w:rsid w:val="000143A8"/>
    <w:rsid w:val="0001544F"/>
    <w:rsid w:val="000157AF"/>
    <w:rsid w:val="000158D3"/>
    <w:rsid w:val="000170B7"/>
    <w:rsid w:val="000275D2"/>
    <w:rsid w:val="000304A1"/>
    <w:rsid w:val="00030B93"/>
    <w:rsid w:val="00032880"/>
    <w:rsid w:val="00032FD7"/>
    <w:rsid w:val="00037A4E"/>
    <w:rsid w:val="00037B2F"/>
    <w:rsid w:val="0004011E"/>
    <w:rsid w:val="00040D8E"/>
    <w:rsid w:val="0004591B"/>
    <w:rsid w:val="00045D80"/>
    <w:rsid w:val="000563F4"/>
    <w:rsid w:val="000573DA"/>
    <w:rsid w:val="00061D8F"/>
    <w:rsid w:val="0006283D"/>
    <w:rsid w:val="000679E4"/>
    <w:rsid w:val="00070782"/>
    <w:rsid w:val="00070981"/>
    <w:rsid w:val="00070E37"/>
    <w:rsid w:val="00072B87"/>
    <w:rsid w:val="00075BAF"/>
    <w:rsid w:val="00075E26"/>
    <w:rsid w:val="00080E22"/>
    <w:rsid w:val="000829EB"/>
    <w:rsid w:val="000860D1"/>
    <w:rsid w:val="000874C9"/>
    <w:rsid w:val="00092224"/>
    <w:rsid w:val="00095102"/>
    <w:rsid w:val="00095880"/>
    <w:rsid w:val="00096CA4"/>
    <w:rsid w:val="00096DF3"/>
    <w:rsid w:val="0009752A"/>
    <w:rsid w:val="00097FA4"/>
    <w:rsid w:val="000A6908"/>
    <w:rsid w:val="000B0EB9"/>
    <w:rsid w:val="000B2245"/>
    <w:rsid w:val="000B509A"/>
    <w:rsid w:val="000B7ED3"/>
    <w:rsid w:val="000C0F32"/>
    <w:rsid w:val="000C17F5"/>
    <w:rsid w:val="000C47AB"/>
    <w:rsid w:val="000C75BE"/>
    <w:rsid w:val="000D394B"/>
    <w:rsid w:val="000D3E8A"/>
    <w:rsid w:val="000D3F1E"/>
    <w:rsid w:val="000D48DA"/>
    <w:rsid w:val="000D59A5"/>
    <w:rsid w:val="000E07B6"/>
    <w:rsid w:val="000E7E34"/>
    <w:rsid w:val="000F0416"/>
    <w:rsid w:val="000F0D3A"/>
    <w:rsid w:val="000F0DF3"/>
    <w:rsid w:val="000F1C68"/>
    <w:rsid w:val="000F5084"/>
    <w:rsid w:val="000F5FB6"/>
    <w:rsid w:val="001022B7"/>
    <w:rsid w:val="00102EF0"/>
    <w:rsid w:val="001041C5"/>
    <w:rsid w:val="00105B3B"/>
    <w:rsid w:val="00106768"/>
    <w:rsid w:val="00107910"/>
    <w:rsid w:val="00110339"/>
    <w:rsid w:val="00111C68"/>
    <w:rsid w:val="00112E70"/>
    <w:rsid w:val="0011325F"/>
    <w:rsid w:val="00113881"/>
    <w:rsid w:val="00113BFC"/>
    <w:rsid w:val="001158AB"/>
    <w:rsid w:val="00122DE9"/>
    <w:rsid w:val="00123FE6"/>
    <w:rsid w:val="0012602C"/>
    <w:rsid w:val="0012684E"/>
    <w:rsid w:val="00130C74"/>
    <w:rsid w:val="0013177D"/>
    <w:rsid w:val="00131D87"/>
    <w:rsid w:val="001323A7"/>
    <w:rsid w:val="00134A8E"/>
    <w:rsid w:val="001359B3"/>
    <w:rsid w:val="00140CBA"/>
    <w:rsid w:val="00140CC5"/>
    <w:rsid w:val="001415DE"/>
    <w:rsid w:val="00143463"/>
    <w:rsid w:val="00144403"/>
    <w:rsid w:val="00145D75"/>
    <w:rsid w:val="0015062B"/>
    <w:rsid w:val="001524A9"/>
    <w:rsid w:val="00154320"/>
    <w:rsid w:val="00155563"/>
    <w:rsid w:val="00155A07"/>
    <w:rsid w:val="00161C71"/>
    <w:rsid w:val="001631C6"/>
    <w:rsid w:val="0016370B"/>
    <w:rsid w:val="0016398B"/>
    <w:rsid w:val="00163BC5"/>
    <w:rsid w:val="00164C84"/>
    <w:rsid w:val="00165FE8"/>
    <w:rsid w:val="0017076E"/>
    <w:rsid w:val="001733C4"/>
    <w:rsid w:val="00173E40"/>
    <w:rsid w:val="001754E1"/>
    <w:rsid w:val="00176E02"/>
    <w:rsid w:val="00180B0E"/>
    <w:rsid w:val="00182C7D"/>
    <w:rsid w:val="0018396E"/>
    <w:rsid w:val="00184240"/>
    <w:rsid w:val="0018561B"/>
    <w:rsid w:val="00186B87"/>
    <w:rsid w:val="0019046D"/>
    <w:rsid w:val="001927D0"/>
    <w:rsid w:val="0019447C"/>
    <w:rsid w:val="00194FD1"/>
    <w:rsid w:val="001957B6"/>
    <w:rsid w:val="00196196"/>
    <w:rsid w:val="00197839"/>
    <w:rsid w:val="00197B8F"/>
    <w:rsid w:val="001A01B0"/>
    <w:rsid w:val="001A288D"/>
    <w:rsid w:val="001B0401"/>
    <w:rsid w:val="001B0BC0"/>
    <w:rsid w:val="001B355B"/>
    <w:rsid w:val="001B4639"/>
    <w:rsid w:val="001B4DD2"/>
    <w:rsid w:val="001B7E46"/>
    <w:rsid w:val="001B7F49"/>
    <w:rsid w:val="001C3E14"/>
    <w:rsid w:val="001C585D"/>
    <w:rsid w:val="001C5B6B"/>
    <w:rsid w:val="001C7280"/>
    <w:rsid w:val="001D05CD"/>
    <w:rsid w:val="001D412C"/>
    <w:rsid w:val="001D44D5"/>
    <w:rsid w:val="001D6094"/>
    <w:rsid w:val="001D60F4"/>
    <w:rsid w:val="001D79B4"/>
    <w:rsid w:val="001D79CF"/>
    <w:rsid w:val="001E1BB0"/>
    <w:rsid w:val="001E3233"/>
    <w:rsid w:val="001E43CF"/>
    <w:rsid w:val="001E489B"/>
    <w:rsid w:val="001F0BE4"/>
    <w:rsid w:val="001F1C49"/>
    <w:rsid w:val="001F2B83"/>
    <w:rsid w:val="001F2D54"/>
    <w:rsid w:val="001F4280"/>
    <w:rsid w:val="001F570E"/>
    <w:rsid w:val="001F6D89"/>
    <w:rsid w:val="001F7028"/>
    <w:rsid w:val="002051C5"/>
    <w:rsid w:val="00211F98"/>
    <w:rsid w:val="00213799"/>
    <w:rsid w:val="002151B2"/>
    <w:rsid w:val="00215C46"/>
    <w:rsid w:val="002169D9"/>
    <w:rsid w:val="00217748"/>
    <w:rsid w:val="002203F7"/>
    <w:rsid w:val="00223553"/>
    <w:rsid w:val="002236AB"/>
    <w:rsid w:val="002255EE"/>
    <w:rsid w:val="00226911"/>
    <w:rsid w:val="0022744F"/>
    <w:rsid w:val="00227C2A"/>
    <w:rsid w:val="002321E7"/>
    <w:rsid w:val="0023340C"/>
    <w:rsid w:val="00233B37"/>
    <w:rsid w:val="00233BF5"/>
    <w:rsid w:val="00241436"/>
    <w:rsid w:val="00242368"/>
    <w:rsid w:val="00245642"/>
    <w:rsid w:val="002466BE"/>
    <w:rsid w:val="00247A4F"/>
    <w:rsid w:val="00250BAF"/>
    <w:rsid w:val="002519DD"/>
    <w:rsid w:val="00253B65"/>
    <w:rsid w:val="00257EC8"/>
    <w:rsid w:val="002657FF"/>
    <w:rsid w:val="00266160"/>
    <w:rsid w:val="00266449"/>
    <w:rsid w:val="00270570"/>
    <w:rsid w:val="00270AB1"/>
    <w:rsid w:val="0028022E"/>
    <w:rsid w:val="00281007"/>
    <w:rsid w:val="00285262"/>
    <w:rsid w:val="00287EBE"/>
    <w:rsid w:val="00290165"/>
    <w:rsid w:val="00290892"/>
    <w:rsid w:val="00290CB7"/>
    <w:rsid w:val="00295D96"/>
    <w:rsid w:val="002A193D"/>
    <w:rsid w:val="002A2F35"/>
    <w:rsid w:val="002A3C12"/>
    <w:rsid w:val="002A473A"/>
    <w:rsid w:val="002A48DD"/>
    <w:rsid w:val="002A519C"/>
    <w:rsid w:val="002B1C0E"/>
    <w:rsid w:val="002B21C7"/>
    <w:rsid w:val="002B2205"/>
    <w:rsid w:val="002B2ECA"/>
    <w:rsid w:val="002B366E"/>
    <w:rsid w:val="002B3F19"/>
    <w:rsid w:val="002B4215"/>
    <w:rsid w:val="002B5449"/>
    <w:rsid w:val="002B64B0"/>
    <w:rsid w:val="002B6D1D"/>
    <w:rsid w:val="002B74E8"/>
    <w:rsid w:val="002C112C"/>
    <w:rsid w:val="002C4E7D"/>
    <w:rsid w:val="002C64A9"/>
    <w:rsid w:val="002C6D0A"/>
    <w:rsid w:val="002D3831"/>
    <w:rsid w:val="002D4AAD"/>
    <w:rsid w:val="002D59BE"/>
    <w:rsid w:val="002E090C"/>
    <w:rsid w:val="002E42C3"/>
    <w:rsid w:val="002E454D"/>
    <w:rsid w:val="002E4E2F"/>
    <w:rsid w:val="002E7F46"/>
    <w:rsid w:val="002F0388"/>
    <w:rsid w:val="002F087A"/>
    <w:rsid w:val="002F28C2"/>
    <w:rsid w:val="002F30F5"/>
    <w:rsid w:val="002F7504"/>
    <w:rsid w:val="002F7846"/>
    <w:rsid w:val="002F7C28"/>
    <w:rsid w:val="0030137D"/>
    <w:rsid w:val="00302294"/>
    <w:rsid w:val="0030449D"/>
    <w:rsid w:val="00310462"/>
    <w:rsid w:val="00312153"/>
    <w:rsid w:val="0031449C"/>
    <w:rsid w:val="003150BB"/>
    <w:rsid w:val="0031584F"/>
    <w:rsid w:val="00317A13"/>
    <w:rsid w:val="00323314"/>
    <w:rsid w:val="00323776"/>
    <w:rsid w:val="00324898"/>
    <w:rsid w:val="003305D2"/>
    <w:rsid w:val="003335EE"/>
    <w:rsid w:val="0033540B"/>
    <w:rsid w:val="00343EDD"/>
    <w:rsid w:val="0034542B"/>
    <w:rsid w:val="00346314"/>
    <w:rsid w:val="003465AE"/>
    <w:rsid w:val="003467FD"/>
    <w:rsid w:val="00351AE4"/>
    <w:rsid w:val="00353CFB"/>
    <w:rsid w:val="0035683C"/>
    <w:rsid w:val="0036214B"/>
    <w:rsid w:val="00365C37"/>
    <w:rsid w:val="00367892"/>
    <w:rsid w:val="00370CE2"/>
    <w:rsid w:val="00371BF2"/>
    <w:rsid w:val="00372A58"/>
    <w:rsid w:val="00372A84"/>
    <w:rsid w:val="00372D94"/>
    <w:rsid w:val="00375166"/>
    <w:rsid w:val="0037720E"/>
    <w:rsid w:val="00380A63"/>
    <w:rsid w:val="00385B4B"/>
    <w:rsid w:val="00385D6C"/>
    <w:rsid w:val="00385D75"/>
    <w:rsid w:val="00387B92"/>
    <w:rsid w:val="00393BEE"/>
    <w:rsid w:val="00395D51"/>
    <w:rsid w:val="00396933"/>
    <w:rsid w:val="0039784D"/>
    <w:rsid w:val="003A0BF7"/>
    <w:rsid w:val="003A1B11"/>
    <w:rsid w:val="003A23E1"/>
    <w:rsid w:val="003A325D"/>
    <w:rsid w:val="003A4BC5"/>
    <w:rsid w:val="003B316B"/>
    <w:rsid w:val="003B4982"/>
    <w:rsid w:val="003B529C"/>
    <w:rsid w:val="003C006E"/>
    <w:rsid w:val="003C1FCB"/>
    <w:rsid w:val="003C3C06"/>
    <w:rsid w:val="003C564B"/>
    <w:rsid w:val="003C573F"/>
    <w:rsid w:val="003D4E11"/>
    <w:rsid w:val="003E0076"/>
    <w:rsid w:val="003E0329"/>
    <w:rsid w:val="003E3CD9"/>
    <w:rsid w:val="003E5005"/>
    <w:rsid w:val="003F4A1D"/>
    <w:rsid w:val="003F625F"/>
    <w:rsid w:val="003F69FE"/>
    <w:rsid w:val="003F7008"/>
    <w:rsid w:val="003F7D3B"/>
    <w:rsid w:val="00400FB3"/>
    <w:rsid w:val="004012C7"/>
    <w:rsid w:val="004014C8"/>
    <w:rsid w:val="0040296E"/>
    <w:rsid w:val="00402C5E"/>
    <w:rsid w:val="004068B8"/>
    <w:rsid w:val="00406B63"/>
    <w:rsid w:val="00407F2A"/>
    <w:rsid w:val="004106B7"/>
    <w:rsid w:val="00410B3A"/>
    <w:rsid w:val="004115D1"/>
    <w:rsid w:val="00412A5C"/>
    <w:rsid w:val="00413AE7"/>
    <w:rsid w:val="004145EE"/>
    <w:rsid w:val="004158E0"/>
    <w:rsid w:val="0041691B"/>
    <w:rsid w:val="00416DD5"/>
    <w:rsid w:val="00417733"/>
    <w:rsid w:val="00421B0A"/>
    <w:rsid w:val="00422CD8"/>
    <w:rsid w:val="004254D0"/>
    <w:rsid w:val="00425642"/>
    <w:rsid w:val="00426C3F"/>
    <w:rsid w:val="00427FC2"/>
    <w:rsid w:val="004303E4"/>
    <w:rsid w:val="00431719"/>
    <w:rsid w:val="00433324"/>
    <w:rsid w:val="004347C5"/>
    <w:rsid w:val="0043580F"/>
    <w:rsid w:val="00436A5C"/>
    <w:rsid w:val="00445137"/>
    <w:rsid w:val="00445333"/>
    <w:rsid w:val="00446F55"/>
    <w:rsid w:val="00447970"/>
    <w:rsid w:val="00447B6F"/>
    <w:rsid w:val="00447C2F"/>
    <w:rsid w:val="0045329C"/>
    <w:rsid w:val="00456D15"/>
    <w:rsid w:val="004575E9"/>
    <w:rsid w:val="004603E9"/>
    <w:rsid w:val="004615BD"/>
    <w:rsid w:val="004628C7"/>
    <w:rsid w:val="004653FF"/>
    <w:rsid w:val="0046592B"/>
    <w:rsid w:val="00465AFF"/>
    <w:rsid w:val="00465DF7"/>
    <w:rsid w:val="0047781B"/>
    <w:rsid w:val="004842C0"/>
    <w:rsid w:val="00484C5F"/>
    <w:rsid w:val="0048766A"/>
    <w:rsid w:val="004945A0"/>
    <w:rsid w:val="00494F7B"/>
    <w:rsid w:val="004A138E"/>
    <w:rsid w:val="004B03CF"/>
    <w:rsid w:val="004B3069"/>
    <w:rsid w:val="004B3B7F"/>
    <w:rsid w:val="004B73AB"/>
    <w:rsid w:val="004C14C4"/>
    <w:rsid w:val="004C1AD5"/>
    <w:rsid w:val="004C2381"/>
    <w:rsid w:val="004C3AE3"/>
    <w:rsid w:val="004C6D6D"/>
    <w:rsid w:val="004D1198"/>
    <w:rsid w:val="004D3812"/>
    <w:rsid w:val="004D733E"/>
    <w:rsid w:val="004D7C0F"/>
    <w:rsid w:val="004E34B8"/>
    <w:rsid w:val="004E3C9C"/>
    <w:rsid w:val="004E7DAE"/>
    <w:rsid w:val="004F1EAB"/>
    <w:rsid w:val="004F4BBF"/>
    <w:rsid w:val="0050120C"/>
    <w:rsid w:val="00502541"/>
    <w:rsid w:val="0050348C"/>
    <w:rsid w:val="005045D2"/>
    <w:rsid w:val="00507258"/>
    <w:rsid w:val="005078C6"/>
    <w:rsid w:val="005116A1"/>
    <w:rsid w:val="00511C1E"/>
    <w:rsid w:val="005155D0"/>
    <w:rsid w:val="00520788"/>
    <w:rsid w:val="0052274B"/>
    <w:rsid w:val="00522956"/>
    <w:rsid w:val="005331A7"/>
    <w:rsid w:val="00535FAE"/>
    <w:rsid w:val="005379ED"/>
    <w:rsid w:val="00542603"/>
    <w:rsid w:val="005426C7"/>
    <w:rsid w:val="00544500"/>
    <w:rsid w:val="00551832"/>
    <w:rsid w:val="00551DBE"/>
    <w:rsid w:val="00554877"/>
    <w:rsid w:val="00556DD5"/>
    <w:rsid w:val="005572EC"/>
    <w:rsid w:val="00560CF0"/>
    <w:rsid w:val="00561470"/>
    <w:rsid w:val="00565F6E"/>
    <w:rsid w:val="005672EE"/>
    <w:rsid w:val="00570C9A"/>
    <w:rsid w:val="00571FF9"/>
    <w:rsid w:val="0057371A"/>
    <w:rsid w:val="005741F9"/>
    <w:rsid w:val="00575E87"/>
    <w:rsid w:val="005810BB"/>
    <w:rsid w:val="00582290"/>
    <w:rsid w:val="00586F8F"/>
    <w:rsid w:val="005878FE"/>
    <w:rsid w:val="00587EB2"/>
    <w:rsid w:val="00593ADA"/>
    <w:rsid w:val="00593BA3"/>
    <w:rsid w:val="0059409D"/>
    <w:rsid w:val="00594579"/>
    <w:rsid w:val="005A0332"/>
    <w:rsid w:val="005B0075"/>
    <w:rsid w:val="005B01E1"/>
    <w:rsid w:val="005B0FF8"/>
    <w:rsid w:val="005B1416"/>
    <w:rsid w:val="005B1BD4"/>
    <w:rsid w:val="005B5185"/>
    <w:rsid w:val="005B784C"/>
    <w:rsid w:val="005B7F0A"/>
    <w:rsid w:val="005C02A0"/>
    <w:rsid w:val="005C075E"/>
    <w:rsid w:val="005C1D34"/>
    <w:rsid w:val="005C2842"/>
    <w:rsid w:val="005C2D10"/>
    <w:rsid w:val="005C4AF2"/>
    <w:rsid w:val="005C5376"/>
    <w:rsid w:val="005C6E1A"/>
    <w:rsid w:val="005C73FA"/>
    <w:rsid w:val="005D26EF"/>
    <w:rsid w:val="005D447B"/>
    <w:rsid w:val="005D50B4"/>
    <w:rsid w:val="005D6363"/>
    <w:rsid w:val="005D7D5E"/>
    <w:rsid w:val="005E07CB"/>
    <w:rsid w:val="005E10FB"/>
    <w:rsid w:val="005E32FC"/>
    <w:rsid w:val="005E3A94"/>
    <w:rsid w:val="005E6215"/>
    <w:rsid w:val="005F1306"/>
    <w:rsid w:val="005F1406"/>
    <w:rsid w:val="005F1CB3"/>
    <w:rsid w:val="005F2F9B"/>
    <w:rsid w:val="005F3CBF"/>
    <w:rsid w:val="005F4CD5"/>
    <w:rsid w:val="005F75CA"/>
    <w:rsid w:val="006003A7"/>
    <w:rsid w:val="0060064B"/>
    <w:rsid w:val="00602806"/>
    <w:rsid w:val="0060580A"/>
    <w:rsid w:val="006120F0"/>
    <w:rsid w:val="0061389F"/>
    <w:rsid w:val="0061437A"/>
    <w:rsid w:val="006206ED"/>
    <w:rsid w:val="00621798"/>
    <w:rsid w:val="00623270"/>
    <w:rsid w:val="00626039"/>
    <w:rsid w:val="00633AAA"/>
    <w:rsid w:val="006417B0"/>
    <w:rsid w:val="00642BC4"/>
    <w:rsid w:val="00646168"/>
    <w:rsid w:val="0064682C"/>
    <w:rsid w:val="006514E7"/>
    <w:rsid w:val="00652636"/>
    <w:rsid w:val="00652AF3"/>
    <w:rsid w:val="00653710"/>
    <w:rsid w:val="006572C4"/>
    <w:rsid w:val="00664D2B"/>
    <w:rsid w:val="00666933"/>
    <w:rsid w:val="00667B97"/>
    <w:rsid w:val="0067105D"/>
    <w:rsid w:val="00671B1F"/>
    <w:rsid w:val="0067464D"/>
    <w:rsid w:val="00674C53"/>
    <w:rsid w:val="006758BA"/>
    <w:rsid w:val="00675E46"/>
    <w:rsid w:val="0067695F"/>
    <w:rsid w:val="00676CF5"/>
    <w:rsid w:val="0068112E"/>
    <w:rsid w:val="006847CC"/>
    <w:rsid w:val="00685D0A"/>
    <w:rsid w:val="00686D66"/>
    <w:rsid w:val="00690208"/>
    <w:rsid w:val="00691714"/>
    <w:rsid w:val="00691A12"/>
    <w:rsid w:val="00691B08"/>
    <w:rsid w:val="006923BF"/>
    <w:rsid w:val="006944F4"/>
    <w:rsid w:val="00694A1B"/>
    <w:rsid w:val="00694E05"/>
    <w:rsid w:val="00697C91"/>
    <w:rsid w:val="006A31B6"/>
    <w:rsid w:val="006A3E7D"/>
    <w:rsid w:val="006B4D22"/>
    <w:rsid w:val="006B60A5"/>
    <w:rsid w:val="006B69F9"/>
    <w:rsid w:val="006C0F09"/>
    <w:rsid w:val="006C1C45"/>
    <w:rsid w:val="006C2926"/>
    <w:rsid w:val="006C3919"/>
    <w:rsid w:val="006C5383"/>
    <w:rsid w:val="006C674A"/>
    <w:rsid w:val="006C6BDC"/>
    <w:rsid w:val="006C7D2D"/>
    <w:rsid w:val="006D3258"/>
    <w:rsid w:val="006D3B44"/>
    <w:rsid w:val="006D6A29"/>
    <w:rsid w:val="006D7513"/>
    <w:rsid w:val="006E2211"/>
    <w:rsid w:val="006E52AA"/>
    <w:rsid w:val="006E557C"/>
    <w:rsid w:val="006E56C9"/>
    <w:rsid w:val="006E7669"/>
    <w:rsid w:val="006F0079"/>
    <w:rsid w:val="006F0232"/>
    <w:rsid w:val="006F0969"/>
    <w:rsid w:val="006F3352"/>
    <w:rsid w:val="006F4E5F"/>
    <w:rsid w:val="006F5C2B"/>
    <w:rsid w:val="006F5C83"/>
    <w:rsid w:val="006F5D5C"/>
    <w:rsid w:val="00700153"/>
    <w:rsid w:val="007001D1"/>
    <w:rsid w:val="00701E0D"/>
    <w:rsid w:val="00701F88"/>
    <w:rsid w:val="007045F8"/>
    <w:rsid w:val="00705E9D"/>
    <w:rsid w:val="007117D1"/>
    <w:rsid w:val="007146C0"/>
    <w:rsid w:val="00714D51"/>
    <w:rsid w:val="00717EB0"/>
    <w:rsid w:val="00717EF2"/>
    <w:rsid w:val="00720C71"/>
    <w:rsid w:val="00722B1C"/>
    <w:rsid w:val="007243FC"/>
    <w:rsid w:val="00727852"/>
    <w:rsid w:val="00727992"/>
    <w:rsid w:val="00727BAF"/>
    <w:rsid w:val="00727E5C"/>
    <w:rsid w:val="00730362"/>
    <w:rsid w:val="00730480"/>
    <w:rsid w:val="007328F1"/>
    <w:rsid w:val="0073654F"/>
    <w:rsid w:val="007403E8"/>
    <w:rsid w:val="00740DE1"/>
    <w:rsid w:val="007422DA"/>
    <w:rsid w:val="00742308"/>
    <w:rsid w:val="007439C5"/>
    <w:rsid w:val="00746D34"/>
    <w:rsid w:val="00751933"/>
    <w:rsid w:val="0075248F"/>
    <w:rsid w:val="00755F2D"/>
    <w:rsid w:val="00756E97"/>
    <w:rsid w:val="00757529"/>
    <w:rsid w:val="00757F16"/>
    <w:rsid w:val="0076487B"/>
    <w:rsid w:val="0076491C"/>
    <w:rsid w:val="00765360"/>
    <w:rsid w:val="00765511"/>
    <w:rsid w:val="00766C9F"/>
    <w:rsid w:val="00767032"/>
    <w:rsid w:val="00772380"/>
    <w:rsid w:val="00773ACF"/>
    <w:rsid w:val="0077479B"/>
    <w:rsid w:val="0077594B"/>
    <w:rsid w:val="00777F33"/>
    <w:rsid w:val="00782EEF"/>
    <w:rsid w:val="00783458"/>
    <w:rsid w:val="007841EC"/>
    <w:rsid w:val="0078639E"/>
    <w:rsid w:val="007872CC"/>
    <w:rsid w:val="00791638"/>
    <w:rsid w:val="00793C1D"/>
    <w:rsid w:val="00795CDA"/>
    <w:rsid w:val="00795FF5"/>
    <w:rsid w:val="007A7295"/>
    <w:rsid w:val="007B0706"/>
    <w:rsid w:val="007B29A3"/>
    <w:rsid w:val="007B38B1"/>
    <w:rsid w:val="007B3E94"/>
    <w:rsid w:val="007B5136"/>
    <w:rsid w:val="007B65CD"/>
    <w:rsid w:val="007B69E5"/>
    <w:rsid w:val="007C2CBD"/>
    <w:rsid w:val="007C5BFF"/>
    <w:rsid w:val="007C6E4B"/>
    <w:rsid w:val="007D2489"/>
    <w:rsid w:val="007E1A1B"/>
    <w:rsid w:val="007E4FBD"/>
    <w:rsid w:val="007E535C"/>
    <w:rsid w:val="007E6228"/>
    <w:rsid w:val="007F11C6"/>
    <w:rsid w:val="007F406A"/>
    <w:rsid w:val="007F4634"/>
    <w:rsid w:val="007F46CD"/>
    <w:rsid w:val="007F53B0"/>
    <w:rsid w:val="007F6593"/>
    <w:rsid w:val="007F6908"/>
    <w:rsid w:val="007F7DB1"/>
    <w:rsid w:val="008023BD"/>
    <w:rsid w:val="0080241D"/>
    <w:rsid w:val="00815D98"/>
    <w:rsid w:val="00816E07"/>
    <w:rsid w:val="008246D9"/>
    <w:rsid w:val="00824719"/>
    <w:rsid w:val="0082611C"/>
    <w:rsid w:val="0082634B"/>
    <w:rsid w:val="00826D05"/>
    <w:rsid w:val="00826F01"/>
    <w:rsid w:val="00830196"/>
    <w:rsid w:val="0083073C"/>
    <w:rsid w:val="00840792"/>
    <w:rsid w:val="00840C8C"/>
    <w:rsid w:val="00842172"/>
    <w:rsid w:val="0084474D"/>
    <w:rsid w:val="0084768E"/>
    <w:rsid w:val="0084799A"/>
    <w:rsid w:val="00847F16"/>
    <w:rsid w:val="00851CB4"/>
    <w:rsid w:val="00851D1A"/>
    <w:rsid w:val="00852C5C"/>
    <w:rsid w:val="00855032"/>
    <w:rsid w:val="0085603C"/>
    <w:rsid w:val="008563DA"/>
    <w:rsid w:val="00856D20"/>
    <w:rsid w:val="00866BA0"/>
    <w:rsid w:val="00866EF4"/>
    <w:rsid w:val="00867E8D"/>
    <w:rsid w:val="00875725"/>
    <w:rsid w:val="00875784"/>
    <w:rsid w:val="00876DE5"/>
    <w:rsid w:val="00877DAF"/>
    <w:rsid w:val="00882F31"/>
    <w:rsid w:val="008831E5"/>
    <w:rsid w:val="00885D5E"/>
    <w:rsid w:val="0088672D"/>
    <w:rsid w:val="00891514"/>
    <w:rsid w:val="008918C7"/>
    <w:rsid w:val="00893BE1"/>
    <w:rsid w:val="00894B53"/>
    <w:rsid w:val="00894D99"/>
    <w:rsid w:val="00897722"/>
    <w:rsid w:val="008A1056"/>
    <w:rsid w:val="008A282C"/>
    <w:rsid w:val="008A2C1D"/>
    <w:rsid w:val="008A3D25"/>
    <w:rsid w:val="008A4B3D"/>
    <w:rsid w:val="008B0747"/>
    <w:rsid w:val="008B084B"/>
    <w:rsid w:val="008B3F6B"/>
    <w:rsid w:val="008B49D0"/>
    <w:rsid w:val="008B5F88"/>
    <w:rsid w:val="008B6059"/>
    <w:rsid w:val="008B7167"/>
    <w:rsid w:val="008B7DF5"/>
    <w:rsid w:val="008C0564"/>
    <w:rsid w:val="008C1B27"/>
    <w:rsid w:val="008C279A"/>
    <w:rsid w:val="008C28C9"/>
    <w:rsid w:val="008C3666"/>
    <w:rsid w:val="008C46E3"/>
    <w:rsid w:val="008C55CD"/>
    <w:rsid w:val="008C58F7"/>
    <w:rsid w:val="008C5CBE"/>
    <w:rsid w:val="008C5F32"/>
    <w:rsid w:val="008C6C61"/>
    <w:rsid w:val="008C721F"/>
    <w:rsid w:val="008C76FB"/>
    <w:rsid w:val="008D0994"/>
    <w:rsid w:val="008D31E0"/>
    <w:rsid w:val="008D5E21"/>
    <w:rsid w:val="008D6648"/>
    <w:rsid w:val="008D6CB8"/>
    <w:rsid w:val="008E0998"/>
    <w:rsid w:val="008E141E"/>
    <w:rsid w:val="008E3691"/>
    <w:rsid w:val="008E4B9A"/>
    <w:rsid w:val="008F003B"/>
    <w:rsid w:val="008F0F20"/>
    <w:rsid w:val="008F0FCA"/>
    <w:rsid w:val="008F1C85"/>
    <w:rsid w:val="008F27E0"/>
    <w:rsid w:val="008F2EB3"/>
    <w:rsid w:val="008F6070"/>
    <w:rsid w:val="00900BE9"/>
    <w:rsid w:val="0090105F"/>
    <w:rsid w:val="009024FA"/>
    <w:rsid w:val="00903FF7"/>
    <w:rsid w:val="00907347"/>
    <w:rsid w:val="00907D06"/>
    <w:rsid w:val="00911A96"/>
    <w:rsid w:val="00916459"/>
    <w:rsid w:val="00916DF0"/>
    <w:rsid w:val="00917175"/>
    <w:rsid w:val="009226AE"/>
    <w:rsid w:val="00923858"/>
    <w:rsid w:val="009247D9"/>
    <w:rsid w:val="0092709F"/>
    <w:rsid w:val="00930749"/>
    <w:rsid w:val="00933FC0"/>
    <w:rsid w:val="00934338"/>
    <w:rsid w:val="0093481A"/>
    <w:rsid w:val="00934C57"/>
    <w:rsid w:val="00935F14"/>
    <w:rsid w:val="009409FC"/>
    <w:rsid w:val="00943491"/>
    <w:rsid w:val="00943DF7"/>
    <w:rsid w:val="0094665B"/>
    <w:rsid w:val="00950B33"/>
    <w:rsid w:val="009514C5"/>
    <w:rsid w:val="00952C4B"/>
    <w:rsid w:val="00953C06"/>
    <w:rsid w:val="0095467D"/>
    <w:rsid w:val="00954974"/>
    <w:rsid w:val="009556C3"/>
    <w:rsid w:val="00957D51"/>
    <w:rsid w:val="0096016B"/>
    <w:rsid w:val="00962E9D"/>
    <w:rsid w:val="009630F4"/>
    <w:rsid w:val="009653B4"/>
    <w:rsid w:val="009657CF"/>
    <w:rsid w:val="00966371"/>
    <w:rsid w:val="00967994"/>
    <w:rsid w:val="0097243D"/>
    <w:rsid w:val="00972B11"/>
    <w:rsid w:val="00977F6A"/>
    <w:rsid w:val="009836A3"/>
    <w:rsid w:val="0098406D"/>
    <w:rsid w:val="009849ED"/>
    <w:rsid w:val="00985DD4"/>
    <w:rsid w:val="00990656"/>
    <w:rsid w:val="00994BFF"/>
    <w:rsid w:val="00997B9F"/>
    <w:rsid w:val="009A41C7"/>
    <w:rsid w:val="009A5AF0"/>
    <w:rsid w:val="009A691D"/>
    <w:rsid w:val="009B5DB6"/>
    <w:rsid w:val="009C2774"/>
    <w:rsid w:val="009C40D9"/>
    <w:rsid w:val="009C46B0"/>
    <w:rsid w:val="009C4DED"/>
    <w:rsid w:val="009C5B02"/>
    <w:rsid w:val="009C7DD1"/>
    <w:rsid w:val="009D1670"/>
    <w:rsid w:val="009D2E69"/>
    <w:rsid w:val="009D47CD"/>
    <w:rsid w:val="009D5C55"/>
    <w:rsid w:val="009D7D82"/>
    <w:rsid w:val="009E41F2"/>
    <w:rsid w:val="009E56F7"/>
    <w:rsid w:val="009E5930"/>
    <w:rsid w:val="009F1DDB"/>
    <w:rsid w:val="00A00C08"/>
    <w:rsid w:val="00A01E62"/>
    <w:rsid w:val="00A025B9"/>
    <w:rsid w:val="00A049EA"/>
    <w:rsid w:val="00A061D2"/>
    <w:rsid w:val="00A10F14"/>
    <w:rsid w:val="00A11795"/>
    <w:rsid w:val="00A202DC"/>
    <w:rsid w:val="00A20396"/>
    <w:rsid w:val="00A211D9"/>
    <w:rsid w:val="00A2155E"/>
    <w:rsid w:val="00A22252"/>
    <w:rsid w:val="00A225E1"/>
    <w:rsid w:val="00A22A84"/>
    <w:rsid w:val="00A23D0F"/>
    <w:rsid w:val="00A243BE"/>
    <w:rsid w:val="00A25163"/>
    <w:rsid w:val="00A26684"/>
    <w:rsid w:val="00A32B53"/>
    <w:rsid w:val="00A343B8"/>
    <w:rsid w:val="00A3518B"/>
    <w:rsid w:val="00A35B29"/>
    <w:rsid w:val="00A35B97"/>
    <w:rsid w:val="00A36291"/>
    <w:rsid w:val="00A37785"/>
    <w:rsid w:val="00A37EB6"/>
    <w:rsid w:val="00A40C12"/>
    <w:rsid w:val="00A43223"/>
    <w:rsid w:val="00A433C5"/>
    <w:rsid w:val="00A43AC4"/>
    <w:rsid w:val="00A43FF1"/>
    <w:rsid w:val="00A44B50"/>
    <w:rsid w:val="00A4776B"/>
    <w:rsid w:val="00A5115A"/>
    <w:rsid w:val="00A512CA"/>
    <w:rsid w:val="00A519D5"/>
    <w:rsid w:val="00A5659E"/>
    <w:rsid w:val="00A565F8"/>
    <w:rsid w:val="00A60E11"/>
    <w:rsid w:val="00A623EA"/>
    <w:rsid w:val="00A641F7"/>
    <w:rsid w:val="00A650E7"/>
    <w:rsid w:val="00A66D39"/>
    <w:rsid w:val="00A708DD"/>
    <w:rsid w:val="00A71448"/>
    <w:rsid w:val="00A72BB6"/>
    <w:rsid w:val="00A830C5"/>
    <w:rsid w:val="00A8449A"/>
    <w:rsid w:val="00A8510C"/>
    <w:rsid w:val="00A86FFE"/>
    <w:rsid w:val="00A91BB5"/>
    <w:rsid w:val="00A91FCE"/>
    <w:rsid w:val="00A95730"/>
    <w:rsid w:val="00A95F59"/>
    <w:rsid w:val="00A96534"/>
    <w:rsid w:val="00A9657E"/>
    <w:rsid w:val="00AA6EB0"/>
    <w:rsid w:val="00AA7D8A"/>
    <w:rsid w:val="00AB1DFF"/>
    <w:rsid w:val="00AB3F3C"/>
    <w:rsid w:val="00AB4971"/>
    <w:rsid w:val="00AB5ECD"/>
    <w:rsid w:val="00AB713F"/>
    <w:rsid w:val="00AC040B"/>
    <w:rsid w:val="00AC0895"/>
    <w:rsid w:val="00AC0DF3"/>
    <w:rsid w:val="00AC36E5"/>
    <w:rsid w:val="00AC380B"/>
    <w:rsid w:val="00AC38EC"/>
    <w:rsid w:val="00AC44FA"/>
    <w:rsid w:val="00AC7CB6"/>
    <w:rsid w:val="00AD4E53"/>
    <w:rsid w:val="00AD7EBA"/>
    <w:rsid w:val="00AD7FB9"/>
    <w:rsid w:val="00AE0C77"/>
    <w:rsid w:val="00AE1871"/>
    <w:rsid w:val="00AE5ECD"/>
    <w:rsid w:val="00AE75B4"/>
    <w:rsid w:val="00AE7E14"/>
    <w:rsid w:val="00AF3EBA"/>
    <w:rsid w:val="00AF43B1"/>
    <w:rsid w:val="00AF6CF7"/>
    <w:rsid w:val="00B01BD6"/>
    <w:rsid w:val="00B11867"/>
    <w:rsid w:val="00B14886"/>
    <w:rsid w:val="00B1581A"/>
    <w:rsid w:val="00B16403"/>
    <w:rsid w:val="00B201F1"/>
    <w:rsid w:val="00B20B87"/>
    <w:rsid w:val="00B21DF0"/>
    <w:rsid w:val="00B241A0"/>
    <w:rsid w:val="00B25A2F"/>
    <w:rsid w:val="00B26232"/>
    <w:rsid w:val="00B27B19"/>
    <w:rsid w:val="00B30091"/>
    <w:rsid w:val="00B30B7C"/>
    <w:rsid w:val="00B30FDE"/>
    <w:rsid w:val="00B3256A"/>
    <w:rsid w:val="00B33A91"/>
    <w:rsid w:val="00B36AF8"/>
    <w:rsid w:val="00B41B41"/>
    <w:rsid w:val="00B47E84"/>
    <w:rsid w:val="00B521D1"/>
    <w:rsid w:val="00B531B6"/>
    <w:rsid w:val="00B55012"/>
    <w:rsid w:val="00B56FCC"/>
    <w:rsid w:val="00B616B4"/>
    <w:rsid w:val="00B621FD"/>
    <w:rsid w:val="00B62716"/>
    <w:rsid w:val="00B644A7"/>
    <w:rsid w:val="00B64CEF"/>
    <w:rsid w:val="00B710A8"/>
    <w:rsid w:val="00B75D35"/>
    <w:rsid w:val="00B8258E"/>
    <w:rsid w:val="00B85C36"/>
    <w:rsid w:val="00B85DA6"/>
    <w:rsid w:val="00B920AD"/>
    <w:rsid w:val="00B94128"/>
    <w:rsid w:val="00B96042"/>
    <w:rsid w:val="00B962B5"/>
    <w:rsid w:val="00BA41F5"/>
    <w:rsid w:val="00BA64C0"/>
    <w:rsid w:val="00BB1032"/>
    <w:rsid w:val="00BB1D69"/>
    <w:rsid w:val="00BB27EE"/>
    <w:rsid w:val="00BB2E02"/>
    <w:rsid w:val="00BC3BF2"/>
    <w:rsid w:val="00BC4140"/>
    <w:rsid w:val="00BC4893"/>
    <w:rsid w:val="00BD5772"/>
    <w:rsid w:val="00BD6089"/>
    <w:rsid w:val="00BD626B"/>
    <w:rsid w:val="00BE0C56"/>
    <w:rsid w:val="00BE4338"/>
    <w:rsid w:val="00BE48D1"/>
    <w:rsid w:val="00BE494F"/>
    <w:rsid w:val="00BE5D61"/>
    <w:rsid w:val="00BF283B"/>
    <w:rsid w:val="00BF6630"/>
    <w:rsid w:val="00BF7FC6"/>
    <w:rsid w:val="00C0054A"/>
    <w:rsid w:val="00C01CB3"/>
    <w:rsid w:val="00C05A7C"/>
    <w:rsid w:val="00C07F79"/>
    <w:rsid w:val="00C11D06"/>
    <w:rsid w:val="00C11FB9"/>
    <w:rsid w:val="00C15059"/>
    <w:rsid w:val="00C20111"/>
    <w:rsid w:val="00C21940"/>
    <w:rsid w:val="00C219E9"/>
    <w:rsid w:val="00C2325F"/>
    <w:rsid w:val="00C239AE"/>
    <w:rsid w:val="00C23C5F"/>
    <w:rsid w:val="00C248D7"/>
    <w:rsid w:val="00C307DF"/>
    <w:rsid w:val="00C30E08"/>
    <w:rsid w:val="00C31B63"/>
    <w:rsid w:val="00C37175"/>
    <w:rsid w:val="00C3792D"/>
    <w:rsid w:val="00C40527"/>
    <w:rsid w:val="00C427C9"/>
    <w:rsid w:val="00C43A22"/>
    <w:rsid w:val="00C440EB"/>
    <w:rsid w:val="00C50D6E"/>
    <w:rsid w:val="00C53410"/>
    <w:rsid w:val="00C618EE"/>
    <w:rsid w:val="00C63B13"/>
    <w:rsid w:val="00C67FD6"/>
    <w:rsid w:val="00C7219D"/>
    <w:rsid w:val="00C72577"/>
    <w:rsid w:val="00C72B12"/>
    <w:rsid w:val="00C74606"/>
    <w:rsid w:val="00C7527E"/>
    <w:rsid w:val="00C764DC"/>
    <w:rsid w:val="00C80353"/>
    <w:rsid w:val="00C81E0C"/>
    <w:rsid w:val="00C821EA"/>
    <w:rsid w:val="00C83B4E"/>
    <w:rsid w:val="00C92118"/>
    <w:rsid w:val="00C92616"/>
    <w:rsid w:val="00C92CC5"/>
    <w:rsid w:val="00C93166"/>
    <w:rsid w:val="00C9357A"/>
    <w:rsid w:val="00CA27AC"/>
    <w:rsid w:val="00CA3AB1"/>
    <w:rsid w:val="00CB1179"/>
    <w:rsid w:val="00CB3812"/>
    <w:rsid w:val="00CB3A90"/>
    <w:rsid w:val="00CB5F19"/>
    <w:rsid w:val="00CB7176"/>
    <w:rsid w:val="00CB76D2"/>
    <w:rsid w:val="00CC0B6F"/>
    <w:rsid w:val="00CC3EB0"/>
    <w:rsid w:val="00CC54EC"/>
    <w:rsid w:val="00CD0289"/>
    <w:rsid w:val="00CD1BF8"/>
    <w:rsid w:val="00CD253C"/>
    <w:rsid w:val="00CD27BA"/>
    <w:rsid w:val="00CD2950"/>
    <w:rsid w:val="00CD71DE"/>
    <w:rsid w:val="00CE44D7"/>
    <w:rsid w:val="00CE56FF"/>
    <w:rsid w:val="00CE674A"/>
    <w:rsid w:val="00CF1EAF"/>
    <w:rsid w:val="00CF4D2F"/>
    <w:rsid w:val="00CF5570"/>
    <w:rsid w:val="00CF68E7"/>
    <w:rsid w:val="00D0019D"/>
    <w:rsid w:val="00D03768"/>
    <w:rsid w:val="00D05878"/>
    <w:rsid w:val="00D2102C"/>
    <w:rsid w:val="00D23868"/>
    <w:rsid w:val="00D25DE8"/>
    <w:rsid w:val="00D27227"/>
    <w:rsid w:val="00D32C93"/>
    <w:rsid w:val="00D347B8"/>
    <w:rsid w:val="00D349B5"/>
    <w:rsid w:val="00D361E9"/>
    <w:rsid w:val="00D363B0"/>
    <w:rsid w:val="00D404F0"/>
    <w:rsid w:val="00D4096D"/>
    <w:rsid w:val="00D43B1B"/>
    <w:rsid w:val="00D501D3"/>
    <w:rsid w:val="00D524A9"/>
    <w:rsid w:val="00D5277C"/>
    <w:rsid w:val="00D531F0"/>
    <w:rsid w:val="00D56129"/>
    <w:rsid w:val="00D60EA6"/>
    <w:rsid w:val="00D60F20"/>
    <w:rsid w:val="00D626EF"/>
    <w:rsid w:val="00D62D2C"/>
    <w:rsid w:val="00D62E28"/>
    <w:rsid w:val="00D64EC8"/>
    <w:rsid w:val="00D671C6"/>
    <w:rsid w:val="00D67F6F"/>
    <w:rsid w:val="00D702BA"/>
    <w:rsid w:val="00D711AC"/>
    <w:rsid w:val="00D73E82"/>
    <w:rsid w:val="00D77809"/>
    <w:rsid w:val="00D77FBF"/>
    <w:rsid w:val="00D80EBE"/>
    <w:rsid w:val="00D827B3"/>
    <w:rsid w:val="00D84CC5"/>
    <w:rsid w:val="00D85F42"/>
    <w:rsid w:val="00D874A5"/>
    <w:rsid w:val="00D87F73"/>
    <w:rsid w:val="00D91618"/>
    <w:rsid w:val="00D95126"/>
    <w:rsid w:val="00D9557A"/>
    <w:rsid w:val="00D96966"/>
    <w:rsid w:val="00D97626"/>
    <w:rsid w:val="00DA0A1D"/>
    <w:rsid w:val="00DA1760"/>
    <w:rsid w:val="00DA3E4A"/>
    <w:rsid w:val="00DA4A7A"/>
    <w:rsid w:val="00DA55CC"/>
    <w:rsid w:val="00DB32D6"/>
    <w:rsid w:val="00DB5FC4"/>
    <w:rsid w:val="00DB7ACD"/>
    <w:rsid w:val="00DC05FB"/>
    <w:rsid w:val="00DC1234"/>
    <w:rsid w:val="00DC1D36"/>
    <w:rsid w:val="00DC1EB8"/>
    <w:rsid w:val="00DC2175"/>
    <w:rsid w:val="00DC286A"/>
    <w:rsid w:val="00DC78FD"/>
    <w:rsid w:val="00DD1BC2"/>
    <w:rsid w:val="00DD2459"/>
    <w:rsid w:val="00DD2F72"/>
    <w:rsid w:val="00DD3918"/>
    <w:rsid w:val="00DD3AC9"/>
    <w:rsid w:val="00DD4BB7"/>
    <w:rsid w:val="00DD51B8"/>
    <w:rsid w:val="00DD567A"/>
    <w:rsid w:val="00DE2CCD"/>
    <w:rsid w:val="00DE42D0"/>
    <w:rsid w:val="00DE6411"/>
    <w:rsid w:val="00DF0A27"/>
    <w:rsid w:val="00DF1BB7"/>
    <w:rsid w:val="00DF2311"/>
    <w:rsid w:val="00DF3141"/>
    <w:rsid w:val="00DF572E"/>
    <w:rsid w:val="00E00014"/>
    <w:rsid w:val="00E014BC"/>
    <w:rsid w:val="00E03776"/>
    <w:rsid w:val="00E04708"/>
    <w:rsid w:val="00E05F37"/>
    <w:rsid w:val="00E071A0"/>
    <w:rsid w:val="00E07995"/>
    <w:rsid w:val="00E079E6"/>
    <w:rsid w:val="00E104F7"/>
    <w:rsid w:val="00E10FCC"/>
    <w:rsid w:val="00E13164"/>
    <w:rsid w:val="00E13B78"/>
    <w:rsid w:val="00E1482A"/>
    <w:rsid w:val="00E156F9"/>
    <w:rsid w:val="00E15C10"/>
    <w:rsid w:val="00E21497"/>
    <w:rsid w:val="00E22D75"/>
    <w:rsid w:val="00E26AA6"/>
    <w:rsid w:val="00E27960"/>
    <w:rsid w:val="00E30BB8"/>
    <w:rsid w:val="00E32BD5"/>
    <w:rsid w:val="00E361D9"/>
    <w:rsid w:val="00E431EA"/>
    <w:rsid w:val="00E478A9"/>
    <w:rsid w:val="00E516A9"/>
    <w:rsid w:val="00E519B3"/>
    <w:rsid w:val="00E52E7B"/>
    <w:rsid w:val="00E5311D"/>
    <w:rsid w:val="00E5420C"/>
    <w:rsid w:val="00E54BD9"/>
    <w:rsid w:val="00E54EBA"/>
    <w:rsid w:val="00E56100"/>
    <w:rsid w:val="00E57528"/>
    <w:rsid w:val="00E575B2"/>
    <w:rsid w:val="00E60625"/>
    <w:rsid w:val="00E608E7"/>
    <w:rsid w:val="00E621D4"/>
    <w:rsid w:val="00E634DD"/>
    <w:rsid w:val="00E65793"/>
    <w:rsid w:val="00E66865"/>
    <w:rsid w:val="00E72D3E"/>
    <w:rsid w:val="00E73FBA"/>
    <w:rsid w:val="00E75EFA"/>
    <w:rsid w:val="00E81674"/>
    <w:rsid w:val="00E82EB3"/>
    <w:rsid w:val="00E83630"/>
    <w:rsid w:val="00E84F1B"/>
    <w:rsid w:val="00E852C5"/>
    <w:rsid w:val="00E8611D"/>
    <w:rsid w:val="00E87BF3"/>
    <w:rsid w:val="00E90D01"/>
    <w:rsid w:val="00E9287A"/>
    <w:rsid w:val="00E932D9"/>
    <w:rsid w:val="00E94652"/>
    <w:rsid w:val="00E94CD0"/>
    <w:rsid w:val="00EA24F9"/>
    <w:rsid w:val="00EA29BC"/>
    <w:rsid w:val="00EA74B8"/>
    <w:rsid w:val="00EB0C62"/>
    <w:rsid w:val="00EB45FB"/>
    <w:rsid w:val="00EB5211"/>
    <w:rsid w:val="00EB6788"/>
    <w:rsid w:val="00EB6D60"/>
    <w:rsid w:val="00EB79F2"/>
    <w:rsid w:val="00EC07D9"/>
    <w:rsid w:val="00EC1683"/>
    <w:rsid w:val="00EC2BC2"/>
    <w:rsid w:val="00EC58AE"/>
    <w:rsid w:val="00EC7DD2"/>
    <w:rsid w:val="00ED064F"/>
    <w:rsid w:val="00ED338F"/>
    <w:rsid w:val="00ED3DEB"/>
    <w:rsid w:val="00ED44EC"/>
    <w:rsid w:val="00ED4E17"/>
    <w:rsid w:val="00ED4EA7"/>
    <w:rsid w:val="00ED7183"/>
    <w:rsid w:val="00EE2B5B"/>
    <w:rsid w:val="00EF1B39"/>
    <w:rsid w:val="00EF35DA"/>
    <w:rsid w:val="00EF39AE"/>
    <w:rsid w:val="00EF4429"/>
    <w:rsid w:val="00EF5E25"/>
    <w:rsid w:val="00F00E97"/>
    <w:rsid w:val="00F06018"/>
    <w:rsid w:val="00F06185"/>
    <w:rsid w:val="00F061F7"/>
    <w:rsid w:val="00F1550F"/>
    <w:rsid w:val="00F15637"/>
    <w:rsid w:val="00F162C7"/>
    <w:rsid w:val="00F208A4"/>
    <w:rsid w:val="00F21B90"/>
    <w:rsid w:val="00F23128"/>
    <w:rsid w:val="00F231E0"/>
    <w:rsid w:val="00F24608"/>
    <w:rsid w:val="00F252B9"/>
    <w:rsid w:val="00F263C2"/>
    <w:rsid w:val="00F269D5"/>
    <w:rsid w:val="00F34324"/>
    <w:rsid w:val="00F34FF1"/>
    <w:rsid w:val="00F36E38"/>
    <w:rsid w:val="00F37156"/>
    <w:rsid w:val="00F410F7"/>
    <w:rsid w:val="00F458F0"/>
    <w:rsid w:val="00F47B8E"/>
    <w:rsid w:val="00F5092B"/>
    <w:rsid w:val="00F52FC1"/>
    <w:rsid w:val="00F5594F"/>
    <w:rsid w:val="00F55FFF"/>
    <w:rsid w:val="00F5641B"/>
    <w:rsid w:val="00F57FC2"/>
    <w:rsid w:val="00F6174E"/>
    <w:rsid w:val="00F61BA8"/>
    <w:rsid w:val="00F64936"/>
    <w:rsid w:val="00F64D10"/>
    <w:rsid w:val="00F64DB6"/>
    <w:rsid w:val="00F66FDF"/>
    <w:rsid w:val="00F67113"/>
    <w:rsid w:val="00F7050C"/>
    <w:rsid w:val="00F70C29"/>
    <w:rsid w:val="00F72564"/>
    <w:rsid w:val="00F73958"/>
    <w:rsid w:val="00F73B3C"/>
    <w:rsid w:val="00F764F8"/>
    <w:rsid w:val="00F768C9"/>
    <w:rsid w:val="00F779F8"/>
    <w:rsid w:val="00F82CFC"/>
    <w:rsid w:val="00F85611"/>
    <w:rsid w:val="00F85D8A"/>
    <w:rsid w:val="00F87FF6"/>
    <w:rsid w:val="00F903A8"/>
    <w:rsid w:val="00FA0129"/>
    <w:rsid w:val="00FA19D9"/>
    <w:rsid w:val="00FA5979"/>
    <w:rsid w:val="00FA6CB3"/>
    <w:rsid w:val="00FA700F"/>
    <w:rsid w:val="00FA77AD"/>
    <w:rsid w:val="00FB18A5"/>
    <w:rsid w:val="00FB2633"/>
    <w:rsid w:val="00FB36B7"/>
    <w:rsid w:val="00FB3CC3"/>
    <w:rsid w:val="00FB6A58"/>
    <w:rsid w:val="00FB7493"/>
    <w:rsid w:val="00FC028E"/>
    <w:rsid w:val="00FC0E34"/>
    <w:rsid w:val="00FC359C"/>
    <w:rsid w:val="00FC39E6"/>
    <w:rsid w:val="00FC71B4"/>
    <w:rsid w:val="00FC7567"/>
    <w:rsid w:val="00FD0CB9"/>
    <w:rsid w:val="00FD2986"/>
    <w:rsid w:val="00FD60F2"/>
    <w:rsid w:val="00FD62F6"/>
    <w:rsid w:val="00FE0896"/>
    <w:rsid w:val="00FE0FC4"/>
    <w:rsid w:val="00FE1AAB"/>
    <w:rsid w:val="00FE4CFE"/>
    <w:rsid w:val="00FE5103"/>
    <w:rsid w:val="00FF257E"/>
    <w:rsid w:val="00FF44B1"/>
    <w:rsid w:val="00FF49AC"/>
    <w:rsid w:val="00FF4D3F"/>
    <w:rsid w:val="00FF5368"/>
    <w:rsid w:val="00FF6384"/>
    <w:rsid w:val="00FF6D23"/>
    <w:rsid w:val="04772265"/>
    <w:rsid w:val="0A45E27C"/>
    <w:rsid w:val="11F35245"/>
    <w:rsid w:val="17575753"/>
    <w:rsid w:val="2604A81E"/>
    <w:rsid w:val="410AE336"/>
    <w:rsid w:val="5465A504"/>
    <w:rsid w:val="58CB4FE3"/>
    <w:rsid w:val="5FAD32C6"/>
    <w:rsid w:val="60C81FB1"/>
    <w:rsid w:val="790C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ABB7"/>
  <w15:chartTrackingRefBased/>
  <w15:docId w15:val="{47948DA1-3135-4730-B7CE-C31ED1C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1B"/>
  </w:style>
  <w:style w:type="paragraph" w:styleId="Heading1">
    <w:name w:val="heading 1"/>
    <w:basedOn w:val="Normal"/>
    <w:next w:val="Normal"/>
    <w:link w:val="Heading1Char"/>
    <w:uiPriority w:val="9"/>
    <w:qFormat/>
    <w:rsid w:val="00691B08"/>
    <w:pPr>
      <w:keepNext/>
      <w:keepLines/>
      <w:numPr>
        <w:numId w:val="19"/>
      </w:numPr>
      <w:spacing w:before="240" w:after="0"/>
      <w:outlineLvl w:val="0"/>
    </w:pPr>
    <w:rPr>
      <w:rFonts w:asciiTheme="majorHAnsi" w:eastAsiaTheme="majorEastAsia" w:hAnsiTheme="majorHAnsi" w:cstheme="majorBidi"/>
      <w:color w:val="005596" w:themeColor="text2"/>
      <w:sz w:val="32"/>
      <w:szCs w:val="32"/>
    </w:rPr>
  </w:style>
  <w:style w:type="paragraph" w:styleId="Heading2">
    <w:name w:val="heading 2"/>
    <w:basedOn w:val="Normal"/>
    <w:next w:val="Normal"/>
    <w:link w:val="Heading2Char"/>
    <w:uiPriority w:val="9"/>
    <w:unhideWhenUsed/>
    <w:qFormat/>
    <w:rsid w:val="00691B08"/>
    <w:pPr>
      <w:keepNext/>
      <w:keepLines/>
      <w:numPr>
        <w:ilvl w:val="1"/>
        <w:numId w:val="19"/>
      </w:numPr>
      <w:spacing w:before="40" w:after="0"/>
      <w:outlineLvl w:val="1"/>
    </w:pPr>
    <w:rPr>
      <w:rFonts w:asciiTheme="majorHAnsi" w:eastAsiaTheme="majorEastAsia" w:hAnsiTheme="majorHAnsi" w:cstheme="majorBidi"/>
      <w:color w:val="005596" w:themeColor="text2"/>
      <w:sz w:val="26"/>
      <w:szCs w:val="26"/>
    </w:rPr>
  </w:style>
  <w:style w:type="paragraph" w:styleId="Heading3">
    <w:name w:val="heading 3"/>
    <w:basedOn w:val="Normal"/>
    <w:next w:val="Normal"/>
    <w:link w:val="Heading3Char"/>
    <w:uiPriority w:val="9"/>
    <w:unhideWhenUsed/>
    <w:qFormat/>
    <w:rsid w:val="00691B08"/>
    <w:pPr>
      <w:keepNext/>
      <w:keepLines/>
      <w:numPr>
        <w:ilvl w:val="2"/>
        <w:numId w:val="19"/>
      </w:numPr>
      <w:spacing w:before="40" w:after="0"/>
      <w:outlineLvl w:val="2"/>
    </w:pPr>
    <w:rPr>
      <w:rFonts w:asciiTheme="majorHAnsi" w:eastAsiaTheme="majorEastAsia" w:hAnsiTheme="majorHAnsi" w:cstheme="majorBidi"/>
      <w:color w:val="0066B6" w:themeColor="accent1" w:themeShade="7F"/>
      <w:sz w:val="24"/>
      <w:szCs w:val="24"/>
    </w:rPr>
  </w:style>
  <w:style w:type="paragraph" w:styleId="Heading4">
    <w:name w:val="heading 4"/>
    <w:basedOn w:val="Normal"/>
    <w:next w:val="Normal"/>
    <w:link w:val="Heading4Char"/>
    <w:uiPriority w:val="9"/>
    <w:unhideWhenUsed/>
    <w:qFormat/>
    <w:rsid w:val="00691B08"/>
    <w:pPr>
      <w:keepNext/>
      <w:keepLines/>
      <w:numPr>
        <w:ilvl w:val="3"/>
        <w:numId w:val="19"/>
      </w:numPr>
      <w:spacing w:before="40" w:after="0"/>
      <w:outlineLvl w:val="3"/>
    </w:pPr>
    <w:rPr>
      <w:rFonts w:asciiTheme="majorHAnsi" w:eastAsiaTheme="majorEastAsia" w:hAnsiTheme="majorHAnsi" w:cstheme="majorBidi"/>
      <w:iCs/>
      <w:color w:val="1397FF" w:themeColor="accent1" w:themeShade="BF"/>
    </w:rPr>
  </w:style>
  <w:style w:type="paragraph" w:styleId="Heading5">
    <w:name w:val="heading 5"/>
    <w:basedOn w:val="Normal"/>
    <w:next w:val="Normal"/>
    <w:link w:val="Heading5Char"/>
    <w:uiPriority w:val="9"/>
    <w:unhideWhenUsed/>
    <w:qFormat/>
    <w:rsid w:val="00691B08"/>
    <w:pPr>
      <w:keepNext/>
      <w:keepLines/>
      <w:numPr>
        <w:ilvl w:val="4"/>
        <w:numId w:val="19"/>
      </w:numPr>
      <w:spacing w:before="40" w:after="0"/>
      <w:outlineLvl w:val="4"/>
    </w:pPr>
    <w:rPr>
      <w:rFonts w:asciiTheme="majorHAnsi" w:eastAsiaTheme="majorEastAsia" w:hAnsiTheme="majorHAnsi" w:cstheme="majorBidi"/>
      <w:color w:val="005596" w:themeColor="text2"/>
      <w:sz w:val="32"/>
      <w:szCs w:val="32"/>
    </w:rPr>
  </w:style>
  <w:style w:type="paragraph" w:styleId="Heading6">
    <w:name w:val="heading 6"/>
    <w:basedOn w:val="Normal"/>
    <w:next w:val="Normal"/>
    <w:link w:val="Heading6Char"/>
    <w:uiPriority w:val="9"/>
    <w:unhideWhenUsed/>
    <w:qFormat/>
    <w:rsid w:val="00691B08"/>
    <w:pPr>
      <w:keepNext/>
      <w:keepLines/>
      <w:numPr>
        <w:ilvl w:val="5"/>
        <w:numId w:val="19"/>
      </w:numPr>
      <w:spacing w:before="40" w:after="0"/>
      <w:outlineLvl w:val="5"/>
    </w:pPr>
    <w:rPr>
      <w:rFonts w:asciiTheme="majorHAnsi" w:eastAsiaTheme="majorEastAsia" w:hAnsiTheme="majorHAnsi" w:cstheme="majorBidi"/>
      <w:color w:val="005596" w:themeColor="text2"/>
      <w:sz w:val="32"/>
      <w:szCs w:val="32"/>
    </w:rPr>
  </w:style>
  <w:style w:type="paragraph" w:styleId="Heading7">
    <w:name w:val="heading 7"/>
    <w:basedOn w:val="Normal"/>
    <w:next w:val="Normal"/>
    <w:link w:val="Heading7Char"/>
    <w:uiPriority w:val="9"/>
    <w:unhideWhenUsed/>
    <w:qFormat/>
    <w:rsid w:val="00691B08"/>
    <w:pPr>
      <w:keepNext/>
      <w:keepLines/>
      <w:numPr>
        <w:ilvl w:val="6"/>
        <w:numId w:val="19"/>
      </w:numPr>
      <w:spacing w:before="40" w:after="0"/>
      <w:outlineLvl w:val="6"/>
    </w:pPr>
    <w:rPr>
      <w:rFonts w:asciiTheme="majorHAnsi" w:eastAsiaTheme="majorEastAsia" w:hAnsiTheme="majorHAnsi" w:cstheme="majorBidi"/>
      <w:iCs/>
      <w:color w:val="005596" w:themeColor="text2"/>
      <w:sz w:val="26"/>
      <w:szCs w:val="26"/>
    </w:rPr>
  </w:style>
  <w:style w:type="paragraph" w:styleId="Heading8">
    <w:name w:val="heading 8"/>
    <w:basedOn w:val="Normal"/>
    <w:next w:val="Normal"/>
    <w:link w:val="Heading8Char"/>
    <w:uiPriority w:val="9"/>
    <w:unhideWhenUsed/>
    <w:qFormat/>
    <w:rsid w:val="00691B08"/>
    <w:pPr>
      <w:keepNext/>
      <w:keepLines/>
      <w:numPr>
        <w:ilvl w:val="7"/>
        <w:numId w:val="19"/>
      </w:numPr>
      <w:spacing w:before="40" w:after="0"/>
      <w:outlineLvl w:val="7"/>
    </w:pPr>
    <w:rPr>
      <w:rFonts w:asciiTheme="majorHAnsi" w:eastAsiaTheme="majorEastAsia" w:hAnsiTheme="majorHAnsi" w:cstheme="majorBidi"/>
      <w:color w:val="005596" w:themeColor="text2"/>
      <w:sz w:val="24"/>
      <w:szCs w:val="24"/>
    </w:rPr>
  </w:style>
  <w:style w:type="paragraph" w:styleId="Heading9">
    <w:name w:val="heading 9"/>
    <w:basedOn w:val="Normal"/>
    <w:next w:val="Normal"/>
    <w:link w:val="Heading9Char"/>
    <w:uiPriority w:val="9"/>
    <w:unhideWhenUsed/>
    <w:qFormat/>
    <w:rsid w:val="00691B08"/>
    <w:pPr>
      <w:keepNext/>
      <w:keepLines/>
      <w:numPr>
        <w:ilvl w:val="8"/>
        <w:numId w:val="19"/>
      </w:numPr>
      <w:spacing w:before="40" w:after="0"/>
      <w:outlineLvl w:val="8"/>
    </w:pPr>
    <w:rPr>
      <w:rFonts w:asciiTheme="majorHAnsi" w:eastAsiaTheme="majorEastAsia" w:hAnsiTheme="majorHAnsi" w:cstheme="majorBidi"/>
      <w:iCs/>
      <w:color w:val="1397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08"/>
    <w:rPr>
      <w:rFonts w:asciiTheme="majorHAnsi" w:eastAsiaTheme="majorEastAsia" w:hAnsiTheme="majorHAnsi" w:cstheme="majorBidi"/>
      <w:color w:val="005596" w:themeColor="text2"/>
      <w:sz w:val="32"/>
      <w:szCs w:val="32"/>
    </w:rPr>
  </w:style>
  <w:style w:type="character" w:customStyle="1" w:styleId="Heading2Char">
    <w:name w:val="Heading 2 Char"/>
    <w:basedOn w:val="DefaultParagraphFont"/>
    <w:link w:val="Heading2"/>
    <w:uiPriority w:val="9"/>
    <w:rsid w:val="00691B08"/>
    <w:rPr>
      <w:rFonts w:asciiTheme="majorHAnsi" w:eastAsiaTheme="majorEastAsia" w:hAnsiTheme="majorHAnsi" w:cstheme="majorBidi"/>
      <w:color w:val="005596" w:themeColor="text2"/>
      <w:sz w:val="26"/>
      <w:szCs w:val="26"/>
    </w:rPr>
  </w:style>
  <w:style w:type="character" w:customStyle="1" w:styleId="Heading3Char">
    <w:name w:val="Heading 3 Char"/>
    <w:basedOn w:val="DefaultParagraphFont"/>
    <w:link w:val="Heading3"/>
    <w:uiPriority w:val="9"/>
    <w:rsid w:val="00691B08"/>
    <w:rPr>
      <w:rFonts w:asciiTheme="majorHAnsi" w:eastAsiaTheme="majorEastAsia" w:hAnsiTheme="majorHAnsi" w:cstheme="majorBidi"/>
      <w:color w:val="0066B6" w:themeColor="accent1" w:themeShade="7F"/>
      <w:sz w:val="24"/>
      <w:szCs w:val="24"/>
    </w:rPr>
  </w:style>
  <w:style w:type="character" w:customStyle="1" w:styleId="Heading4Char">
    <w:name w:val="Heading 4 Char"/>
    <w:basedOn w:val="DefaultParagraphFont"/>
    <w:link w:val="Heading4"/>
    <w:uiPriority w:val="9"/>
    <w:rsid w:val="00691B08"/>
    <w:rPr>
      <w:rFonts w:asciiTheme="majorHAnsi" w:eastAsiaTheme="majorEastAsia" w:hAnsiTheme="majorHAnsi" w:cstheme="majorBidi"/>
      <w:iCs/>
      <w:color w:val="1397FF" w:themeColor="accent1" w:themeShade="BF"/>
    </w:rPr>
  </w:style>
  <w:style w:type="character" w:customStyle="1" w:styleId="Heading5Char">
    <w:name w:val="Heading 5 Char"/>
    <w:basedOn w:val="DefaultParagraphFont"/>
    <w:link w:val="Heading5"/>
    <w:uiPriority w:val="9"/>
    <w:rsid w:val="00691B08"/>
    <w:rPr>
      <w:rFonts w:asciiTheme="majorHAnsi" w:eastAsiaTheme="majorEastAsia" w:hAnsiTheme="majorHAnsi" w:cstheme="majorBidi"/>
      <w:color w:val="005596" w:themeColor="text2"/>
      <w:sz w:val="32"/>
      <w:szCs w:val="32"/>
    </w:rPr>
  </w:style>
  <w:style w:type="character" w:customStyle="1" w:styleId="Heading6Char">
    <w:name w:val="Heading 6 Char"/>
    <w:basedOn w:val="DefaultParagraphFont"/>
    <w:link w:val="Heading6"/>
    <w:uiPriority w:val="9"/>
    <w:rsid w:val="00691B08"/>
    <w:rPr>
      <w:rFonts w:asciiTheme="majorHAnsi" w:eastAsiaTheme="majorEastAsia" w:hAnsiTheme="majorHAnsi" w:cstheme="majorBidi"/>
      <w:color w:val="005596" w:themeColor="text2"/>
      <w:sz w:val="32"/>
      <w:szCs w:val="32"/>
    </w:rPr>
  </w:style>
  <w:style w:type="character" w:customStyle="1" w:styleId="Heading7Char">
    <w:name w:val="Heading 7 Char"/>
    <w:basedOn w:val="DefaultParagraphFont"/>
    <w:link w:val="Heading7"/>
    <w:uiPriority w:val="9"/>
    <w:rsid w:val="00691B08"/>
    <w:rPr>
      <w:rFonts w:asciiTheme="majorHAnsi" w:eastAsiaTheme="majorEastAsia" w:hAnsiTheme="majorHAnsi" w:cstheme="majorBidi"/>
      <w:iCs/>
      <w:color w:val="005596" w:themeColor="text2"/>
      <w:sz w:val="26"/>
      <w:szCs w:val="26"/>
    </w:rPr>
  </w:style>
  <w:style w:type="character" w:customStyle="1" w:styleId="Heading8Char">
    <w:name w:val="Heading 8 Char"/>
    <w:basedOn w:val="DefaultParagraphFont"/>
    <w:link w:val="Heading8"/>
    <w:uiPriority w:val="9"/>
    <w:rsid w:val="00691B08"/>
    <w:rPr>
      <w:rFonts w:asciiTheme="majorHAnsi" w:eastAsiaTheme="majorEastAsia" w:hAnsiTheme="majorHAnsi" w:cstheme="majorBidi"/>
      <w:color w:val="005596" w:themeColor="text2"/>
      <w:sz w:val="24"/>
      <w:szCs w:val="24"/>
    </w:rPr>
  </w:style>
  <w:style w:type="character" w:customStyle="1" w:styleId="Heading9Char">
    <w:name w:val="Heading 9 Char"/>
    <w:basedOn w:val="DefaultParagraphFont"/>
    <w:link w:val="Heading9"/>
    <w:uiPriority w:val="9"/>
    <w:rsid w:val="00691B08"/>
    <w:rPr>
      <w:rFonts w:asciiTheme="majorHAnsi" w:eastAsiaTheme="majorEastAsia" w:hAnsiTheme="majorHAnsi" w:cstheme="majorBidi"/>
      <w:iCs/>
      <w:color w:val="1397FF" w:themeColor="accent1" w:themeShade="BF"/>
    </w:rPr>
  </w:style>
  <w:style w:type="paragraph" w:styleId="Header">
    <w:name w:val="header"/>
    <w:basedOn w:val="Normal"/>
    <w:link w:val="HeaderChar"/>
    <w:uiPriority w:val="99"/>
    <w:unhideWhenUsed/>
    <w:rsid w:val="00F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B3"/>
  </w:style>
  <w:style w:type="paragraph" w:styleId="Footer">
    <w:name w:val="footer"/>
    <w:basedOn w:val="Normal"/>
    <w:link w:val="FooterChar"/>
    <w:uiPriority w:val="99"/>
    <w:unhideWhenUsed/>
    <w:rsid w:val="00F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B3"/>
  </w:style>
  <w:style w:type="paragraph" w:styleId="TOC1">
    <w:name w:val="toc 1"/>
    <w:basedOn w:val="Normal"/>
    <w:next w:val="Normal"/>
    <w:autoRedefine/>
    <w:uiPriority w:val="39"/>
    <w:unhideWhenUsed/>
    <w:rsid w:val="00691B08"/>
    <w:pPr>
      <w:spacing w:before="120" w:after="120"/>
    </w:pPr>
    <w:rPr>
      <w:b/>
      <w:bCs/>
      <w:caps/>
      <w:sz w:val="20"/>
      <w:szCs w:val="20"/>
    </w:rPr>
  </w:style>
  <w:style w:type="paragraph" w:styleId="TOC2">
    <w:name w:val="toc 2"/>
    <w:basedOn w:val="Normal"/>
    <w:next w:val="Normal"/>
    <w:autoRedefine/>
    <w:uiPriority w:val="39"/>
    <w:unhideWhenUsed/>
    <w:rsid w:val="00691B08"/>
    <w:pPr>
      <w:spacing w:after="0"/>
      <w:ind w:left="220"/>
    </w:pPr>
    <w:rPr>
      <w:smallCaps/>
      <w:sz w:val="20"/>
      <w:szCs w:val="20"/>
    </w:rPr>
  </w:style>
  <w:style w:type="paragraph" w:styleId="TOC3">
    <w:name w:val="toc 3"/>
    <w:basedOn w:val="Normal"/>
    <w:next w:val="Normal"/>
    <w:autoRedefine/>
    <w:uiPriority w:val="39"/>
    <w:unhideWhenUsed/>
    <w:rsid w:val="00691B08"/>
    <w:pPr>
      <w:spacing w:after="0"/>
      <w:ind w:left="440"/>
    </w:pPr>
    <w:rPr>
      <w:i/>
      <w:iCs/>
      <w:sz w:val="20"/>
      <w:szCs w:val="20"/>
    </w:rPr>
  </w:style>
  <w:style w:type="paragraph" w:styleId="TOC4">
    <w:name w:val="toc 4"/>
    <w:basedOn w:val="Normal"/>
    <w:next w:val="Normal"/>
    <w:autoRedefine/>
    <w:uiPriority w:val="39"/>
    <w:unhideWhenUsed/>
    <w:rsid w:val="00691B08"/>
    <w:pPr>
      <w:spacing w:after="0"/>
      <w:ind w:left="660"/>
    </w:pPr>
    <w:rPr>
      <w:sz w:val="18"/>
      <w:szCs w:val="18"/>
    </w:rPr>
  </w:style>
  <w:style w:type="paragraph" w:styleId="TOC5">
    <w:name w:val="toc 5"/>
    <w:basedOn w:val="Normal"/>
    <w:next w:val="Normal"/>
    <w:autoRedefine/>
    <w:uiPriority w:val="39"/>
    <w:unhideWhenUsed/>
    <w:rsid w:val="00691B08"/>
    <w:pPr>
      <w:spacing w:after="0"/>
      <w:ind w:left="880"/>
    </w:pPr>
    <w:rPr>
      <w:sz w:val="18"/>
      <w:szCs w:val="18"/>
    </w:rPr>
  </w:style>
  <w:style w:type="paragraph" w:styleId="TOC6">
    <w:name w:val="toc 6"/>
    <w:basedOn w:val="Normal"/>
    <w:next w:val="Normal"/>
    <w:autoRedefine/>
    <w:uiPriority w:val="39"/>
    <w:unhideWhenUsed/>
    <w:rsid w:val="00691B08"/>
    <w:pPr>
      <w:spacing w:after="0"/>
      <w:ind w:left="1100"/>
    </w:pPr>
    <w:rPr>
      <w:sz w:val="18"/>
      <w:szCs w:val="18"/>
    </w:rPr>
  </w:style>
  <w:style w:type="paragraph" w:styleId="TOC7">
    <w:name w:val="toc 7"/>
    <w:basedOn w:val="Normal"/>
    <w:next w:val="Normal"/>
    <w:autoRedefine/>
    <w:uiPriority w:val="39"/>
    <w:unhideWhenUsed/>
    <w:rsid w:val="00691B08"/>
    <w:pPr>
      <w:spacing w:after="0"/>
      <w:ind w:left="1320"/>
    </w:pPr>
    <w:rPr>
      <w:sz w:val="18"/>
      <w:szCs w:val="18"/>
    </w:rPr>
  </w:style>
  <w:style w:type="paragraph" w:styleId="TOC8">
    <w:name w:val="toc 8"/>
    <w:basedOn w:val="Normal"/>
    <w:next w:val="Normal"/>
    <w:autoRedefine/>
    <w:uiPriority w:val="39"/>
    <w:unhideWhenUsed/>
    <w:rsid w:val="00691B08"/>
    <w:pPr>
      <w:spacing w:after="0"/>
      <w:ind w:left="1540"/>
    </w:pPr>
    <w:rPr>
      <w:sz w:val="18"/>
      <w:szCs w:val="18"/>
    </w:rPr>
  </w:style>
  <w:style w:type="paragraph" w:styleId="TOC9">
    <w:name w:val="toc 9"/>
    <w:basedOn w:val="Normal"/>
    <w:next w:val="Normal"/>
    <w:autoRedefine/>
    <w:uiPriority w:val="39"/>
    <w:unhideWhenUsed/>
    <w:rsid w:val="00691B08"/>
    <w:pPr>
      <w:spacing w:after="0"/>
      <w:ind w:left="1760"/>
    </w:pPr>
    <w:rPr>
      <w:sz w:val="18"/>
      <w:szCs w:val="18"/>
    </w:rPr>
  </w:style>
  <w:style w:type="character" w:styleId="Hyperlink">
    <w:name w:val="Hyperlink"/>
    <w:basedOn w:val="DefaultParagraphFont"/>
    <w:uiPriority w:val="99"/>
    <w:unhideWhenUsed/>
    <w:rsid w:val="00691B08"/>
    <w:rPr>
      <w:color w:val="0000FF" w:themeColor="hyperlink"/>
      <w:u w:val="single"/>
    </w:rPr>
  </w:style>
  <w:style w:type="paragraph" w:styleId="NoSpacing">
    <w:name w:val="No Spacing"/>
    <w:link w:val="NoSpacingChar"/>
    <w:uiPriority w:val="1"/>
    <w:qFormat/>
    <w:rsid w:val="00B621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21FD"/>
    <w:rPr>
      <w:rFonts w:eastAsiaTheme="minorEastAsia"/>
      <w:lang w:val="en-US"/>
    </w:rPr>
  </w:style>
  <w:style w:type="character" w:styleId="PlaceholderText">
    <w:name w:val="Placeholder Text"/>
    <w:basedOn w:val="DefaultParagraphFont"/>
    <w:uiPriority w:val="99"/>
    <w:semiHidden/>
    <w:rsid w:val="00B621FD"/>
    <w:rPr>
      <w:color w:val="808080"/>
    </w:rPr>
  </w:style>
  <w:style w:type="table" w:styleId="TableGrid">
    <w:name w:val="Table Grid"/>
    <w:basedOn w:val="Table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styleId="TableGridLight">
    <w:name w:val="Grid Table Light"/>
    <w:basedOn w:val="Table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2D10"/>
    <w:pPr>
      <w:ind w:left="720"/>
      <w:contextualSpacing/>
    </w:pPr>
  </w:style>
  <w:style w:type="paragraph" w:styleId="Caption">
    <w:name w:val="caption"/>
    <w:aliases w:val="Légende italique,RefDoc,ASSET_caption,topic,Legend,3559Caption, Char,Char,Didascalia Carattere1,Didascalia Carattere2 Carattere, Char Carattere Carattere1,Didascalia Carattere1 Carattere1 Carattere, Carattere Carattere1 Carattere,c"/>
    <w:basedOn w:val="Normal"/>
    <w:next w:val="Normal"/>
    <w:link w:val="CaptionChar"/>
    <w:unhideWhenUsed/>
    <w:qFormat/>
    <w:rsid w:val="00A43223"/>
    <w:pPr>
      <w:spacing w:after="200" w:line="240" w:lineRule="auto"/>
    </w:pPr>
    <w:rPr>
      <w:i/>
      <w:iCs/>
      <w:color w:val="005596" w:themeColor="text2"/>
      <w:sz w:val="18"/>
      <w:szCs w:val="18"/>
    </w:rPr>
  </w:style>
  <w:style w:type="paragraph" w:styleId="BalloonText">
    <w:name w:val="Balloon Text"/>
    <w:basedOn w:val="Normal"/>
    <w:link w:val="BalloonTextChar"/>
    <w:uiPriority w:val="99"/>
    <w:semiHidden/>
    <w:unhideWhenUsed/>
    <w:rsid w:val="001B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46"/>
    <w:rPr>
      <w:rFonts w:ascii="Segoe UI" w:hAnsi="Segoe UI" w:cs="Segoe UI"/>
      <w:sz w:val="18"/>
      <w:szCs w:val="18"/>
    </w:rPr>
  </w:style>
  <w:style w:type="character" w:styleId="CommentReference">
    <w:name w:val="annotation reference"/>
    <w:basedOn w:val="DefaultParagraphFont"/>
    <w:uiPriority w:val="99"/>
    <w:semiHidden/>
    <w:unhideWhenUsed/>
    <w:rsid w:val="00D9557A"/>
    <w:rPr>
      <w:sz w:val="16"/>
      <w:szCs w:val="16"/>
    </w:rPr>
  </w:style>
  <w:style w:type="paragraph" w:styleId="CommentText">
    <w:name w:val="annotation text"/>
    <w:basedOn w:val="Normal"/>
    <w:link w:val="CommentTextChar"/>
    <w:uiPriority w:val="99"/>
    <w:semiHidden/>
    <w:unhideWhenUsed/>
    <w:rsid w:val="00D9557A"/>
    <w:pPr>
      <w:spacing w:line="240" w:lineRule="auto"/>
    </w:pPr>
    <w:rPr>
      <w:sz w:val="20"/>
      <w:szCs w:val="20"/>
    </w:rPr>
  </w:style>
  <w:style w:type="character" w:customStyle="1" w:styleId="CommentTextChar">
    <w:name w:val="Comment Text Char"/>
    <w:basedOn w:val="DefaultParagraphFont"/>
    <w:link w:val="CommentText"/>
    <w:uiPriority w:val="99"/>
    <w:semiHidden/>
    <w:rsid w:val="00D9557A"/>
    <w:rPr>
      <w:sz w:val="20"/>
      <w:szCs w:val="20"/>
    </w:rPr>
  </w:style>
  <w:style w:type="paragraph" w:styleId="CommentSubject">
    <w:name w:val="annotation subject"/>
    <w:basedOn w:val="CommentText"/>
    <w:next w:val="CommentText"/>
    <w:link w:val="CommentSubjectChar"/>
    <w:uiPriority w:val="99"/>
    <w:semiHidden/>
    <w:unhideWhenUsed/>
    <w:rsid w:val="00D9557A"/>
    <w:rPr>
      <w:b/>
      <w:bCs/>
    </w:rPr>
  </w:style>
  <w:style w:type="character" w:customStyle="1" w:styleId="CommentSubjectChar">
    <w:name w:val="Comment Subject Char"/>
    <w:basedOn w:val="CommentTextChar"/>
    <w:link w:val="CommentSubject"/>
    <w:uiPriority w:val="99"/>
    <w:semiHidden/>
    <w:rsid w:val="00D9557A"/>
    <w:rPr>
      <w:b/>
      <w:bCs/>
      <w:sz w:val="20"/>
      <w:szCs w:val="20"/>
    </w:rPr>
  </w:style>
  <w:style w:type="character" w:customStyle="1" w:styleId="CaptionChar">
    <w:name w:val="Caption Char"/>
    <w:aliases w:val="Légende italique Char,RefDoc Char,ASSET_caption Char,topic Char,Legend Char,3559Caption Char, Char Char,Char Char,Didascalia Carattere1 Char,Didascalia Carattere2 Carattere Char, Char Carattere Carattere1 Char,c Char"/>
    <w:link w:val="Caption"/>
    <w:rsid w:val="008C5F32"/>
    <w:rPr>
      <w:i/>
      <w:iCs/>
      <w:color w:val="005596" w:themeColor="text2"/>
      <w:sz w:val="18"/>
      <w:szCs w:val="18"/>
    </w:rPr>
  </w:style>
  <w:style w:type="character" w:customStyle="1" w:styleId="UnresolvedMention1">
    <w:name w:val="Unresolved Mention1"/>
    <w:basedOn w:val="DefaultParagraphFont"/>
    <w:uiPriority w:val="99"/>
    <w:semiHidden/>
    <w:unhideWhenUsed/>
    <w:rsid w:val="008C5F32"/>
    <w:rPr>
      <w:color w:val="808080"/>
      <w:shd w:val="clear" w:color="auto" w:fill="E6E6E6"/>
    </w:rPr>
  </w:style>
  <w:style w:type="paragraph" w:customStyle="1" w:styleId="normalACRI">
    <w:name w:val="normal_ACRI"/>
    <w:basedOn w:val="Normal"/>
    <w:link w:val="normalACRICar"/>
    <w:qFormat/>
    <w:rsid w:val="002466BE"/>
    <w:pPr>
      <w:spacing w:before="240" w:after="120" w:line="240" w:lineRule="auto"/>
      <w:jc w:val="both"/>
    </w:pPr>
    <w:rPr>
      <w:rFonts w:ascii="Calibri" w:eastAsia="Times New Roman" w:hAnsi="Calibri" w:cs="Times New Roman"/>
      <w:sz w:val="24"/>
      <w:szCs w:val="20"/>
      <w:lang w:eastAsia="fr-BE"/>
    </w:rPr>
  </w:style>
  <w:style w:type="character" w:customStyle="1" w:styleId="normalACRICar">
    <w:name w:val="normal_ACRI Car"/>
    <w:link w:val="normalACRI"/>
    <w:rsid w:val="002466BE"/>
    <w:rPr>
      <w:rFonts w:ascii="Calibri" w:eastAsia="Times New Roman" w:hAnsi="Calibri" w:cs="Times New Roman"/>
      <w:sz w:val="24"/>
      <w:szCs w:val="20"/>
      <w:lang w:eastAsia="fr-BE"/>
    </w:rPr>
  </w:style>
  <w:style w:type="character" w:customStyle="1" w:styleId="st">
    <w:name w:val="st"/>
    <w:basedOn w:val="DefaultParagraphFont"/>
    <w:rsid w:val="00893BE1"/>
  </w:style>
  <w:style w:type="paragraph" w:styleId="Revision">
    <w:name w:val="Revision"/>
    <w:hidden/>
    <w:uiPriority w:val="99"/>
    <w:semiHidden/>
    <w:rsid w:val="001415DE"/>
    <w:pPr>
      <w:spacing w:after="0" w:line="240" w:lineRule="auto"/>
    </w:pPr>
  </w:style>
  <w:style w:type="character" w:customStyle="1" w:styleId="ilfuvd">
    <w:name w:val="ilfuvd"/>
    <w:basedOn w:val="DefaultParagraphFont"/>
    <w:rsid w:val="00FF49AC"/>
  </w:style>
  <w:style w:type="paragraph" w:styleId="TableofFigures">
    <w:name w:val="table of figures"/>
    <w:basedOn w:val="Normal"/>
    <w:next w:val="Normal"/>
    <w:uiPriority w:val="99"/>
    <w:unhideWhenUsed/>
    <w:rsid w:val="00816E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18713">
      <w:bodyDiv w:val="1"/>
      <w:marLeft w:val="0"/>
      <w:marRight w:val="0"/>
      <w:marTop w:val="0"/>
      <w:marBottom w:val="0"/>
      <w:divBdr>
        <w:top w:val="none" w:sz="0" w:space="0" w:color="auto"/>
        <w:left w:val="none" w:sz="0" w:space="0" w:color="auto"/>
        <w:bottom w:val="none" w:sz="0" w:space="0" w:color="auto"/>
        <w:right w:val="none" w:sz="0" w:space="0" w:color="auto"/>
      </w:divBdr>
    </w:div>
    <w:div w:id="1312638730">
      <w:bodyDiv w:val="1"/>
      <w:marLeft w:val="0"/>
      <w:marRight w:val="0"/>
      <w:marTop w:val="0"/>
      <w:marBottom w:val="0"/>
      <w:divBdr>
        <w:top w:val="none" w:sz="0" w:space="0" w:color="auto"/>
        <w:left w:val="none" w:sz="0" w:space="0" w:color="auto"/>
        <w:bottom w:val="none" w:sz="0" w:space="0" w:color="auto"/>
        <w:right w:val="none" w:sz="0" w:space="0" w:color="auto"/>
      </w:divBdr>
    </w:div>
    <w:div w:id="1777629249">
      <w:bodyDiv w:val="1"/>
      <w:marLeft w:val="0"/>
      <w:marRight w:val="0"/>
      <w:marTop w:val="0"/>
      <w:marBottom w:val="0"/>
      <w:divBdr>
        <w:top w:val="none" w:sz="0" w:space="0" w:color="auto"/>
        <w:left w:val="none" w:sz="0" w:space="0" w:color="auto"/>
        <w:bottom w:val="none" w:sz="0" w:space="0" w:color="auto"/>
        <w:right w:val="none" w:sz="0" w:space="0" w:color="auto"/>
      </w:divBdr>
    </w:div>
    <w:div w:id="17855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D202E49FCCF4B813D7CC716761A92" ma:contentTypeVersion="10" ma:contentTypeDescription="Create a new document." ma:contentTypeScope="" ma:versionID="89e9286be55be7cd9b3a55cef4610f04">
  <xsd:schema xmlns:xsd="http://www.w3.org/2001/XMLSchema" xmlns:xs="http://www.w3.org/2001/XMLSchema" xmlns:p="http://schemas.microsoft.com/office/2006/metadata/properties" xmlns:ns1="http://schemas.microsoft.com/sharepoint/v3" xmlns:ns2="6f00ec74-ddba-4a9f-aa29-f5f4dccaf33a" targetNamespace="http://schemas.microsoft.com/office/2006/metadata/properties" ma:root="true" ma:fieldsID="df772f370df2b25a70969e6e74038044" ns1:_="" ns2:_="">
    <xsd:import namespace="http://schemas.microsoft.com/sharepoint/v3"/>
    <xsd:import namespace="6f00ec74-ddba-4a9f-aa29-f5f4dccaf33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Location" minOccurs="0"/>
                <xsd:element ref="ns2:MediaServiceAutoTag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0ec74-ddba-4a9f-aa29-f5f4dcca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6B3A-3EF6-4750-BB52-97DD41BF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0ec74-ddba-4a9f-aa29-f5f4dcca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158D6-4F91-4214-BE8F-67964B67031E}">
  <ds:schemaRefs>
    <ds:schemaRef ds:uri="http://schemas.microsoft.com/sharepoint/v3/contenttype/forms"/>
  </ds:schemaRefs>
</ds:datastoreItem>
</file>

<file path=customXml/itemProps3.xml><?xml version="1.0" encoding="utf-8"?>
<ds:datastoreItem xmlns:ds="http://schemas.openxmlformats.org/officeDocument/2006/customXml" ds:itemID="{2F445EED-5CC8-4683-86C7-F07D1E437B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7D0606-F2CC-443D-827D-FE07CE32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11</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Technical Handbook of FRM4VEG Instrumentation: Konica-Minolta SPAD-502 Chlorophyll Meter</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Handbooks of FRM4VEG Instrumentation (TR-1): Konica-Minolta SPAD-502 Chlorophyll Meter</dc:title>
  <dc:subject/>
  <dc:creator>Luke Brown</dc:creator>
  <cp:keywords/>
  <dc:description/>
  <cp:lastModifiedBy>Luke</cp:lastModifiedBy>
  <cp:revision>551</cp:revision>
  <cp:lastPrinted>2018-05-11T11:21:00Z</cp:lastPrinted>
  <dcterms:created xsi:type="dcterms:W3CDTF">2018-05-22T09:52:00Z</dcterms:created>
  <dcterms:modified xsi:type="dcterms:W3CDTF">2020-05-28T18:32:00Z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db684165-52e0-3d2a-a901-0935203b316d</vt:lpwstr>
  </property>
  <property fmtid="{D5CDD505-2E9C-101B-9397-08002B2CF9AE}" pid="26" name="Mendeley Citation Style_1">
    <vt:lpwstr>http://www.zotero.org/styles/ieee</vt:lpwstr>
  </property>
  <property fmtid="{D5CDD505-2E9C-101B-9397-08002B2CF9AE}" pid="27" name="ContentTypeId">
    <vt:lpwstr>0x0101006FDD202E49FCCF4B813D7CC716761A92</vt:lpwstr>
  </property>
</Properties>
</file>