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67" w:rsidRPr="00EA6A49" w:rsidRDefault="00317067" w:rsidP="00317067">
      <w:pPr>
        <w:pStyle w:val="Heading1"/>
        <w:spacing w:before="120"/>
      </w:pPr>
      <w:r w:rsidRPr="00EA6A49">
        <w:t>E</w:t>
      </w:r>
      <w:r>
        <w:t>thnographic Encounters project</w:t>
      </w:r>
    </w:p>
    <w:p w:rsidR="00317067" w:rsidRDefault="00317067" w:rsidP="00317067">
      <w:pPr>
        <w:pStyle w:val="Heading1"/>
        <w:spacing w:before="120"/>
      </w:pPr>
      <w:r>
        <w:t>Department of Modern Languages, University of Southampton</w:t>
      </w:r>
    </w:p>
    <w:p w:rsidR="00317067" w:rsidRDefault="00317067" w:rsidP="00A53AF0">
      <w:pPr>
        <w:spacing w:after="0"/>
        <w:rPr>
          <w:b/>
          <w:bCs/>
        </w:rPr>
      </w:pPr>
    </w:p>
    <w:p w:rsidR="00BF25C6" w:rsidRDefault="00BF25C6" w:rsidP="00317067">
      <w:pPr>
        <w:pStyle w:val="Heading2"/>
      </w:pPr>
      <w:r>
        <w:t>Indicative bibliography for students</w:t>
      </w:r>
    </w:p>
    <w:p w:rsidR="00BF25C6" w:rsidRDefault="00BF25C6" w:rsidP="00A53AF0">
      <w:pPr>
        <w:spacing w:after="0"/>
      </w:pPr>
      <w:bookmarkStart w:id="0" w:name="_GoBack"/>
      <w:bookmarkEnd w:id="0"/>
    </w:p>
    <w:p w:rsidR="00283E6E" w:rsidRDefault="00283E6E" w:rsidP="00317067">
      <w:pPr>
        <w:pStyle w:val="Heading3"/>
      </w:pPr>
      <w:r>
        <w:t>Ethnography/ethnographic methods</w:t>
      </w:r>
    </w:p>
    <w:p w:rsidR="00E44D83" w:rsidRDefault="00E44D83" w:rsidP="00A53AF0">
      <w:pPr>
        <w:spacing w:after="0"/>
      </w:pPr>
      <w:r w:rsidRPr="00E44D83">
        <w:t xml:space="preserve">Delamont, S. (2008) 'For lust of knowing: observation in educational ethnography', in G Walford (ed.) </w:t>
      </w:r>
      <w:r w:rsidRPr="00E44D83">
        <w:rPr>
          <w:i/>
          <w:iCs/>
        </w:rPr>
        <w:t>How to do educational ethnography</w:t>
      </w:r>
      <w:r w:rsidRPr="00E44D83">
        <w:t>. London: Tufnell Press. pp. 39–56.</w:t>
      </w:r>
    </w:p>
    <w:p w:rsidR="00A53AF0" w:rsidRPr="00A53AF0" w:rsidRDefault="00A53AF0" w:rsidP="00A53AF0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A53AF0">
        <w:rPr>
          <w:i/>
          <w:iCs/>
        </w:rPr>
        <w:t>Good account o</w:t>
      </w:r>
      <w:r w:rsidR="00C734BE">
        <w:rPr>
          <w:i/>
          <w:iCs/>
        </w:rPr>
        <w:t>f key steps in doing ethnographic observations</w:t>
      </w:r>
      <w:r w:rsidRPr="00A53AF0">
        <w:rPr>
          <w:i/>
          <w:iCs/>
        </w:rPr>
        <w:t>, with examples from her own research.</w:t>
      </w:r>
    </w:p>
    <w:p w:rsidR="00A53AF0" w:rsidRDefault="00A53AF0" w:rsidP="00A53AF0">
      <w:pPr>
        <w:spacing w:after="0"/>
      </w:pPr>
    </w:p>
    <w:p w:rsidR="00425FE1" w:rsidRDefault="00425FE1" w:rsidP="00A53AF0">
      <w:pPr>
        <w:spacing w:after="0"/>
      </w:pPr>
      <w:r w:rsidRPr="00425FE1">
        <w:t xml:space="preserve">Hammersley, M. (1992) Introducing Ethnography. </w:t>
      </w:r>
      <w:r w:rsidRPr="00425FE1">
        <w:rPr>
          <w:i/>
          <w:iCs/>
        </w:rPr>
        <w:t>Sociology Review</w:t>
      </w:r>
      <w:r w:rsidRPr="00425FE1">
        <w:t>. 2 (2), 18–20.</w:t>
      </w:r>
    </w:p>
    <w:p w:rsidR="00A53AF0" w:rsidRPr="00A53AF0" w:rsidRDefault="00A53AF0" w:rsidP="00A53AF0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A53AF0">
        <w:rPr>
          <w:i/>
          <w:iCs/>
        </w:rPr>
        <w:t xml:space="preserve">Overview of key principles in ethnographic research. </w:t>
      </w:r>
    </w:p>
    <w:p w:rsidR="00A53AF0" w:rsidRDefault="00A53AF0" w:rsidP="00A53AF0">
      <w:pPr>
        <w:spacing w:after="0"/>
      </w:pPr>
    </w:p>
    <w:p w:rsidR="00425FE1" w:rsidRPr="00425FE1" w:rsidRDefault="00425FE1" w:rsidP="00A53AF0">
      <w:pPr>
        <w:spacing w:after="0"/>
      </w:pPr>
      <w:r w:rsidRPr="00425FE1">
        <w:t xml:space="preserve">Jordan, S. A. (2001) Writing the Other, Writing the Self: Transforming Consciousness Through Ethnographic Writing. </w:t>
      </w:r>
      <w:r w:rsidRPr="00425FE1">
        <w:rPr>
          <w:i/>
          <w:iCs/>
        </w:rPr>
        <w:t>Language and Intercultural Communication</w:t>
      </w:r>
      <w:r w:rsidRPr="00425FE1">
        <w:t>. [Online] 1 (1), 40–56.</w:t>
      </w:r>
    </w:p>
    <w:p w:rsidR="00A53AF0" w:rsidRPr="00A53AF0" w:rsidRDefault="00A53AF0" w:rsidP="00A53AF0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A53AF0">
        <w:rPr>
          <w:i/>
          <w:iCs/>
        </w:rPr>
        <w:t xml:space="preserve">Good discussion of writing ethnographic accounts, with focus on reflexivity and processing the data gathered.  </w:t>
      </w:r>
    </w:p>
    <w:p w:rsidR="00A53AF0" w:rsidRDefault="00A53AF0" w:rsidP="00A53AF0">
      <w:pPr>
        <w:spacing w:after="0"/>
      </w:pPr>
    </w:p>
    <w:p w:rsidR="00283E6E" w:rsidRDefault="00AD5778" w:rsidP="00A53AF0">
      <w:pPr>
        <w:spacing w:after="0"/>
      </w:pPr>
      <w:r>
        <w:t>Further reading</w:t>
      </w:r>
      <w:r w:rsidR="00A53AF0">
        <w:t xml:space="preserve"> and practical guides</w:t>
      </w:r>
      <w:r>
        <w:t>:</w:t>
      </w:r>
    </w:p>
    <w:p w:rsidR="00AD5778" w:rsidRPr="0077615C" w:rsidRDefault="00AD5778" w:rsidP="00A53AF0">
      <w:pPr>
        <w:spacing w:after="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Hammersley, M. &amp; Atkinson, P. (1995) </w:t>
      </w:r>
      <w:r w:rsidRPr="0077615C">
        <w:rPr>
          <w:rFonts w:cs="Arial"/>
          <w:i/>
          <w:szCs w:val="24"/>
        </w:rPr>
        <w:t xml:space="preserve">Ethnography: Principles in Practice </w:t>
      </w:r>
      <w:r>
        <w:rPr>
          <w:rFonts w:cs="Arial"/>
          <w:szCs w:val="24"/>
        </w:rPr>
        <w:t xml:space="preserve">New York:  Tavistock </w:t>
      </w:r>
      <w:r w:rsidRPr="0077615C">
        <w:rPr>
          <w:rFonts w:cs="Arial"/>
          <w:szCs w:val="24"/>
        </w:rPr>
        <w:t>Publications</w:t>
      </w:r>
      <w:r>
        <w:rPr>
          <w:rFonts w:cs="Arial"/>
          <w:szCs w:val="24"/>
        </w:rPr>
        <w:t>.</w:t>
      </w:r>
    </w:p>
    <w:p w:rsidR="00AD5778" w:rsidRPr="0077615C" w:rsidRDefault="00AD5778" w:rsidP="00A53AF0">
      <w:pPr>
        <w:spacing w:after="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O’Reilly, Karen (2005) </w:t>
      </w:r>
      <w:r w:rsidRPr="0077615C">
        <w:rPr>
          <w:rFonts w:cs="Arial"/>
          <w:i/>
          <w:szCs w:val="24"/>
        </w:rPr>
        <w:t>Ethnographic Methods</w:t>
      </w:r>
      <w:r w:rsidRPr="0077615C">
        <w:rPr>
          <w:rFonts w:cs="Arial"/>
          <w:szCs w:val="24"/>
        </w:rPr>
        <w:t>. London: Routledge.</w:t>
      </w:r>
    </w:p>
    <w:p w:rsidR="00AD5778" w:rsidRPr="0077615C" w:rsidRDefault="00AD5778" w:rsidP="00A53AF0">
      <w:pPr>
        <w:spacing w:after="0"/>
        <w:ind w:left="720" w:hanging="72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Spradley, J. (1979) </w:t>
      </w:r>
      <w:r w:rsidRPr="0077615C">
        <w:rPr>
          <w:rFonts w:cs="Arial"/>
          <w:i/>
          <w:szCs w:val="24"/>
        </w:rPr>
        <w:t xml:space="preserve">The Ethnographic Interview </w:t>
      </w:r>
      <w:r w:rsidRPr="0077615C">
        <w:rPr>
          <w:rFonts w:cs="Arial"/>
          <w:szCs w:val="24"/>
        </w:rPr>
        <w:t>New York: Holt, Rinehart &amp; Winston</w:t>
      </w:r>
    </w:p>
    <w:p w:rsidR="00AD5778" w:rsidRPr="0077615C" w:rsidRDefault="00AD5778" w:rsidP="00A53AF0">
      <w:pPr>
        <w:spacing w:after="0"/>
        <w:ind w:left="720" w:hanging="72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Spradley, J. (1980) </w:t>
      </w:r>
      <w:r w:rsidRPr="0077615C">
        <w:rPr>
          <w:rFonts w:cs="Arial"/>
          <w:i/>
          <w:szCs w:val="24"/>
        </w:rPr>
        <w:t>Participant Observation</w:t>
      </w:r>
      <w:r w:rsidRPr="0077615C">
        <w:rPr>
          <w:rFonts w:cs="Arial"/>
          <w:szCs w:val="24"/>
        </w:rPr>
        <w:t xml:space="preserve"> New York: Holt, Rinehart &amp; Winston</w:t>
      </w:r>
    </w:p>
    <w:p w:rsidR="00AD5778" w:rsidRDefault="00AD5778" w:rsidP="00A53AF0">
      <w:pPr>
        <w:spacing w:after="0"/>
      </w:pPr>
    </w:p>
    <w:p w:rsidR="00283E6E" w:rsidRDefault="00283E6E" w:rsidP="00A53AF0">
      <w:pPr>
        <w:spacing w:after="0"/>
      </w:pPr>
      <w:r>
        <w:rPr>
          <w:b/>
          <w:bCs/>
        </w:rPr>
        <w:t>Ethnographic approaches to digital media</w:t>
      </w:r>
    </w:p>
    <w:p w:rsidR="007F16C6" w:rsidRDefault="007F16C6" w:rsidP="00A53AF0">
      <w:pPr>
        <w:spacing w:after="0"/>
      </w:pPr>
      <w:r w:rsidRPr="007F16C6">
        <w:t xml:space="preserve">Blasco, P. G. Y. (2012) ‘A wondrous adventure’: mutuality and individuality in Internet adoption narratives. </w:t>
      </w:r>
      <w:r w:rsidRPr="007F16C6">
        <w:rPr>
          <w:i/>
          <w:iCs/>
        </w:rPr>
        <w:t>Journal of the Royal Anthropological Institute</w:t>
      </w:r>
      <w:r w:rsidRPr="007F16C6">
        <w:t>. [Online] 18 (2), 330–348.</w:t>
      </w:r>
    </w:p>
    <w:p w:rsidR="00A53AF0" w:rsidRDefault="005722A8" w:rsidP="005722A8">
      <w:pPr>
        <w:pStyle w:val="ListParagraph"/>
        <w:numPr>
          <w:ilvl w:val="0"/>
          <w:numId w:val="1"/>
        </w:numPr>
        <w:spacing w:after="0"/>
      </w:pPr>
      <w:r>
        <w:rPr>
          <w:i/>
          <w:iCs/>
        </w:rPr>
        <w:t>An example of an anthropological analysis of online texts and communities.</w:t>
      </w:r>
    </w:p>
    <w:p w:rsidR="005722A8" w:rsidRPr="007F16C6" w:rsidRDefault="005722A8" w:rsidP="005722A8">
      <w:pPr>
        <w:pStyle w:val="ListParagraph"/>
        <w:spacing w:after="0"/>
      </w:pPr>
    </w:p>
    <w:p w:rsidR="00E44D83" w:rsidRDefault="00E44D83" w:rsidP="00A53AF0">
      <w:pPr>
        <w:spacing w:after="0"/>
      </w:pPr>
      <w:r w:rsidRPr="00E44D83">
        <w:t xml:space="preserve">Boellstorff, T. (2012) 'Rethinking digital anthropology', in Daniel Miller &amp; Heather A. Horst (eds.) </w:t>
      </w:r>
      <w:r w:rsidRPr="00E44D83">
        <w:rPr>
          <w:i/>
          <w:iCs/>
        </w:rPr>
        <w:t>Digital Anthropology</w:t>
      </w:r>
      <w:r w:rsidRPr="00E44D83">
        <w:t>. London: Berg. pp. 39–60.</w:t>
      </w:r>
    </w:p>
    <w:p w:rsidR="00A53AF0" w:rsidRPr="00317067" w:rsidRDefault="001328AA" w:rsidP="001328AA">
      <w:pPr>
        <w:pStyle w:val="ListParagraph"/>
        <w:numPr>
          <w:ilvl w:val="0"/>
          <w:numId w:val="1"/>
        </w:numPr>
        <w:spacing w:after="0"/>
      </w:pPr>
      <w:r>
        <w:rPr>
          <w:i/>
          <w:iCs/>
        </w:rPr>
        <w:t>Looks at the techniques for carrying out ethnographic research on</w:t>
      </w:r>
      <w:r w:rsidRPr="001328AA">
        <w:rPr>
          <w:i/>
          <w:iCs/>
        </w:rPr>
        <w:t xml:space="preserve"> online cultures </w:t>
      </w:r>
      <w:r>
        <w:rPr>
          <w:i/>
          <w:iCs/>
        </w:rPr>
        <w:t>through participant observation methods, using specific fieldwork examples.</w:t>
      </w:r>
    </w:p>
    <w:p w:rsidR="00317067" w:rsidRPr="00E44D83" w:rsidRDefault="00317067" w:rsidP="00317067">
      <w:pPr>
        <w:pStyle w:val="ListParagraph"/>
        <w:spacing w:after="0"/>
      </w:pPr>
    </w:p>
    <w:p w:rsidR="007F16C6" w:rsidRDefault="00E44D83" w:rsidP="00A53AF0">
      <w:pPr>
        <w:spacing w:after="0"/>
      </w:pPr>
      <w:r w:rsidRPr="00E44D83">
        <w:t xml:space="preserve">Coleman, E. G. (2010) Ethnographic Approaches to Digital Media. </w:t>
      </w:r>
      <w:r w:rsidRPr="00E44D83">
        <w:rPr>
          <w:i/>
          <w:iCs/>
        </w:rPr>
        <w:t>Annual Review of Anthropology</w:t>
      </w:r>
      <w:r w:rsidRPr="00E44D83">
        <w:t>. [Online] 39 (1), 487–505.</w:t>
      </w:r>
    </w:p>
    <w:p w:rsidR="00A53AF0" w:rsidRPr="001328AA" w:rsidRDefault="001328AA" w:rsidP="001328AA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1328AA">
        <w:rPr>
          <w:i/>
          <w:iCs/>
        </w:rPr>
        <w:t xml:space="preserve">Review of recent ethnographic research on digital media, including different ways of approaching and analysing </w:t>
      </w:r>
      <w:r>
        <w:rPr>
          <w:i/>
          <w:iCs/>
        </w:rPr>
        <w:t>digital</w:t>
      </w:r>
      <w:r w:rsidRPr="001328AA">
        <w:rPr>
          <w:i/>
          <w:iCs/>
        </w:rPr>
        <w:t xml:space="preserve"> material.</w:t>
      </w:r>
    </w:p>
    <w:p w:rsidR="00283E6E" w:rsidRDefault="00283E6E" w:rsidP="00A53AF0">
      <w:pPr>
        <w:spacing w:after="0"/>
      </w:pPr>
    </w:p>
    <w:sectPr w:rsidR="00283E6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C0" w:rsidRDefault="00BA26C0" w:rsidP="00317067">
      <w:pPr>
        <w:spacing w:after="0" w:line="240" w:lineRule="auto"/>
      </w:pPr>
      <w:r>
        <w:separator/>
      </w:r>
    </w:p>
  </w:endnote>
  <w:endnote w:type="continuationSeparator" w:id="0">
    <w:p w:rsidR="00BA26C0" w:rsidRDefault="00BA26C0" w:rsidP="0031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67" w:rsidRDefault="00317067" w:rsidP="00317067">
    <w:pPr>
      <w:pStyle w:val="Footer"/>
    </w:pPr>
    <w:r>
      <w:t xml:space="preserve">Ethnographic Encounters Project, Department of Modern Languages, University of Southampton </w:t>
    </w:r>
  </w:p>
  <w:p w:rsidR="00317067" w:rsidRDefault="00317067" w:rsidP="00317067">
    <w:pPr>
      <w:pStyle w:val="Footer"/>
    </w:pPr>
    <w:r>
      <w:t>August 2015</w:t>
    </w:r>
  </w:p>
  <w:p w:rsidR="00317067" w:rsidRDefault="00317067" w:rsidP="00317067">
    <w:pPr>
      <w:pStyle w:val="Footer"/>
    </w:pPr>
  </w:p>
  <w:p w:rsidR="00317067" w:rsidRDefault="00317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C0" w:rsidRDefault="00BA26C0" w:rsidP="00317067">
      <w:pPr>
        <w:spacing w:after="0" w:line="240" w:lineRule="auto"/>
      </w:pPr>
      <w:r>
        <w:separator/>
      </w:r>
    </w:p>
  </w:footnote>
  <w:footnote w:type="continuationSeparator" w:id="0">
    <w:p w:rsidR="00BA26C0" w:rsidRDefault="00BA26C0" w:rsidP="0031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554D"/>
    <w:multiLevelType w:val="hybridMultilevel"/>
    <w:tmpl w:val="003EB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C6"/>
    <w:rsid w:val="001328AA"/>
    <w:rsid w:val="00283E6E"/>
    <w:rsid w:val="00317067"/>
    <w:rsid w:val="00425FE1"/>
    <w:rsid w:val="005506F0"/>
    <w:rsid w:val="005722A8"/>
    <w:rsid w:val="007A125D"/>
    <w:rsid w:val="007F16C6"/>
    <w:rsid w:val="00874008"/>
    <w:rsid w:val="00A53AF0"/>
    <w:rsid w:val="00AD5778"/>
    <w:rsid w:val="00BA26C0"/>
    <w:rsid w:val="00BF25C6"/>
    <w:rsid w:val="00C734BE"/>
    <w:rsid w:val="00E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06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F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A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7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17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67"/>
  </w:style>
  <w:style w:type="paragraph" w:styleId="Footer">
    <w:name w:val="footer"/>
    <w:basedOn w:val="Normal"/>
    <w:link w:val="FooterChar"/>
    <w:uiPriority w:val="99"/>
    <w:unhideWhenUsed/>
    <w:rsid w:val="00317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67"/>
  </w:style>
  <w:style w:type="character" w:customStyle="1" w:styleId="Heading3Char">
    <w:name w:val="Heading 3 Char"/>
    <w:basedOn w:val="DefaultParagraphFont"/>
    <w:link w:val="Heading3"/>
    <w:uiPriority w:val="9"/>
    <w:rsid w:val="003170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06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F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A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7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17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67"/>
  </w:style>
  <w:style w:type="paragraph" w:styleId="Footer">
    <w:name w:val="footer"/>
    <w:basedOn w:val="Normal"/>
    <w:link w:val="FooterChar"/>
    <w:uiPriority w:val="99"/>
    <w:unhideWhenUsed/>
    <w:rsid w:val="00317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67"/>
  </w:style>
  <w:style w:type="character" w:customStyle="1" w:styleId="Heading3Char">
    <w:name w:val="Heading 3 Char"/>
    <w:basedOn w:val="DefaultParagraphFont"/>
    <w:link w:val="Heading3"/>
    <w:uiPriority w:val="9"/>
    <w:rsid w:val="003170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Bernasek</dc:creator>
  <cp:lastModifiedBy>Lisa Bernasek</cp:lastModifiedBy>
  <cp:revision>3</cp:revision>
  <dcterms:created xsi:type="dcterms:W3CDTF">2015-07-30T10:50:00Z</dcterms:created>
  <dcterms:modified xsi:type="dcterms:W3CDTF">2015-07-30T10:54:00Z</dcterms:modified>
</cp:coreProperties>
</file>